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 UNDER THE SECURITIES EXCHANGE ACT OF 1934</w:t>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October 2022</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 File Number 001-36433</w:t>
      </w:r>
    </w:p>
    <w:p>
      <w:pPr>
        <w:spacing w:after="0" w:line="22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GasLog Partners LP</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 GasLog LNG Services Ltd.</w:t>
      </w:r>
    </w:p>
    <w:p>
      <w:pPr>
        <w:spacing w:after="0" w:line="2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69 Akti Miaouli, 18537</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Piraeus, Greece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Form 20-F</w:t>
            </w:r>
          </w:p>
        </w:tc>
        <w:tc>
          <w:tcPr>
            <w:tcW w:w="8660" w:type="dxa"/>
            <w:vAlign w:val="bottom"/>
          </w:tcPr>
          <w:p>
            <w:pPr>
              <w:ind w:left="200"/>
              <w:spacing w:after="0" w:line="207" w:lineRule="exact"/>
              <w:rPr>
                <w:sz w:val="20"/>
                <w:szCs w:val="20"/>
                <w:color w:val="auto"/>
              </w:rPr>
            </w:pP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tc>
        <w:tc>
          <w:tcPr>
            <w:tcW w:w="1320" w:type="dxa"/>
            <w:vAlign w:val="bottom"/>
          </w:tcPr>
          <w:p>
            <w:pPr>
              <w:spacing w:after="0"/>
              <w:rPr>
                <w:sz w:val="24"/>
                <w:szCs w:val="24"/>
                <w:color w:val="auto"/>
              </w:rPr>
            </w:pPr>
          </w:p>
        </w:tc>
      </w:tr>
      <w:tr>
        <w:trPr>
          <w:trHeight w:val="432"/>
        </w:trPr>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w:t>
            </w:r>
          </w:p>
        </w:tc>
        <w:tc>
          <w:tcPr>
            <w:tcW w:w="132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r>
      <w:tr>
        <w:trPr>
          <w:trHeight w:val="432"/>
        </w:trPr>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w:t>
            </w:r>
          </w:p>
        </w:tc>
        <w:tc>
          <w:tcPr>
            <w:tcW w:w="132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r>
      <w:tr>
        <w:trPr>
          <w:trHeight w:val="655"/>
        </w:trPr>
        <w:tc>
          <w:tcPr>
            <w:tcW w:w="1260" w:type="dxa"/>
            <w:vAlign w:val="bottom"/>
            <w:tcBorders>
              <w:bottom w:val="single" w:sz="8" w:color="auto"/>
            </w:tcBorders>
          </w:tcPr>
          <w:p>
            <w:pPr>
              <w:spacing w:after="0"/>
              <w:rPr>
                <w:sz w:val="24"/>
                <w:szCs w:val="24"/>
                <w:color w:val="auto"/>
              </w:rPr>
            </w:pPr>
          </w:p>
        </w:tc>
        <w:tc>
          <w:tcPr>
            <w:tcW w:w="86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41" w:right="339" w:bottom="1440" w:gutter="0" w:footer="0" w:header="0"/>
        </w:sectPr>
      </w:pPr>
    </w:p>
    <w:bookmarkStart w:id="1" w:name="page2"/>
    <w:bookmarkEnd w:id="1"/>
    <w:p>
      <w:pPr>
        <w:ind w:right="440" w:firstLine="324"/>
        <w:spacing w:after="0" w:line="298" w:lineRule="auto"/>
        <w:rPr>
          <w:sz w:val="20"/>
          <w:szCs w:val="20"/>
          <w:color w:val="auto"/>
        </w:rPr>
      </w:pPr>
      <w:r>
        <w:rPr>
          <w:rFonts w:ascii="Times New Roman" w:cs="Times New Roman" w:eastAsia="Times New Roman" w:hAnsi="Times New Roman"/>
          <w:sz w:val="16"/>
          <w:szCs w:val="16"/>
          <w:color w:val="auto"/>
        </w:rPr>
        <w:t>The press release issued by GasLog Partners LP on October 27, 2022 relating to its results for the three-month period ended September 30, 2022 and the related financial report are attached hereto as Exhibits 99.1, 99.2 and 99.3, respectively.</w:t>
      </w:r>
    </w:p>
    <w:p>
      <w:pPr>
        <w:spacing w:after="0" w:line="3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INCORPORATION BY REFERENCE</w:t>
      </w:r>
    </w:p>
    <w:p>
      <w:pPr>
        <w:spacing w:after="0" w:line="235" w:lineRule="exact"/>
        <w:rPr>
          <w:sz w:val="20"/>
          <w:szCs w:val="20"/>
          <w:color w:val="auto"/>
        </w:rPr>
      </w:pPr>
    </w:p>
    <w:p>
      <w:pPr>
        <w:ind w:firstLine="324"/>
        <w:spacing w:after="0" w:line="275" w:lineRule="auto"/>
        <w:rPr>
          <w:sz w:val="20"/>
          <w:szCs w:val="20"/>
          <w:color w:val="auto"/>
        </w:rPr>
      </w:pPr>
      <w:r>
        <w:rPr>
          <w:rFonts w:ascii="Times New Roman" w:cs="Times New Roman" w:eastAsia="Times New Roman" w:hAnsi="Times New Roman"/>
          <w:sz w:val="16"/>
          <w:szCs w:val="16"/>
          <w:color w:val="auto"/>
        </w:rPr>
        <w:t>Exhibits 99.2 and 99.3 to this Report on Form 6-K shall be incorporated by reference into our registration statement on Form F-3 (File No. 333-249399), filed with the Securities and Exchange Commission (the “SEC”) on October 9, 2020 and the registration statement on Form S-8 (File No. 333-203139), filed with the SEC on March 31, 2015,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EXHIBIT LIST</w:t>
            </w:r>
          </w:p>
        </w:tc>
      </w:tr>
      <w:tr>
        <w:trPr>
          <w:trHeight w:val="418"/>
        </w:trPr>
        <w:tc>
          <w:tcPr>
            <w:tcW w:w="1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Exhibit</w:t>
            </w:r>
          </w:p>
        </w:tc>
        <w:tc>
          <w:tcPr>
            <w:tcW w:w="57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Description</w:t>
            </w:r>
          </w:p>
        </w:tc>
      </w:tr>
      <w:tr>
        <w:trPr>
          <w:trHeight w:val="398"/>
        </w:trPr>
        <w:tc>
          <w:tcPr>
            <w:tcW w:w="300" w:type="dxa"/>
            <w:vAlign w:val="bottom"/>
          </w:tcPr>
          <w:p>
            <w:pPr>
              <w:spacing w:after="0"/>
              <w:rPr>
                <w:sz w:val="20"/>
                <w:szCs w:val="20"/>
                <w:color w:val="auto"/>
              </w:rPr>
            </w:pPr>
            <w:r>
              <w:rPr>
                <w:rFonts w:ascii="Times New Roman" w:cs="Times New Roman" w:eastAsia="Times New Roman" w:hAnsi="Times New Roman"/>
                <w:sz w:val="16"/>
                <w:szCs w:val="16"/>
                <w:color w:val="0000EE"/>
                <w:w w:val="99"/>
              </w:rPr>
              <w:t>99.</w:t>
            </w:r>
            <w:r>
              <w:rPr>
                <w:rFonts w:ascii="Times New Roman" w:cs="Times New Roman" w:eastAsia="Times New Roman" w:hAnsi="Times New Roman"/>
                <w:sz w:val="16"/>
                <w:szCs w:val="16"/>
                <w:u w:val="single" w:color="auto"/>
                <w:color w:val="0000EE"/>
                <w:w w:val="99"/>
              </w:rPr>
              <w:t>1</w:t>
            </w:r>
          </w:p>
        </w:tc>
        <w:tc>
          <w:tcPr>
            <w:tcW w:w="840" w:type="dxa"/>
            <w:vAlign w:val="bottom"/>
          </w:tcPr>
          <w:p>
            <w:pPr>
              <w:spacing w:after="0"/>
              <w:rPr>
                <w:sz w:val="24"/>
                <w:szCs w:val="24"/>
                <w:color w:val="auto"/>
              </w:rPr>
            </w:pPr>
          </w:p>
        </w:tc>
        <w:tc>
          <w:tcPr>
            <w:tcW w:w="5760" w:type="dxa"/>
            <w:vAlign w:val="bottom"/>
            <w:gridSpan w:val="4"/>
          </w:tcPr>
          <w:p>
            <w:pPr>
              <w:spacing w:after="0"/>
              <w:rPr>
                <w:sz w:val="20"/>
                <w:szCs w:val="20"/>
                <w:color w:val="auto"/>
              </w:rPr>
            </w:pPr>
            <w:r>
              <w:rPr>
                <w:rFonts w:ascii="Times New Roman" w:cs="Times New Roman" w:eastAsia="Times New Roman" w:hAnsi="Times New Roman"/>
                <w:sz w:val="16"/>
                <w:szCs w:val="16"/>
                <w:color w:val="0000EE"/>
              </w:rPr>
              <w:t>Press Release dated October 27, 2022</w:t>
            </w:r>
          </w:p>
        </w:tc>
      </w:tr>
      <w:tr>
        <w:trPr>
          <w:trHeight w:val="20"/>
        </w:trPr>
        <w:tc>
          <w:tcPr>
            <w:tcW w:w="30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12"/>
        </w:trPr>
        <w:tc>
          <w:tcPr>
            <w:tcW w:w="3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6"/>
                <w:szCs w:val="16"/>
                <w:color w:val="0000EE"/>
                <w:w w:val="99"/>
              </w:rPr>
              <w:t>99.</w:t>
            </w:r>
            <w:r>
              <w:rPr>
                <w:rFonts w:ascii="Times New Roman" w:cs="Times New Roman" w:eastAsia="Times New Roman" w:hAnsi="Times New Roman"/>
                <w:sz w:val="16"/>
                <w:szCs w:val="16"/>
                <w:u w:val="single" w:color="auto"/>
                <w:color w:val="0000EE"/>
                <w:w w:val="99"/>
              </w:rPr>
              <w:t>2</w:t>
            </w:r>
          </w:p>
        </w:tc>
        <w:tc>
          <w:tcPr>
            <w:tcW w:w="840" w:type="dxa"/>
            <w:vAlign w:val="bottom"/>
          </w:tcPr>
          <w:p>
            <w:pPr>
              <w:spacing w:after="0"/>
              <w:rPr>
                <w:sz w:val="24"/>
                <w:szCs w:val="24"/>
                <w:color w:val="auto"/>
              </w:rPr>
            </w:pPr>
          </w:p>
        </w:tc>
        <w:tc>
          <w:tcPr>
            <w:tcW w:w="49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6"/>
                <w:szCs w:val="16"/>
                <w:color w:val="0000EE"/>
              </w:rPr>
              <w:t>Financial Report for the Three and Nine Months Ended September 30, 2022</w:t>
            </w:r>
          </w:p>
        </w:tc>
        <w:tc>
          <w:tcPr>
            <w:tcW w:w="820" w:type="dxa"/>
            <w:vAlign w:val="bottom"/>
          </w:tcPr>
          <w:p>
            <w:pPr>
              <w:spacing w:after="0"/>
              <w:rPr>
                <w:sz w:val="24"/>
                <w:szCs w:val="24"/>
                <w:color w:val="auto"/>
              </w:rPr>
            </w:pPr>
          </w:p>
        </w:tc>
      </w:tr>
      <w:tr>
        <w:trPr>
          <w:trHeight w:val="447"/>
        </w:trPr>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7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Management’s Discussion and Analysis of Financial Condition and Results of Operation</w:t>
            </w:r>
          </w:p>
        </w:tc>
      </w:tr>
      <w:tr>
        <w:trPr>
          <w:trHeight w:val="398"/>
        </w:trPr>
        <w:tc>
          <w:tcPr>
            <w:tcW w:w="300" w:type="dxa"/>
            <w:vAlign w:val="bottom"/>
          </w:tcPr>
          <w:p>
            <w:pPr>
              <w:spacing w:after="0"/>
              <w:rPr>
                <w:sz w:val="20"/>
                <w:szCs w:val="20"/>
                <w:color w:val="auto"/>
              </w:rPr>
            </w:pPr>
            <w:r>
              <w:rPr>
                <w:rFonts w:ascii="Times New Roman" w:cs="Times New Roman" w:eastAsia="Times New Roman" w:hAnsi="Times New Roman"/>
                <w:sz w:val="16"/>
                <w:szCs w:val="16"/>
                <w:color w:val="0000EE"/>
                <w:w w:val="99"/>
              </w:rPr>
              <w:t>99.</w:t>
            </w:r>
            <w:r>
              <w:rPr>
                <w:rFonts w:ascii="Times New Roman" w:cs="Times New Roman" w:eastAsia="Times New Roman" w:hAnsi="Times New Roman"/>
                <w:sz w:val="16"/>
                <w:szCs w:val="16"/>
                <w:u w:val="single" w:color="auto"/>
                <w:color w:val="0000EE"/>
                <w:w w:val="99"/>
              </w:rPr>
              <w:t>3</w:t>
            </w:r>
          </w:p>
        </w:tc>
        <w:tc>
          <w:tcPr>
            <w:tcW w:w="840" w:type="dxa"/>
            <w:vAlign w:val="bottom"/>
          </w:tcPr>
          <w:p>
            <w:pPr>
              <w:spacing w:after="0"/>
              <w:rPr>
                <w:sz w:val="24"/>
                <w:szCs w:val="24"/>
                <w:color w:val="auto"/>
              </w:rPr>
            </w:pPr>
          </w:p>
        </w:tc>
        <w:tc>
          <w:tcPr>
            <w:tcW w:w="5760" w:type="dxa"/>
            <w:vAlign w:val="bottom"/>
            <w:gridSpan w:val="4"/>
          </w:tcPr>
          <w:p>
            <w:pPr>
              <w:spacing w:after="0"/>
              <w:rPr>
                <w:sz w:val="20"/>
                <w:szCs w:val="20"/>
                <w:color w:val="auto"/>
              </w:rPr>
            </w:pPr>
            <w:r>
              <w:rPr>
                <w:rFonts w:ascii="Times New Roman" w:cs="Times New Roman" w:eastAsia="Times New Roman" w:hAnsi="Times New Roman"/>
                <w:sz w:val="16"/>
                <w:szCs w:val="16"/>
                <w:color w:val="0000EE"/>
              </w:rPr>
              <w:t>Unaudited Condensed Consolidated Financial Statements</w:t>
            </w:r>
          </w:p>
        </w:tc>
      </w:tr>
      <w:tr>
        <w:trPr>
          <w:trHeight w:val="20"/>
        </w:trPr>
        <w:tc>
          <w:tcPr>
            <w:tcW w:w="30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9" w:right="439" w:bottom="1440" w:gutter="0" w:footer="0" w:header="0"/>
        </w:sectPr>
      </w:pPr>
    </w:p>
    <w:bookmarkStart w:id="2" w:name="page3"/>
    <w:bookmarkEnd w:id="2"/>
    <w:p>
      <w:pPr>
        <w:jc w:val="center"/>
        <w:ind w:right="-139"/>
        <w:spacing w:after="0"/>
        <w:rPr>
          <w:sz w:val="20"/>
          <w:szCs w:val="20"/>
          <w:color w:val="auto"/>
        </w:rPr>
      </w:pPr>
      <w:r>
        <w:rPr>
          <w:rFonts w:ascii="Times New Roman" w:cs="Times New Roman" w:eastAsia="Times New Roman" w:hAnsi="Times New Roman"/>
          <w:sz w:val="16"/>
          <w:szCs w:val="16"/>
          <w:color w:val="auto"/>
        </w:rPr>
        <w:t>SIGNATURES</w:t>
      </w:r>
    </w:p>
    <w:p>
      <w:pPr>
        <w:spacing w:after="0" w:line="235" w:lineRule="exact"/>
        <w:rPr>
          <w:sz w:val="20"/>
          <w:szCs w:val="20"/>
          <w:color w:val="auto"/>
        </w:rPr>
      </w:pPr>
    </w:p>
    <w:p>
      <w:pPr>
        <w:ind w:firstLine="324"/>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October 27, 2022</w:t>
      </w:r>
    </w:p>
    <w:p>
      <w:pPr>
        <w:spacing w:after="0" w:line="24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GASLOG PARTNERS LP</w:t>
      </w:r>
    </w:p>
    <w:p>
      <w:pPr>
        <w:spacing w:after="0" w:line="248" w:lineRule="exact"/>
        <w:rPr>
          <w:sz w:val="20"/>
          <w:szCs w:val="20"/>
          <w:color w:val="auto"/>
        </w:rPr>
      </w:pPr>
    </w:p>
    <w:p>
      <w:pPr>
        <w:ind w:left="5980"/>
        <w:spacing w:after="0"/>
        <w:tabs>
          <w:tab w:leader="none" w:pos="6300" w:val="left"/>
        </w:tabs>
        <w:rPr>
          <w:sz w:val="20"/>
          <w:szCs w:val="20"/>
          <w:color w:val="auto"/>
        </w:rPr>
      </w:pPr>
      <w:r>
        <w:rPr>
          <w:rFonts w:ascii="Times New Roman" w:cs="Times New Roman" w:eastAsia="Times New Roman" w:hAnsi="Times New Roman"/>
          <w:sz w:val="16"/>
          <w:szCs w:val="16"/>
          <w:color w:val="auto"/>
        </w:rPr>
        <w:t>by</w:t>
        <w:tab/>
        <w:t>/s/ Paolo Enoizi</w:t>
      </w:r>
    </w:p>
    <w:p>
      <w:pPr>
        <w:spacing w:after="0" w:line="46" w:lineRule="exact"/>
        <w:rPr>
          <w:sz w:val="20"/>
          <w:szCs w:val="20"/>
          <w:color w:val="auto"/>
        </w:rPr>
      </w:pPr>
    </w:p>
    <w:p>
      <w:pPr>
        <w:ind w:left="6320"/>
        <w:spacing w:after="0"/>
        <w:tabs>
          <w:tab w:leader="none" w:pos="6900" w:val="left"/>
        </w:tabs>
        <w:rPr>
          <w:sz w:val="20"/>
          <w:szCs w:val="20"/>
          <w:color w:val="auto"/>
        </w:rPr>
      </w:pPr>
      <w:r>
        <w:rPr>
          <w:rFonts w:ascii="Times New Roman" w:cs="Times New Roman" w:eastAsia="Times New Roman" w:hAnsi="Times New Roman"/>
          <w:sz w:val="16"/>
          <w:szCs w:val="16"/>
          <w:color w:val="auto"/>
        </w:rPr>
        <w:t>Name:</w:t>
        <w:tab/>
        <w:t>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-116205</wp:posOffset>
            </wp:positionV>
            <wp:extent cx="31286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6" w:lineRule="exact"/>
        <w:rPr>
          <w:sz w:val="20"/>
          <w:szCs w:val="20"/>
          <w:color w:val="auto"/>
        </w:rPr>
      </w:pPr>
    </w:p>
    <w:p>
      <w:pPr>
        <w:ind w:left="6320"/>
        <w:spacing w:after="0"/>
        <w:tabs>
          <w:tab w:leader="none" w:pos="6900"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6"/>
          <w:szCs w:val="16"/>
          <w:color w:val="auto"/>
        </w:rPr>
        <w:t>Chief Executive Officer</w:t>
      </w:r>
    </w:p>
    <w:p>
      <w:pPr>
        <w:spacing w:after="0" w:line="200" w:lineRule="exact"/>
        <w:rPr>
          <w:sz w:val="20"/>
          <w:szCs w:val="20"/>
          <w:color w:val="auto"/>
        </w:rPr>
      </w:pPr>
    </w:p>
    <w:p>
      <w:pPr>
        <w:spacing w:after="0" w:line="25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909" w:right="4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Press Release</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GasLog Partners LP Reports Financial Results for the Third Quarter of 2022 and Declares Cash Distribution</w:t>
      </w:r>
    </w:p>
    <w:p>
      <w:pPr>
        <w:spacing w:after="0" w:line="235" w:lineRule="exact"/>
        <w:rPr>
          <w:sz w:val="20"/>
          <w:szCs w:val="20"/>
          <w:color w:val="auto"/>
        </w:rPr>
      </w:pPr>
    </w:p>
    <w:p>
      <w:pPr>
        <w:ind w:right="20"/>
        <w:spacing w:after="0" w:line="301" w:lineRule="auto"/>
        <w:rPr>
          <w:sz w:val="20"/>
          <w:szCs w:val="20"/>
          <w:color w:val="auto"/>
        </w:rPr>
      </w:pPr>
      <w:r>
        <w:rPr>
          <w:rFonts w:ascii="Times New Roman" w:cs="Times New Roman" w:eastAsia="Times New Roman" w:hAnsi="Times New Roman"/>
          <w:sz w:val="16"/>
          <w:szCs w:val="16"/>
          <w:b w:val="1"/>
          <w:bCs w:val="1"/>
          <w:color w:val="auto"/>
        </w:rPr>
        <w:t xml:space="preserve">Majuro, Marshall Islands, October 27, 2022, GasLog Partners LP (“GasLog Partners” or the “Partnership”) (NYSE: GLOP), </w:t>
      </w:r>
      <w:r>
        <w:rPr>
          <w:rFonts w:ascii="Times New Roman" w:cs="Times New Roman" w:eastAsia="Times New Roman" w:hAnsi="Times New Roman"/>
          <w:sz w:val="16"/>
          <w:szCs w:val="16"/>
          <w:color w:val="auto"/>
        </w:rPr>
        <w:t>an international owner and operator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liquefied natural gas (“LNG”) carriers, today reported its financial results for the third quarter of 2022.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Highlights</w:t>
      </w:r>
    </w:p>
    <w:p>
      <w:pPr>
        <w:spacing w:after="0" w:line="235" w:lineRule="exact"/>
        <w:rPr>
          <w:sz w:val="20"/>
          <w:szCs w:val="20"/>
          <w:color w:val="auto"/>
        </w:rPr>
      </w:pPr>
    </w:p>
    <w:p>
      <w:pPr>
        <w:ind w:left="340" w:right="60" w:hanging="332"/>
        <w:spacing w:after="0" w:line="270" w:lineRule="auto"/>
        <w:tabs>
          <w:tab w:leader="none" w:pos="3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Entered into a new two-year time charter agreement for the tri-fuel diesel electric (“TFDE”) LNG carrier </w:t>
      </w:r>
      <w:r>
        <w:rPr>
          <w:rFonts w:ascii="Times New Roman" w:cs="Times New Roman" w:eastAsia="Times New Roman" w:hAnsi="Times New Roman"/>
          <w:sz w:val="16"/>
          <w:szCs w:val="16"/>
          <w:i w:val="1"/>
          <w:iCs w:val="1"/>
          <w:color w:val="auto"/>
        </w:rPr>
        <w:t>GasLog Shanghai</w:t>
      </w:r>
      <w:r>
        <w:rPr>
          <w:rFonts w:ascii="Times New Roman" w:cs="Times New Roman" w:eastAsia="Times New Roman" w:hAnsi="Times New Roman"/>
          <w:sz w:val="16"/>
          <w:szCs w:val="16"/>
          <w:color w:val="auto"/>
        </w:rPr>
        <w:t xml:space="preserve"> with Woodside Energy Shipping Singapore Pte. Ltd. and a one-year time charter for the TFDE carrier </w:t>
      </w:r>
      <w:r>
        <w:rPr>
          <w:rFonts w:ascii="Times New Roman" w:cs="Times New Roman" w:eastAsia="Times New Roman" w:hAnsi="Times New Roman"/>
          <w:sz w:val="16"/>
          <w:szCs w:val="16"/>
          <w:i w:val="1"/>
          <w:iCs w:val="1"/>
          <w:color w:val="auto"/>
        </w:rPr>
        <w:t>Solaris</w:t>
      </w:r>
      <w:r>
        <w:rPr>
          <w:rFonts w:ascii="Times New Roman" w:cs="Times New Roman" w:eastAsia="Times New Roman" w:hAnsi="Times New Roman"/>
          <w:sz w:val="16"/>
          <w:szCs w:val="16"/>
          <w:color w:val="auto"/>
        </w:rPr>
        <w:t xml:space="preserve"> with an energy major</w:t>
      </w:r>
    </w:p>
    <w:p>
      <w:pPr>
        <w:ind w:left="340" w:right="240" w:hanging="332"/>
        <w:spacing w:after="0" w:line="264" w:lineRule="auto"/>
        <w:tabs>
          <w:tab w:leader="none" w:pos="3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Entered into a three-year time charter agreement for the </w:t>
      </w:r>
      <w:r>
        <w:rPr>
          <w:rFonts w:ascii="Times New Roman" w:cs="Times New Roman" w:eastAsia="Times New Roman" w:hAnsi="Times New Roman"/>
          <w:sz w:val="16"/>
          <w:szCs w:val="16"/>
          <w:i w:val="1"/>
          <w:iCs w:val="1"/>
          <w:color w:val="auto"/>
        </w:rPr>
        <w:t>Methane Heather Sally</w:t>
      </w:r>
      <w:r>
        <w:rPr>
          <w:rFonts w:ascii="Times New Roman" w:cs="Times New Roman" w:eastAsia="Times New Roman" w:hAnsi="Times New Roman"/>
          <w:sz w:val="16"/>
          <w:szCs w:val="16"/>
          <w:color w:val="auto"/>
        </w:rPr>
        <w:t>, a steam turbine propulsion (“Steam”) LNG carrier, with a Southeast Asian charterer and executed a sale and lease-back agreement for the same vessel, with no repurchase option or obligation, for $50.0 million. The sale and lease-back transaction is expected to be completed in the fourth quarter of 2022</w:t>
      </w:r>
    </w:p>
    <w:p>
      <w:pPr>
        <w:ind w:left="340" w:right="300" w:hanging="332"/>
        <w:spacing w:after="0" w:line="264" w:lineRule="auto"/>
        <w:tabs>
          <w:tab w:leader="none" w:pos="3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Completed the previously announced sale of the </w:t>
      </w:r>
      <w:r>
        <w:rPr>
          <w:rFonts w:ascii="Times New Roman" w:cs="Times New Roman" w:eastAsia="Times New Roman" w:hAnsi="Times New Roman"/>
          <w:sz w:val="16"/>
          <w:szCs w:val="16"/>
          <w:i w:val="1"/>
          <w:iCs w:val="1"/>
          <w:color w:val="auto"/>
        </w:rPr>
        <w:t>Methane Shirley Elisabeth</w:t>
      </w:r>
      <w:r>
        <w:rPr>
          <w:rFonts w:ascii="Times New Roman" w:cs="Times New Roman" w:eastAsia="Times New Roman" w:hAnsi="Times New Roman"/>
          <w:sz w:val="16"/>
          <w:szCs w:val="16"/>
          <w:color w:val="auto"/>
        </w:rPr>
        <w:t>, a Steam LNG carrier, to an unrelated third party for a gross sale price of approximately $54.0 million</w:t>
      </w:r>
    </w:p>
    <w:p>
      <w:pPr>
        <w:ind w:left="340" w:right="280" w:hanging="332"/>
        <w:spacing w:after="0" w:line="264" w:lineRule="auto"/>
        <w:tabs>
          <w:tab w:leader="none" w:pos="3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Repurchased $20.0 million of preference units in the open market in the third quarter of 2022 and a total of $38.7 million of repurchased preference units in the first nine months of 2022</w:t>
      </w:r>
    </w:p>
    <w:p>
      <w:pPr>
        <w:ind w:left="340" w:right="60" w:hanging="332"/>
        <w:spacing w:after="0" w:line="264" w:lineRule="auto"/>
        <w:tabs>
          <w:tab w:leader="none" w:pos="3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Repaid $37.1 million of debt and lease liabilities during the third quarter of 2022 and $94.0 million in the first nine months of 2022 and additionally prepaid an amount of $32.2 million of debt outstanding pursuant to the sale of the </w:t>
      </w:r>
      <w:r>
        <w:rPr>
          <w:rFonts w:ascii="Times New Roman" w:cs="Times New Roman" w:eastAsia="Times New Roman" w:hAnsi="Times New Roman"/>
          <w:sz w:val="16"/>
          <w:szCs w:val="16"/>
          <w:i w:val="1"/>
          <w:iCs w:val="1"/>
          <w:color w:val="auto"/>
        </w:rPr>
        <w:t>Methane Shirley Elisabeth</w:t>
      </w:r>
    </w:p>
    <w:p>
      <w:pPr>
        <w:ind w:left="340" w:hanging="332"/>
        <w:spacing w:after="0" w:line="191" w:lineRule="auto"/>
        <w:tabs>
          <w:tab w:leader="none" w:pos="340" w:val="left"/>
        </w:tabs>
        <w:numPr>
          <w:ilvl w:val="0"/>
          <w:numId w:val="1"/>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16"/>
          <w:szCs w:val="16"/>
          <w:color w:val="auto"/>
        </w:rPr>
        <w:t>Quarterly Revenues, Profit, Adjusted Profit</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6"/>
          <w:szCs w:val="16"/>
          <w:color w:val="auto"/>
        </w:rPr>
        <w:t xml:space="preserve"> and Adjusted EBITDA</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6"/>
          <w:szCs w:val="16"/>
          <w:color w:val="auto"/>
        </w:rPr>
        <w:t xml:space="preserve"> of $95.7 million, $42.7 million, $39.8 million and $73.3 million, respectively</w:t>
      </w:r>
    </w:p>
    <w:p>
      <w:pPr>
        <w:ind w:left="340" w:hanging="332"/>
        <w:spacing w:after="0" w:line="183" w:lineRule="auto"/>
        <w:tabs>
          <w:tab w:leader="none" w:pos="340" w:val="left"/>
        </w:tabs>
        <w:numPr>
          <w:ilvl w:val="0"/>
          <w:numId w:val="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3"/>
          <w:szCs w:val="13"/>
          <w:color w:val="auto"/>
        </w:rPr>
        <w:t>Quarterly Earnings per unit (“EPU”) of $0.69 and Adjusted EPU</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3"/>
          <w:szCs w:val="13"/>
          <w:color w:val="auto"/>
        </w:rPr>
        <w:t xml:space="preserve"> of $0.63</w:t>
      </w:r>
    </w:p>
    <w:p>
      <w:pPr>
        <w:ind w:left="340" w:hanging="332"/>
        <w:spacing w:after="0"/>
        <w:tabs>
          <w:tab w:leader="none" w:pos="3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Declared cash distribution of $0.01 per common unit for the third quarter of 2022</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CEO Statement</w:t>
      </w:r>
    </w:p>
    <w:p>
      <w:pPr>
        <w:spacing w:after="0" w:line="237"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6"/>
          <w:szCs w:val="16"/>
          <w:color w:val="auto"/>
        </w:rPr>
        <w:t>Paolo Enoizi, Chief Executive Officer, commented: “GasLog Partners delivered strong operating results for the third quarter of 2022, driven by favorable dynamics in the LNG shipping market. We have successfully captured the strength of the market by securing period charters for our vessels. Most recently, we signed a three-year charter for a Steam LNG carrier, as well as one two-year and one one-year time charter for two of our TFDE LNG carriers. Combined, these charters are expected to add approximately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$134.0 million of incremental EBITDA </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6"/>
          <w:szCs w:val="16"/>
          <w:color w:val="auto"/>
        </w:rPr>
        <w:t>, thus improving our cash flows visibility.</w:t>
      </w:r>
    </w:p>
    <w:p>
      <w:pPr>
        <w:spacing w:after="0" w:line="152" w:lineRule="exact"/>
        <w:rPr>
          <w:sz w:val="20"/>
          <w:szCs w:val="20"/>
          <w:color w:val="auto"/>
        </w:rPr>
      </w:pPr>
    </w:p>
    <w:p>
      <w:pPr>
        <w:ind w:right="780"/>
        <w:spacing w:after="0" w:line="298" w:lineRule="auto"/>
        <w:rPr>
          <w:sz w:val="20"/>
          <w:szCs w:val="20"/>
          <w:color w:val="auto"/>
        </w:rPr>
      </w:pPr>
      <w:r>
        <w:rPr>
          <w:rFonts w:ascii="Times New Roman" w:cs="Times New Roman" w:eastAsia="Times New Roman" w:hAnsi="Times New Roman"/>
          <w:sz w:val="16"/>
          <w:szCs w:val="16"/>
          <w:color w:val="auto"/>
        </w:rPr>
        <w:t>Overall, our recent fixtures support our business strategy centered around de-leveraging and, together with our continued focus on our preference unit repurchase programme, improving the Partnership’s all-in break-even levels in our fleet and de-risking our balance sheet.</w:t>
      </w:r>
    </w:p>
    <w:p>
      <w:pPr>
        <w:spacing w:after="0" w:line="164"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16"/>
          <w:szCs w:val="16"/>
          <w:color w:val="auto"/>
        </w:rPr>
        <w:t>Furthermore, following the completion of the sale of one of our Steam vessels in the third quarter of 2022, we entered into a sale and lease-back agreement post quarter-end for a second Steam vessel, with no repurchase option or obligation at the end of her bareboat charter in mid-2025.”</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Financial Summary</w:t>
            </w: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446"/>
        </w:trPr>
        <w:tc>
          <w:tcPr>
            <w:tcW w:w="6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5060" w:type="dxa"/>
            <w:vAlign w:val="bottom"/>
          </w:tcPr>
          <w:p>
            <w:pPr>
              <w:spacing w:after="0"/>
              <w:rPr>
                <w:sz w:val="24"/>
                <w:szCs w:val="24"/>
                <w:color w:val="auto"/>
              </w:rPr>
            </w:pPr>
          </w:p>
        </w:tc>
        <w:tc>
          <w:tcPr>
            <w:tcW w:w="3080" w:type="dxa"/>
            <w:vAlign w:val="bottom"/>
            <w:gridSpan w:val="4"/>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040" w:type="dxa"/>
            <w:vAlign w:val="bottom"/>
          </w:tcPr>
          <w:p>
            <w:pPr>
              <w:spacing w:after="0"/>
              <w:rPr>
                <w:sz w:val="24"/>
                <w:szCs w:val="24"/>
                <w:color w:val="auto"/>
              </w:rPr>
            </w:pPr>
          </w:p>
        </w:tc>
      </w:tr>
      <w:tr>
        <w:trPr>
          <w:trHeight w:val="216"/>
        </w:trPr>
        <w:tc>
          <w:tcPr>
            <w:tcW w:w="68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All amounts expressed in thousands of U.S. dollars, except per unit amounts</w:t>
            </w:r>
            <w:r>
              <w:rPr>
                <w:rFonts w:ascii="Times New Roman" w:cs="Times New Roman" w:eastAsia="Times New Roman" w:hAnsi="Times New Roman"/>
                <w:sz w:val="16"/>
                <w:szCs w:val="16"/>
                <w:color w:val="auto"/>
              </w:rPr>
              <w:t>)</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98"/>
              </w:rPr>
              <w:t>September 30, 2021</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98"/>
              </w:rPr>
              <w:t>September 30, 2022</w:t>
            </w: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2"/>
        </w:trPr>
        <w:tc>
          <w:tcPr>
            <w:tcW w:w="680" w:type="dxa"/>
            <w:vAlign w:val="bottom"/>
          </w:tcPr>
          <w:p>
            <w:pPr>
              <w:spacing w:after="0"/>
              <w:rPr>
                <w:sz w:val="17"/>
                <w:szCs w:val="17"/>
                <w:color w:val="auto"/>
              </w:rPr>
            </w:pPr>
          </w:p>
        </w:tc>
        <w:tc>
          <w:tcPr>
            <w:tcW w:w="5760" w:type="dxa"/>
            <w:vAlign w:val="bottom"/>
            <w:tcBorders>
              <w:top w:val="single" w:sz="8" w:color="E5FFFF"/>
            </w:tcBorders>
            <w:gridSpan w:val="2"/>
            <w:shd w:val="clear" w:color="auto" w:fill="E5FFFF"/>
          </w:tcPr>
          <w:p>
            <w:pPr>
              <w:spacing w:after="0"/>
              <w:rPr>
                <w:sz w:val="20"/>
                <w:szCs w:val="20"/>
                <w:color w:val="auto"/>
              </w:rPr>
            </w:pPr>
            <w:r>
              <w:rPr>
                <w:rFonts w:ascii="Times New Roman" w:cs="Times New Roman" w:eastAsia="Times New Roman" w:hAnsi="Times New Roman"/>
                <w:sz w:val="16"/>
                <w:szCs w:val="16"/>
                <w:color w:val="auto"/>
              </w:rPr>
              <w:t>Revenues</w:t>
            </w:r>
          </w:p>
        </w:tc>
        <w:tc>
          <w:tcPr>
            <w:tcW w:w="134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80,535</w:t>
            </w:r>
          </w:p>
        </w:tc>
        <w:tc>
          <w:tcPr>
            <w:tcW w:w="20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95,679</w:t>
            </w:r>
          </w:p>
        </w:tc>
        <w:tc>
          <w:tcPr>
            <w:tcW w:w="200" w:type="dxa"/>
            <w:vAlign w:val="bottom"/>
            <w:tcBorders>
              <w:top w:val="single" w:sz="8" w:color="E5FFFF"/>
            </w:tcBorders>
            <w:shd w:val="clear" w:color="auto" w:fill="E5FFFF"/>
          </w:tcPr>
          <w:p>
            <w:pPr>
              <w:spacing w:after="0"/>
              <w:rPr>
                <w:sz w:val="17"/>
                <w:szCs w:val="17"/>
                <w:color w:val="auto"/>
              </w:rPr>
            </w:pPr>
          </w:p>
        </w:tc>
        <w:tc>
          <w:tcPr>
            <w:tcW w:w="104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03"/>
        </w:trPr>
        <w:tc>
          <w:tcPr>
            <w:tcW w:w="680" w:type="dxa"/>
            <w:vAlign w:val="bottom"/>
          </w:tcPr>
          <w:p>
            <w:pPr>
              <w:spacing w:after="0"/>
              <w:rPr>
                <w:sz w:val="17"/>
                <w:szCs w:val="17"/>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Profit</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26,487</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42,651</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03"/>
        </w:trPr>
        <w:tc>
          <w:tcPr>
            <w:tcW w:w="680" w:type="dxa"/>
            <w:vAlign w:val="bottom"/>
          </w:tcPr>
          <w:p>
            <w:pPr>
              <w:spacing w:after="0"/>
              <w:rPr>
                <w:sz w:val="17"/>
                <w:szCs w:val="17"/>
                <w:color w:val="auto"/>
              </w:rPr>
            </w:pPr>
          </w:p>
        </w:tc>
        <w:tc>
          <w:tcPr>
            <w:tcW w:w="576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6"/>
                <w:szCs w:val="16"/>
                <w:color w:val="auto"/>
              </w:rPr>
              <w:t>EPU, common (basic)</w:t>
            </w:r>
          </w:p>
        </w:tc>
        <w:tc>
          <w:tcPr>
            <w:tcW w:w="154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6"/>
                <w:szCs w:val="16"/>
                <w:color w:val="auto"/>
              </w:rPr>
              <w:t>0.37</w:t>
            </w:r>
          </w:p>
        </w:tc>
        <w:tc>
          <w:tcPr>
            <w:tcW w:w="154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6"/>
                <w:szCs w:val="16"/>
                <w:color w:val="auto"/>
              </w:rPr>
              <w:t>0.69</w:t>
            </w:r>
          </w:p>
        </w:tc>
        <w:tc>
          <w:tcPr>
            <w:tcW w:w="10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43"/>
        </w:trPr>
        <w:tc>
          <w:tcPr>
            <w:tcW w:w="680" w:type="dxa"/>
            <w:vAlign w:val="bottom"/>
          </w:tcPr>
          <w:p>
            <w:pPr>
              <w:spacing w:after="0"/>
              <w:rPr>
                <w:sz w:val="21"/>
                <w:szCs w:val="21"/>
                <w:color w:val="auto"/>
              </w:rPr>
            </w:pPr>
          </w:p>
        </w:tc>
        <w:tc>
          <w:tcPr>
            <w:tcW w:w="576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Adjusted Profit</w:t>
            </w:r>
            <w:r>
              <w:rPr>
                <w:rFonts w:ascii="Times New Roman" w:cs="Times New Roman" w:eastAsia="Times New Roman" w:hAnsi="Times New Roman"/>
                <w:sz w:val="26"/>
                <w:szCs w:val="26"/>
                <w:color w:val="auto"/>
                <w:vertAlign w:val="superscript"/>
              </w:rPr>
              <w:t>(1)</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24,700</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39,814</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43"/>
        </w:trPr>
        <w:tc>
          <w:tcPr>
            <w:tcW w:w="680" w:type="dxa"/>
            <w:vAlign w:val="bottom"/>
          </w:tcPr>
          <w:p>
            <w:pPr>
              <w:spacing w:after="0"/>
              <w:rPr>
                <w:sz w:val="21"/>
                <w:szCs w:val="21"/>
                <w:color w:val="auto"/>
              </w:rPr>
            </w:pPr>
          </w:p>
        </w:tc>
        <w:tc>
          <w:tcPr>
            <w:tcW w:w="5760" w:type="dxa"/>
            <w:vAlign w:val="bottom"/>
            <w:gridSpan w:val="2"/>
            <w:shd w:val="clear" w:color="auto" w:fill="E5FFFF"/>
          </w:tcPr>
          <w:p>
            <w:pPr>
              <w:spacing w:after="0" w:line="243" w:lineRule="exact"/>
              <w:rPr>
                <w:sz w:val="20"/>
                <w:szCs w:val="20"/>
                <w:color w:val="auto"/>
              </w:rPr>
            </w:pPr>
            <w:r>
              <w:rPr>
                <w:rFonts w:ascii="Times New Roman" w:cs="Times New Roman" w:eastAsia="Times New Roman" w:hAnsi="Times New Roman"/>
                <w:sz w:val="16"/>
                <w:szCs w:val="16"/>
                <w:color w:val="auto"/>
              </w:rPr>
              <w:t>Adjusted EBITDA</w:t>
            </w:r>
            <w:r>
              <w:rPr>
                <w:rFonts w:ascii="Times New Roman" w:cs="Times New Roman" w:eastAsia="Times New Roman" w:hAnsi="Times New Roman"/>
                <w:sz w:val="26"/>
                <w:szCs w:val="26"/>
                <w:color w:val="auto"/>
                <w:vertAlign w:val="superscript"/>
              </w:rPr>
              <w:t>(1)</w:t>
            </w:r>
          </w:p>
        </w:tc>
        <w:tc>
          <w:tcPr>
            <w:tcW w:w="154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6"/>
                <w:szCs w:val="16"/>
                <w:color w:val="auto"/>
              </w:rPr>
              <w:t>57,314</w:t>
            </w:r>
          </w:p>
        </w:tc>
        <w:tc>
          <w:tcPr>
            <w:tcW w:w="154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6"/>
                <w:szCs w:val="16"/>
                <w:color w:val="auto"/>
              </w:rPr>
              <w:t>73,289</w:t>
            </w:r>
          </w:p>
        </w:tc>
        <w:tc>
          <w:tcPr>
            <w:tcW w:w="10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355"/>
        </w:trPr>
        <w:tc>
          <w:tcPr>
            <w:tcW w:w="680" w:type="dxa"/>
            <w:vAlign w:val="bottom"/>
          </w:tcPr>
          <w:p>
            <w:pPr>
              <w:spacing w:after="0"/>
              <w:rPr>
                <w:sz w:val="24"/>
                <w:szCs w:val="24"/>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Adjusted EPU, common (basic)</w:t>
            </w:r>
            <w:r>
              <w:rPr>
                <w:rFonts w:ascii="Times New Roman" w:cs="Times New Roman" w:eastAsia="Times New Roman" w:hAnsi="Times New Roman"/>
                <w:sz w:val="26"/>
                <w:szCs w:val="26"/>
                <w:color w:val="auto"/>
                <w:vertAlign w:val="superscript"/>
              </w:rPr>
              <w:t>(1)</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0.34</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0.63</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r>
    </w:tbl>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were 1,359 available days</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6"/>
          <w:szCs w:val="16"/>
          <w:color w:val="auto"/>
        </w:rPr>
        <w:t xml:space="preserve"> for the third quarter of 2022, as compared to 1,321 available days</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6"/>
          <w:szCs w:val="16"/>
          <w:color w:val="auto"/>
        </w:rPr>
        <w:t xml:space="preserve"> for the third quarter of 2021, due to the scheduled dry-dockings of</w:t>
      </w:r>
    </w:p>
    <w:p>
      <w:pPr>
        <w:ind w:right="20"/>
        <w:spacing w:after="0" w:line="217" w:lineRule="auto"/>
        <w:rPr>
          <w:sz w:val="20"/>
          <w:szCs w:val="20"/>
          <w:color w:val="auto"/>
        </w:rPr>
      </w:pPr>
      <w:r>
        <w:rPr>
          <w:rFonts w:ascii="Times New Roman" w:cs="Times New Roman" w:eastAsia="Times New Roman" w:hAnsi="Times New Roman"/>
          <w:sz w:val="16"/>
          <w:szCs w:val="16"/>
          <w:color w:val="auto"/>
        </w:rPr>
        <w:t>three of our vessels in the third quarter of 2021 (compared to nil in the same period in 2022), partially offset by a decrease of available days</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6"/>
          <w:szCs w:val="16"/>
          <w:color w:val="auto"/>
        </w:rPr>
        <w:t xml:space="preserve"> due to the sale of the </w:t>
      </w:r>
      <w:r>
        <w:rPr>
          <w:rFonts w:ascii="Times New Roman" w:cs="Times New Roman" w:eastAsia="Times New Roman" w:hAnsi="Times New Roman"/>
          <w:sz w:val="16"/>
          <w:szCs w:val="16"/>
          <w:i w:val="1"/>
          <w:iCs w:val="1"/>
          <w:color w:val="auto"/>
        </w:rPr>
        <w:t>Methane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Shirley Elisabeth </w:t>
      </w:r>
      <w:r>
        <w:rPr>
          <w:rFonts w:ascii="Times New Roman" w:cs="Times New Roman" w:eastAsia="Times New Roman" w:hAnsi="Times New Roman"/>
          <w:sz w:val="16"/>
          <w:szCs w:val="16"/>
          <w:color w:val="auto"/>
        </w:rPr>
        <w:t>in September 2022.</w:t>
      </w:r>
    </w:p>
    <w:p>
      <w:pPr>
        <w:spacing w:after="0" w:line="210"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6"/>
          <w:szCs w:val="16"/>
          <w:color w:val="auto"/>
        </w:rPr>
        <w:t>Revenues were $95.7 million for the third quarter of 2022, compared to $80.5 million for the same period in 2021. The increase of $15.2 million is mainly attributable to a net increase in revenues from our vessels operating in the spot market in the third quarter of 2022, in line with the improvement of the LNG shipping spot and term markets, combined with an increase in revenues resulting from the 59 off-hire days due to the scheduled dry-dockings of three of our vessels in the third quarter of 2021 (compared to nil in the same period in 2022).</w:t>
      </w:r>
    </w:p>
    <w:p>
      <w:pPr>
        <w:spacing w:after="0" w:line="183" w:lineRule="exact"/>
        <w:rPr>
          <w:sz w:val="20"/>
          <w:szCs w:val="20"/>
          <w:color w:val="auto"/>
        </w:rPr>
      </w:pPr>
    </w:p>
    <w:p>
      <w:pPr>
        <w:ind w:right="520"/>
        <w:spacing w:after="0" w:line="298" w:lineRule="auto"/>
        <w:rPr>
          <w:sz w:val="20"/>
          <w:szCs w:val="20"/>
          <w:color w:val="auto"/>
        </w:rPr>
      </w:pPr>
      <w:r>
        <w:rPr>
          <w:rFonts w:ascii="Times New Roman" w:cs="Times New Roman" w:eastAsia="Times New Roman" w:hAnsi="Times New Roman"/>
          <w:sz w:val="16"/>
          <w:szCs w:val="16"/>
          <w:color w:val="auto"/>
        </w:rPr>
        <w:t>Vessel operating costs were $16.7 million for the third quarter of 2022, compared to $18.6 million for the same period in 2021. The decrease of $1.9 million in vessel operating costs is mainly attributable to a decrease in technical maintenance expenses and crew costs. Both decreases were largely</w:t>
      </w:r>
    </w:p>
    <w:p>
      <w:pPr>
        <w:spacing w:after="0" w:line="3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4" w:name="page5"/>
    <w:bookmarkEnd w:id="4"/>
    <w:p>
      <w:pPr>
        <w:ind w:right="320"/>
        <w:spacing w:after="0" w:line="281" w:lineRule="auto"/>
        <w:rPr>
          <w:sz w:val="20"/>
          <w:szCs w:val="20"/>
          <w:color w:val="auto"/>
        </w:rPr>
      </w:pPr>
      <w:r>
        <w:rPr>
          <w:rFonts w:ascii="Times New Roman" w:cs="Times New Roman" w:eastAsia="Times New Roman" w:hAnsi="Times New Roman"/>
          <w:sz w:val="16"/>
          <w:szCs w:val="16"/>
          <w:color w:val="auto"/>
        </w:rPr>
        <w:t xml:space="preserve">related to the favorable movement of the EUR/USD exchange rate in the third quarter of 2022 compared to the same period in 2021, partially offset by an increase of operating costs from inflationary pressures, as well as due to the in-house management of the </w:t>
      </w:r>
      <w:r>
        <w:rPr>
          <w:rFonts w:ascii="Times New Roman" w:cs="Times New Roman" w:eastAsia="Times New Roman" w:hAnsi="Times New Roman"/>
          <w:sz w:val="16"/>
          <w:szCs w:val="16"/>
          <w:i w:val="1"/>
          <w:iCs w:val="1"/>
          <w:color w:val="auto"/>
        </w:rPr>
        <w:t>Solaris</w:t>
      </w:r>
      <w:r>
        <w:rPr>
          <w:rFonts w:ascii="Times New Roman" w:cs="Times New Roman" w:eastAsia="Times New Roman" w:hAnsi="Times New Roman"/>
          <w:sz w:val="16"/>
          <w:szCs w:val="16"/>
          <w:color w:val="auto"/>
        </w:rPr>
        <w:t xml:space="preserve"> (after her redelivery into our managed fleet on April 6, 2022). As a result, daily operating costs per vessel decreased to $12,276 per day for the third quarter of 2022 from $14,406 per day for the third quarter of 2021.</w:t>
      </w:r>
    </w:p>
    <w:p>
      <w:pPr>
        <w:spacing w:after="0" w:line="17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6"/>
          <w:szCs w:val="16"/>
          <w:color w:val="auto"/>
        </w:rPr>
        <w:t>General and administrative expenses were $4.3 million for the third quarter of 2022, compared to $3.3 million for the same period in 2021. The increase of $1.0 million is mainly attributable to the increase in administrative services fees for our fleet, effective January 1, 2022, in connection with the increase in the annual fee per vessel payable to GasLog Ltd. compared to prior year (approximately $0.3 million per vessel per year). As a result, daily general and administrative expenses increased to $3,127 per vessel ownership day for the third quarter of 2022 from $2,388 per vessel ownership day for the third quarter of 2021.</w:t>
      </w:r>
    </w:p>
    <w:p>
      <w:pPr>
        <w:spacing w:after="0" w:line="184" w:lineRule="exact"/>
        <w:rPr>
          <w:sz w:val="20"/>
          <w:szCs w:val="20"/>
          <w:color w:val="auto"/>
        </w:rPr>
      </w:pPr>
    </w:p>
    <w:p>
      <w:pPr>
        <w:ind w:right="500"/>
        <w:spacing w:after="0" w:line="224" w:lineRule="auto"/>
        <w:rPr>
          <w:sz w:val="20"/>
          <w:szCs w:val="20"/>
          <w:color w:val="auto"/>
        </w:rPr>
      </w:pPr>
      <w:r>
        <w:rPr>
          <w:rFonts w:ascii="Times New Roman" w:cs="Times New Roman" w:eastAsia="Times New Roman" w:hAnsi="Times New Roman"/>
          <w:sz w:val="16"/>
          <w:szCs w:val="16"/>
          <w:color w:val="auto"/>
        </w:rPr>
        <w:t xml:space="preserve">Adjusted EBITDA </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6"/>
          <w:szCs w:val="16"/>
          <w:color w:val="auto"/>
        </w:rPr>
        <w:t xml:space="preserve"> was $73.3 million for the third quarter of 2022, compared to $57.3 million for the same period in 2021. The increase of $16.0 million is mainly attributable to the increase in revenues of $15.2 million and the decrease in vessel operating costs of $1.9 million described above.</w:t>
      </w:r>
    </w:p>
    <w:p>
      <w:pPr>
        <w:spacing w:after="0" w:line="210"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6"/>
          <w:szCs w:val="16"/>
          <w:color w:val="auto"/>
        </w:rPr>
        <w:t>Financial costs were $13.4 million for the third quarter of 2022, compared to $9.4 million for the same period in 2021. The increase of $4.0 million in financial costs is mainly attributable to the increase in interest expense on loans, mainly due to an increase in the London Interbank Offered Rate (“LIBOR”) rates in the third quarter of 2022 as compared to the same period in 2021. During the third quarter of 2022, we had an average of $1,025.9 million of bank borrowings outstanding under our credit facilities with a weighted average interest rate of 4.3%, compared to an average of $1,232.9 million of bank borrowings outstanding under our credit facilities with a weighted average interest rate of 2.4% during the third quarter of 2021.</w:t>
      </w:r>
    </w:p>
    <w:p>
      <w:pPr>
        <w:spacing w:after="0" w:line="186"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6"/>
          <w:szCs w:val="16"/>
          <w:color w:val="auto"/>
        </w:rPr>
        <w:t>Gain on derivatives was $3.0 million for the third quarter of 2022, compared to a loss of $0.2 million for the same period in 2021. The decrease of $3.2 million in the loss on derivatives is attributable to a decrease in realized loss on interest rate swaps and an increase in unrealized gain from the mark-to-market valuation of interest rate swaps, which were carried at fair value through profit or loss, mainly due to changes in the forward LIBOR curve.</w:t>
      </w:r>
    </w:p>
    <w:p>
      <w:pPr>
        <w:spacing w:after="0" w:line="177" w:lineRule="exact"/>
        <w:rPr>
          <w:sz w:val="20"/>
          <w:szCs w:val="20"/>
          <w:color w:val="auto"/>
        </w:rPr>
      </w:pPr>
    </w:p>
    <w:p>
      <w:pPr>
        <w:ind w:right="40"/>
        <w:spacing w:after="0" w:line="298" w:lineRule="auto"/>
        <w:rPr>
          <w:sz w:val="20"/>
          <w:szCs w:val="20"/>
          <w:color w:val="auto"/>
        </w:rPr>
      </w:pPr>
      <w:r>
        <w:rPr>
          <w:rFonts w:ascii="Times New Roman" w:cs="Times New Roman" w:eastAsia="Times New Roman" w:hAnsi="Times New Roman"/>
          <w:sz w:val="16"/>
          <w:szCs w:val="16"/>
          <w:color w:val="auto"/>
        </w:rPr>
        <w:t>Profit was $42.7 million for the third quarter of 2022, compared to $26.5 million for the same period in 2021. The increase in profit of $16.2 million is mainly attributable to the increase in revenues of $15.2 million and the decrease of $1.9 million in vessel operating costs, as described above.</w:t>
      </w:r>
    </w:p>
    <w:p>
      <w:pPr>
        <w:spacing w:after="0" w:line="165" w:lineRule="exact"/>
        <w:rPr>
          <w:sz w:val="20"/>
          <w:szCs w:val="20"/>
          <w:color w:val="auto"/>
        </w:rPr>
      </w:pPr>
    </w:p>
    <w:p>
      <w:pPr>
        <w:ind w:right="60"/>
        <w:spacing w:after="0" w:line="224" w:lineRule="auto"/>
        <w:rPr>
          <w:sz w:val="20"/>
          <w:szCs w:val="20"/>
          <w:color w:val="auto"/>
        </w:rPr>
      </w:pPr>
      <w:r>
        <w:rPr>
          <w:rFonts w:ascii="Times New Roman" w:cs="Times New Roman" w:eastAsia="Times New Roman" w:hAnsi="Times New Roman"/>
          <w:sz w:val="16"/>
          <w:szCs w:val="16"/>
          <w:color w:val="auto"/>
        </w:rPr>
        <w:t>Adjusted Profit</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6"/>
          <w:szCs w:val="16"/>
          <w:color w:val="auto"/>
        </w:rPr>
        <w:t xml:space="preserve"> was $39.8 million for the third quarter of 2022, compared to $24.7 million for the same period in 2021. The increase in Adjusted Profit of $15.1 million is mainly attributable to the increase in revenues discussed above.</w:t>
      </w:r>
    </w:p>
    <w:p>
      <w:pPr>
        <w:spacing w:after="0" w:line="210" w:lineRule="exact"/>
        <w:rPr>
          <w:sz w:val="20"/>
          <w:szCs w:val="20"/>
          <w:color w:val="auto"/>
        </w:rPr>
      </w:pPr>
    </w:p>
    <w:p>
      <w:pPr>
        <w:jc w:val="both"/>
        <w:ind w:right="100"/>
        <w:spacing w:after="0" w:line="281" w:lineRule="auto"/>
        <w:rPr>
          <w:sz w:val="20"/>
          <w:szCs w:val="20"/>
          <w:color w:val="auto"/>
        </w:rPr>
      </w:pPr>
      <w:r>
        <w:rPr>
          <w:rFonts w:ascii="Times New Roman" w:cs="Times New Roman" w:eastAsia="Times New Roman" w:hAnsi="Times New Roman"/>
          <w:sz w:val="16"/>
          <w:szCs w:val="16"/>
          <w:color w:val="auto"/>
        </w:rPr>
        <w:t>As of September 30, 2022, we had $139.0 million of cash and cash equivalents, out of which $44.5 million was held in current accounts and $94.5 million was held in time deposits with an original duration of less than three months. An additional amount of $25.0 million of time deposits with an original duration greater than three months was classified under short-term cash deposits.</w:t>
      </w:r>
    </w:p>
    <w:p>
      <w:pPr>
        <w:spacing w:after="0" w:line="177"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6"/>
          <w:szCs w:val="16"/>
          <w:color w:val="auto"/>
        </w:rPr>
        <w:t xml:space="preserve">As of September 30, 2022, we had an aggregate of $970.8 million of bank borrowings outstanding under our credit facilities, of which $122.9 million was repayable within one year. Current bank borrowings include an amount of $32.6 million with respect to the associated debt of the Steam vessel </w:t>
      </w:r>
      <w:r>
        <w:rPr>
          <w:rFonts w:ascii="Times New Roman" w:cs="Times New Roman" w:eastAsia="Times New Roman" w:hAnsi="Times New Roman"/>
          <w:sz w:val="16"/>
          <w:szCs w:val="16"/>
          <w:i w:val="1"/>
          <w:iCs w:val="1"/>
          <w:color w:val="auto"/>
        </w:rPr>
        <w:t>Methane Heather Sally</w:t>
      </w:r>
      <w:r>
        <w:rPr>
          <w:rFonts w:ascii="Times New Roman" w:cs="Times New Roman" w:eastAsia="Times New Roman" w:hAnsi="Times New Roman"/>
          <w:sz w:val="16"/>
          <w:szCs w:val="16"/>
          <w:color w:val="auto"/>
        </w:rPr>
        <w:t xml:space="preserve">, classified as held for sale as of September 30, 2022. As of September 30, 2022, we also had an aggregate of $48.2 million of lease liabilities mainly related to the sale and lease-back of the </w:t>
      </w:r>
      <w:r>
        <w:rPr>
          <w:rFonts w:ascii="Times New Roman" w:cs="Times New Roman" w:eastAsia="Times New Roman" w:hAnsi="Times New Roman"/>
          <w:sz w:val="16"/>
          <w:szCs w:val="16"/>
          <w:i w:val="1"/>
          <w:iCs w:val="1"/>
          <w:color w:val="auto"/>
        </w:rPr>
        <w:t>GasLog Shanghai</w:t>
      </w:r>
      <w:r>
        <w:rPr>
          <w:rFonts w:ascii="Times New Roman" w:cs="Times New Roman" w:eastAsia="Times New Roman" w:hAnsi="Times New Roman"/>
          <w:sz w:val="16"/>
          <w:szCs w:val="16"/>
          <w:color w:val="auto"/>
        </w:rPr>
        <w:t>, of which $10.5 million was payable within one year.</w:t>
      </w:r>
    </w:p>
    <w:p>
      <w:pPr>
        <w:spacing w:after="0" w:line="183" w:lineRule="exact"/>
        <w:rPr>
          <w:sz w:val="20"/>
          <w:szCs w:val="20"/>
          <w:color w:val="auto"/>
        </w:rPr>
      </w:pPr>
    </w:p>
    <w:p>
      <w:pPr>
        <w:ind w:right="280"/>
        <w:spacing w:after="0" w:line="298" w:lineRule="auto"/>
        <w:rPr>
          <w:sz w:val="20"/>
          <w:szCs w:val="20"/>
          <w:color w:val="auto"/>
        </w:rPr>
      </w:pPr>
      <w:r>
        <w:rPr>
          <w:rFonts w:ascii="Times New Roman" w:cs="Times New Roman" w:eastAsia="Times New Roman" w:hAnsi="Times New Roman"/>
          <w:sz w:val="16"/>
          <w:szCs w:val="16"/>
          <w:color w:val="auto"/>
        </w:rPr>
        <w:t>As of September 30, 2022, our current assets totaled $251.3 million and current liabilities totaled $194.9 million, resulting in a positive working capital position of $56.4 million.</w:t>
      </w:r>
    </w:p>
    <w:p>
      <w:pPr>
        <w:spacing w:after="0" w:line="155" w:lineRule="exact"/>
        <w:rPr>
          <w:sz w:val="20"/>
          <w:szCs w:val="20"/>
          <w:color w:val="auto"/>
        </w:rPr>
      </w:pPr>
    </w:p>
    <w:p>
      <w:pPr>
        <w:ind w:left="340" w:right="380" w:hanging="332"/>
        <w:spacing w:after="0" w:line="229" w:lineRule="auto"/>
        <w:tabs>
          <w:tab w:leader="none" w:pos="34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Adjusted Profit, EBITDA, Adjusted EBITDA and Adjusted EPU are non-GAAP financial measures and should not be used in isolation or as substitutes for GasLog Partners’ financial results presented in accordance with International Financial Reporting Standards (“IFRS”). For the definitions and reconciliations of these measures to the most directly comparable financial measures calculated and presented in accordance with IFRS, please refer to Exhibit II at the end of this press release.</w:t>
      </w:r>
    </w:p>
    <w:p>
      <w:pPr>
        <w:ind w:left="340" w:right="60" w:hanging="332"/>
        <w:spacing w:after="0" w:line="239" w:lineRule="auto"/>
        <w:tabs>
          <w:tab w:leader="none" w:pos="34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Available days represent total calendar days in the period after deducting off-hire days where vessels are undergoing dry-dockings and unavailable days (for example days before and after a dry-docking where the vessel has limited practical ability for chartering opportunities).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Steam Vessel Transactions</w:t>
      </w:r>
    </w:p>
    <w:p>
      <w:pPr>
        <w:spacing w:after="0" w:line="235"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6"/>
          <w:szCs w:val="16"/>
          <w:color w:val="auto"/>
        </w:rPr>
        <w:t xml:space="preserve">In September 2022, GasLog Partners completed the sale of the </w:t>
      </w:r>
      <w:r>
        <w:rPr>
          <w:rFonts w:ascii="Times New Roman" w:cs="Times New Roman" w:eastAsia="Times New Roman" w:hAnsi="Times New Roman"/>
          <w:sz w:val="16"/>
          <w:szCs w:val="16"/>
          <w:i w:val="1"/>
          <w:iCs w:val="1"/>
          <w:color w:val="auto"/>
        </w:rPr>
        <w:t>Methane Shirley Elisabeth</w:t>
      </w:r>
      <w:r>
        <w:rPr>
          <w:rFonts w:ascii="Times New Roman" w:cs="Times New Roman" w:eastAsia="Times New Roman" w:hAnsi="Times New Roman"/>
          <w:sz w:val="16"/>
          <w:szCs w:val="16"/>
          <w:color w:val="auto"/>
        </w:rPr>
        <w:t>, a 145,000 cubic meter (“cbm”) Steam LNG carrier built in 2007, to an unrelated third party for a gross sale price of approximately $54.0 million. The sale resulted in the recognition of a loss on disposal of $0.2 million. The outstanding indebtedness of $32.2 million associated with the vessel was prepaid pursuant to its sale.</w:t>
      </w:r>
    </w:p>
    <w:p>
      <w:pPr>
        <w:spacing w:after="0" w:line="175"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6"/>
          <w:szCs w:val="16"/>
          <w:color w:val="auto"/>
        </w:rPr>
        <w:t xml:space="preserve">In October 2022, GasLog Partners entered into an agreement for the sale and lease-back of the </w:t>
      </w:r>
      <w:r>
        <w:rPr>
          <w:rFonts w:ascii="Times New Roman" w:cs="Times New Roman" w:eastAsia="Times New Roman" w:hAnsi="Times New Roman"/>
          <w:sz w:val="16"/>
          <w:szCs w:val="16"/>
          <w:i w:val="1"/>
          <w:iCs w:val="1"/>
          <w:color w:val="auto"/>
        </w:rPr>
        <w:t>Methane Heather Sally</w:t>
      </w:r>
      <w:r>
        <w:rPr>
          <w:rFonts w:ascii="Times New Roman" w:cs="Times New Roman" w:eastAsia="Times New Roman" w:hAnsi="Times New Roman"/>
          <w:sz w:val="16"/>
          <w:szCs w:val="16"/>
          <w:color w:val="auto"/>
        </w:rPr>
        <w:t>, a 145,000 cbm Steam LNG carrier, built in 2007, for $50.0 million. The vessel was sold to an unrelated third party and leased back under a bareboat charter until mid-2025 with no repurchase option or obligation. The completion of the transaction in the fourth quarter of 2022 is expected to release approximately $17.0 million of incremental net liquidity (net sale proceeds less debt prepayment) to the Partnership, while the vessel remains on its new three-year charter with a Southeast Asian charterer.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Preference Unit Repurchase Programme</w:t>
      </w:r>
    </w:p>
    <w:p>
      <w:pPr>
        <w:spacing w:after="0" w:line="237"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6"/>
          <w:szCs w:val="16"/>
          <w:color w:val="auto"/>
        </w:rPr>
        <w:t>In the third quarter of 2022, under the Partnership’s preference unit repurchase programme (the “Repurchase Programme”) established in March 2021, GasLog Partners repurchased and cancelled 233,179 8.625% Series A Cumulative Redeemable Perpetual Fixed to Floating Rate Preference Units (the “Series A Preference Units”), 198,746 8.200% Series B Cumulative Redeemable Perpetual Fixed to Floating Rate Preference Units (the “Series B Preference Units”) and 178,544 8.500% Series C Cumulative Redeemable Perpetual Fixed to Floating Rate Preference Units (the “Series</w:t>
      </w:r>
    </w:p>
    <w:p>
      <w:pPr>
        <w:spacing w:after="0" w:line="3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5" w:name="page6"/>
    <w:bookmarkEnd w:id="5"/>
    <w:p>
      <w:pPr>
        <w:ind w:right="20"/>
        <w:spacing w:after="0" w:line="281" w:lineRule="auto"/>
        <w:rPr>
          <w:sz w:val="20"/>
          <w:szCs w:val="20"/>
          <w:color w:val="auto"/>
        </w:rPr>
      </w:pPr>
      <w:r>
        <w:rPr>
          <w:rFonts w:ascii="Times New Roman" w:cs="Times New Roman" w:eastAsia="Times New Roman" w:hAnsi="Times New Roman"/>
          <w:sz w:val="16"/>
          <w:szCs w:val="16"/>
          <w:color w:val="auto"/>
        </w:rPr>
        <w:t>C Preference Units”). The aggregate amount paid under the Repurchase Programme in the third quarter of 2022 was $20.0 million, including commissions and an amount of $4.7 million relating to 90,841 Series A Preference Units, 70,000 Series B Preference Units and 27,000 Series C Preference Units, which were repurchased during the third quarter of 2022 and cancelled post quarter-end, on October 3, 2022.</w:t>
      </w:r>
    </w:p>
    <w:p>
      <w:pPr>
        <w:spacing w:after="0" w:line="17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Since inception of the Repurchase Programme in March 2021 and up to October 27, 2022, GasLog Partners has repurchased and cancelled 415,406 Series A Preference Units, 1,051,066 Series B Preference Units and 827,043 Series C Preference Units at a weighted average price of $25.08, $25.04 and $25.18 per preference unit for Series A, Series B and Series C, respectively, for an aggregate amount of $57.7 million, including commissions.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LNG Market Update and Outlook</w:t>
      </w:r>
    </w:p>
    <w:p>
      <w:pPr>
        <w:spacing w:after="0" w:line="237"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6"/>
          <w:szCs w:val="16"/>
          <w:color w:val="auto"/>
        </w:rPr>
        <w:t>Global LNG demand was forecasted to be 97.3 million tonnes (“mt”) in the third quarter of 2022, according to Wood Mackenzie, Energy Research and Consultancy (“WoodMac”), compared to 88.6 mt in the third quarter of 2021, an increase of approximately 9.8%, primarily led by continued strong demand from Europe in response to continued disruption of gas pipeline imports from Russia. As a result of increased LNG imports, European inventories have recovered to seasonal average levels (88.7%), however Russian flows via Nord Stream 1 have completely ceased since the beginning of September, reducing possible sources of supply during the winter.</w:t>
      </w:r>
    </w:p>
    <w:p>
      <w:pPr>
        <w:spacing w:after="0" w:line="183"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6"/>
          <w:szCs w:val="16"/>
          <w:color w:val="auto"/>
        </w:rPr>
        <w:t>Global LNG supply was approximately 97.9 mt in the third quarter of 2022, growing by 5.3 mt, or 5.7%, compared to the third quarter of 2021, according to WoodMac. During 2022 year-to-date, LNG supply has increased by 15.5 mt with United States (“U.S.”) exports accounting for 5.5 mt. 62% of U.S. exports were directed to Europe year-to-date 2022, compared to about 34% in 2021, according to Kpler Analytics. Norwegian exports have also recovered to historical levels following the restart of Snøhvit.</w:t>
      </w:r>
    </w:p>
    <w:p>
      <w:pPr>
        <w:spacing w:after="0" w:line="18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Headline spot rates for TFDE LNG carriers, as reported by Clarkson Research Services Limited (“Clarksons”), averaged $94,464 per day in the third quarter of 2022, a 60% increase over the $58,788 per day average in the third quarter of 2021. Headline spot rates for Steam LNG carriers averaged $42,518 per day in the third quarter of 2022, a 2% increase over the average of $41,692 per day in the third quarter of 2021. Headline spot rates in the third quarter of 2022 began to exhibit seasonal tightness earlier than in 2021 due to anticipated volatility and tight availability of vessels for the winter. Demand for period employment has continued to define the third quarter of 2022 resulting in a lack of available independently owned vessels. This, in conjunction with the unwillingness of disponent owners to release vessels in anticipation of strong winter demand, has contributed to market tightness. Due to this and strong European demand, disponent owners have also been unwilling to allow vessels to leave the Atlantic Basin, creating further distortions.</w:t>
      </w:r>
    </w:p>
    <w:p>
      <w:pPr>
        <w:spacing w:after="0" w:line="190"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6"/>
          <w:szCs w:val="16"/>
          <w:color w:val="auto"/>
        </w:rPr>
        <w:t>One-year time charter rates for TFDE LNG carriers averaged $125,125 per day in the third quarter of 2022, a 29% increase over the $97,167 per day average in the third quarter of 2021. One-year time charter rates for Steam LNG carriers averaged $56,250 per day in the third quarter of 2022, 10% lower than the $62,650 daily average in the third quarter of 2021.</w:t>
      </w:r>
    </w:p>
    <w:p>
      <w:pPr>
        <w:spacing w:after="0" w:line="177"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6"/>
          <w:szCs w:val="16"/>
          <w:color w:val="auto"/>
        </w:rPr>
        <w:t>As of September 30, 2022, Poten &amp; Partners Group Inc. estimated that the orderbook totaled 248 dedicated LNG carriers (&gt;100,000 cbm) with deliveries between 2022 and 2028, representing 42% of the on-the-water fleet. Of these, 217 vessels (or 87.5%) have multi-year charters already contracted, leaving 31 vessels uncommitted with deliveries clustered between 2024-2026. There were 126 orders for newbuild LNG carriers in the first three quarters of 2022 compared with 75 orders for all of 2021.</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Preference Unit Distributions</w:t>
      </w:r>
    </w:p>
    <w:p>
      <w:pPr>
        <w:spacing w:after="0" w:line="237"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6"/>
          <w:szCs w:val="16"/>
          <w:color w:val="auto"/>
        </w:rPr>
        <w:t>On October 26, 2022, the board of directors of GasLog Partners approved and declared a distribution on the Series A Preference Units of $0.5390625 per preference unit, a distribution on the Series B Preference Units of $0.5125 per preference unit and a distribution on the Series C Preference Units of $0.53125 per preference unit. The cash distributions are payable on December 15, 2022 to all unitholders of record as of December 8, 2022.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Common Unit Distribution</w:t>
      </w:r>
    </w:p>
    <w:p>
      <w:pPr>
        <w:spacing w:after="0" w:line="237" w:lineRule="exact"/>
        <w:rPr>
          <w:sz w:val="20"/>
          <w:szCs w:val="20"/>
          <w:color w:val="auto"/>
        </w:rPr>
      </w:pPr>
    </w:p>
    <w:p>
      <w:pPr>
        <w:ind w:right="580"/>
        <w:spacing w:after="0" w:line="298" w:lineRule="auto"/>
        <w:rPr>
          <w:sz w:val="20"/>
          <w:szCs w:val="20"/>
          <w:color w:val="auto"/>
        </w:rPr>
      </w:pPr>
      <w:r>
        <w:rPr>
          <w:rFonts w:ascii="Times New Roman" w:cs="Times New Roman" w:eastAsia="Times New Roman" w:hAnsi="Times New Roman"/>
          <w:sz w:val="16"/>
          <w:szCs w:val="16"/>
          <w:color w:val="auto"/>
        </w:rPr>
        <w:t>On October 26, 2022, the board of directors of GasLog Partners approved and declared a quarterly cash distribution of $0.01 per common unit for the quarter ended September 30, 2022. The cash distribution is payable on November 10, 2022 to all unitholders of record as of November 7, 2022.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ATM Common Equity Offering Programme (“ATM Programme”)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Partnership did not issue any common units under the ATM Programme during the third quarter of 2022.</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Conference Call</w:t>
      </w:r>
    </w:p>
    <w:p>
      <w:pPr>
        <w:spacing w:after="0" w:line="237" w:lineRule="exact"/>
        <w:rPr>
          <w:sz w:val="20"/>
          <w:szCs w:val="20"/>
          <w:color w:val="auto"/>
        </w:rPr>
      </w:pPr>
    </w:p>
    <w:p>
      <w:pPr>
        <w:ind w:right="380"/>
        <w:spacing w:after="0" w:line="298" w:lineRule="auto"/>
        <w:rPr>
          <w:sz w:val="20"/>
          <w:szCs w:val="20"/>
          <w:color w:val="auto"/>
        </w:rPr>
      </w:pPr>
      <w:r>
        <w:rPr>
          <w:rFonts w:ascii="Times New Roman" w:cs="Times New Roman" w:eastAsia="Times New Roman" w:hAnsi="Times New Roman"/>
          <w:sz w:val="16"/>
          <w:szCs w:val="16"/>
          <w:color w:val="auto"/>
        </w:rPr>
        <w:t>GasLog Partners will host a conference call to discuss its results for the third quarter of 2022 at 8.00 a.m. EDT (3.00 p.m. EEST) on Thursday, October 27, 2022. The Partnership’s senior management will review the operational and financial performance for the period. Management’s presentation will be followed by a Q&amp;A session.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live webcast of the conference call will be available on the Investor Relations page of the GasLog Partners website (</w:t>
      </w:r>
      <w:r>
        <w:rPr>
          <w:rFonts w:ascii="Times New Roman" w:cs="Times New Roman" w:eastAsia="Times New Roman" w:hAnsi="Times New Roman"/>
          <w:sz w:val="16"/>
          <w:szCs w:val="16"/>
          <w:u w:val="single" w:color="auto"/>
          <w:color w:val="0000FF"/>
        </w:rPr>
        <w:t>http://www.gaslogmlp.com/investors</w:t>
      </w:r>
      <w:r>
        <w:rPr>
          <w:rFonts w:ascii="Times New Roman" w:cs="Times New Roman" w:eastAsia="Times New Roman" w:hAnsi="Times New Roman"/>
          <w:sz w:val="16"/>
          <w:szCs w:val="16"/>
          <w:color w:val="auto"/>
        </w:rPr>
        <w:t>).</w:t>
      </w:r>
    </w:p>
    <w:p>
      <w:pPr>
        <w:spacing w:after="0" w:line="235" w:lineRule="exact"/>
        <w:rPr>
          <w:sz w:val="20"/>
          <w:szCs w:val="20"/>
          <w:color w:val="auto"/>
        </w:rPr>
      </w:pPr>
    </w:p>
    <w:p>
      <w:pPr>
        <w:ind w:right="160"/>
        <w:spacing w:after="0" w:line="298" w:lineRule="auto"/>
        <w:rPr>
          <w:sz w:val="20"/>
          <w:szCs w:val="20"/>
          <w:color w:val="auto"/>
        </w:rPr>
      </w:pPr>
      <w:r>
        <w:rPr>
          <w:rFonts w:ascii="Times New Roman" w:cs="Times New Roman" w:eastAsia="Times New Roman" w:hAnsi="Times New Roman"/>
          <w:sz w:val="16"/>
          <w:szCs w:val="16"/>
          <w:color w:val="auto"/>
        </w:rPr>
        <w:t xml:space="preserve">The conference call will be accessible domestically or internationally, by pre-registering using the link provided at </w:t>
      </w:r>
      <w:r>
        <w:rPr>
          <w:rFonts w:ascii="Times New Roman" w:cs="Times New Roman" w:eastAsia="Times New Roman" w:hAnsi="Times New Roman"/>
          <w:sz w:val="16"/>
          <w:szCs w:val="16"/>
          <w:u w:val="single" w:color="auto"/>
          <w:color w:val="0000FF"/>
        </w:rPr>
        <w:t>http://www.gaslogmlp.com/investors</w:t>
      </w:r>
      <w:r>
        <w:rPr>
          <w:rFonts w:ascii="Times New Roman" w:cs="Times New Roman" w:eastAsia="Times New Roman" w:hAnsi="Times New Roman"/>
          <w:sz w:val="16"/>
          <w:szCs w:val="16"/>
          <w:color w:val="auto"/>
        </w:rPr>
        <w:t>. Upon registering, each participant will be provided with a Participant Dial-in Number, and a unique Personal</w:t>
      </w:r>
    </w:p>
    <w:p>
      <w:pPr>
        <w:spacing w:after="0" w:line="3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9"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color w:val="auto"/>
        </w:rPr>
        <w:t>PIN.</w:t>
      </w:r>
    </w:p>
    <w:p>
      <w:pPr>
        <w:spacing w:after="0" w:line="235" w:lineRule="exact"/>
        <w:rPr>
          <w:sz w:val="20"/>
          <w:szCs w:val="20"/>
          <w:color w:val="auto"/>
        </w:rPr>
      </w:pPr>
    </w:p>
    <w:p>
      <w:pPr>
        <w:ind w:right="1040"/>
        <w:spacing w:after="0" w:line="298" w:lineRule="auto"/>
        <w:rPr>
          <w:sz w:val="20"/>
          <w:szCs w:val="20"/>
          <w:color w:val="auto"/>
        </w:rPr>
      </w:pPr>
      <w:r>
        <w:rPr>
          <w:rFonts w:ascii="Times New Roman" w:cs="Times New Roman" w:eastAsia="Times New Roman" w:hAnsi="Times New Roman"/>
          <w:sz w:val="16"/>
          <w:szCs w:val="16"/>
          <w:color w:val="auto"/>
        </w:rPr>
        <w:t>For those unable to participate in the conference call, a replay of the webcast will be available on the Investor Relations page of the GasLog Partners website (</w:t>
      </w:r>
      <w:r>
        <w:rPr>
          <w:rFonts w:ascii="Times New Roman" w:cs="Times New Roman" w:eastAsia="Times New Roman" w:hAnsi="Times New Roman"/>
          <w:sz w:val="16"/>
          <w:szCs w:val="16"/>
          <w:u w:val="single" w:color="auto"/>
          <w:color w:val="0000FF"/>
        </w:rPr>
        <w:t>http://www.gaslogmlp.com/investors</w:t>
      </w:r>
      <w:r>
        <w:rPr>
          <w:rFonts w:ascii="Times New Roman" w:cs="Times New Roman" w:eastAsia="Times New Roman" w:hAnsi="Times New Roman"/>
          <w:sz w:val="16"/>
          <w:szCs w:val="16"/>
          <w:color w:val="auto"/>
        </w:rPr>
        <w:t>).</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About GasLog Partners</w:t>
      </w:r>
    </w:p>
    <w:p>
      <w:pPr>
        <w:spacing w:after="0" w:line="237"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6"/>
          <w:szCs w:val="16"/>
          <w:color w:val="auto"/>
        </w:rPr>
        <w:t xml:space="preserve">GasLog Partners is an owner and operator of LNG carriers. The Partnership’s fleet consists of 13 wholly-owned LNG carriers as well as one vessel on a bareboat charter, with an average carrying capacity of approximately 159,000 cbm. GasLog Partners is a publicly traded master limited partnership (NYSE: GLOP) but has elected to be treated as a C corporation for U.S. income tax purposes and therefore its investors receive an Internal Revenue Service Form 1099 with respect to any distributions declared and received. Visit GasLog Partners’ website at </w:t>
      </w:r>
      <w:r>
        <w:rPr>
          <w:rFonts w:ascii="Times New Roman" w:cs="Times New Roman" w:eastAsia="Times New Roman" w:hAnsi="Times New Roman"/>
          <w:sz w:val="16"/>
          <w:szCs w:val="16"/>
          <w:u w:val="single" w:color="auto"/>
          <w:color w:val="0000FF"/>
        </w:rPr>
        <w:t>http://www.gaslogmlp.com</w:t>
      </w:r>
      <w:r>
        <w:rPr>
          <w:rFonts w:ascii="Times New Roman" w:cs="Times New Roman" w:eastAsia="Times New Roman" w:hAnsi="Times New Roman"/>
          <w:sz w:val="16"/>
          <w:szCs w:val="16"/>
          <w:color w:val="auto"/>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Forward-Looking Statements</w:t>
      </w:r>
    </w:p>
    <w:p>
      <w:pPr>
        <w:spacing w:after="0" w:line="23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the Partnership expects, projects, believes or anticipates will or may occur in the future, particularly in relation to our operations, cash flows, financial position, liquidity and cash available for distributions, and the impact of changes to cash distributions on the Partnership’s business and growth prospects, plans, strategies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Factors that might cause future results and outcomes to differ include, but are not limited to, the following:</w:t>
      </w:r>
    </w:p>
    <w:p>
      <w:pPr>
        <w:spacing w:after="0" w:line="235" w:lineRule="exact"/>
        <w:rPr>
          <w:sz w:val="20"/>
          <w:szCs w:val="20"/>
          <w:color w:val="auto"/>
        </w:rPr>
      </w:pPr>
    </w:p>
    <w:p>
      <w:pPr>
        <w:ind w:left="660" w:right="300" w:hanging="328"/>
        <w:spacing w:after="0" w:line="269" w:lineRule="auto"/>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LNG shipping market conditions and trends, including spot and multi-year charter rates, ship values, factors affecting supply and demand of LNG and LNG shipping, including geopolitical events, technological advancements and opportunities for the profitable operations of LNG carriers;</w:t>
      </w:r>
    </w:p>
    <w:p>
      <w:pPr>
        <w:ind w:left="660" w:hanging="328"/>
        <w:spacing w:after="0"/>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charter hire rates, vessel utilization and vessel values;</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secure new multi-year charters at economically attractive rates;</w:t>
      </w:r>
    </w:p>
    <w:p>
      <w:pPr>
        <w:spacing w:after="0" w:line="18" w:lineRule="exact"/>
        <w:rPr>
          <w:rFonts w:ascii="Times New Roman" w:cs="Times New Roman" w:eastAsia="Times New Roman" w:hAnsi="Times New Roman"/>
          <w:sz w:val="16"/>
          <w:szCs w:val="16"/>
          <w:color w:val="auto"/>
        </w:rPr>
      </w:pPr>
    </w:p>
    <w:p>
      <w:pPr>
        <w:jc w:val="both"/>
        <w:ind w:left="660" w:right="160" w:hanging="328"/>
        <w:spacing w:after="0" w:line="264" w:lineRule="auto"/>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maximize the use of our vessels, including the re-deployment or disposition of vessels which are not operating under multi-year charters, including the risk that certain of our vessels may no longer have the latest technology at such time which may impact our ability to secure employment for such vessels as well as the rate at which we can charter such vessels;</w:t>
      </w:r>
    </w:p>
    <w:p>
      <w:pPr>
        <w:ind w:left="660" w:hanging="328"/>
        <w:spacing w:after="0"/>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our operating expenses, including crew costs, maintenance, dry-docking and insurance costs and bunker prices;</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number of off-hire days and dry-docking requirements, including our ability to complete scheduled dry-dockings on time and within budget;</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planned capital expenditures and availability of capital resources to fund capital expenditures;</w:t>
      </w:r>
    </w:p>
    <w:p>
      <w:pPr>
        <w:spacing w:after="0" w:line="18" w:lineRule="exact"/>
        <w:rPr>
          <w:rFonts w:ascii="Times New Roman" w:cs="Times New Roman" w:eastAsia="Times New Roman" w:hAnsi="Times New Roman"/>
          <w:sz w:val="16"/>
          <w:szCs w:val="16"/>
          <w:color w:val="auto"/>
        </w:rPr>
      </w:pPr>
    </w:p>
    <w:p>
      <w:pPr>
        <w:ind w:left="660" w:right="20" w:hanging="328"/>
        <w:spacing w:after="0" w:line="264" w:lineRule="auto"/>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business disruptions resulting from measures taken to reduce the spread of COVID-19, including possible delays due to the quarantine of vessels and crew, as well as government-imposed shutdowns;</w:t>
      </w:r>
    </w:p>
    <w:p>
      <w:pPr>
        <w:ind w:left="660" w:hanging="328"/>
        <w:spacing w:after="0"/>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prices for crude oil, petroleum products and natural gas, including LNG;</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exchange rates, especially the U.S. dollar and Euro;</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expand our portfolio by acquiring vessels through our drop-down pipeline with GasLog or by acquiring other assets from third parties;</w:t>
      </w:r>
    </w:p>
    <w:p>
      <w:pPr>
        <w:spacing w:after="0" w:line="18" w:lineRule="exact"/>
        <w:rPr>
          <w:rFonts w:ascii="Times New Roman" w:cs="Times New Roman" w:eastAsia="Times New Roman" w:hAnsi="Times New Roman"/>
          <w:sz w:val="16"/>
          <w:szCs w:val="16"/>
          <w:color w:val="auto"/>
        </w:rPr>
      </w:pPr>
    </w:p>
    <w:p>
      <w:pPr>
        <w:ind w:left="660" w:right="300" w:hanging="328"/>
        <w:spacing w:after="0" w:line="264" w:lineRule="auto"/>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leverage GasLog’s relationships and reputation in the shipping industry and the ability of GasLog to maintain long-term relationships with major energy companies and major LNG producers, marketers and consumers to obtain new charter contracts;</w:t>
      </w:r>
    </w:p>
    <w:p>
      <w:pPr>
        <w:ind w:left="660" w:right="140" w:hanging="328"/>
        <w:spacing w:after="0" w:line="264" w:lineRule="auto"/>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GasLog’s relationships with its employees and ship crews, its ability to retain key employees and provide services to us, and the availability of skilled labor, ship crews and management;</w:t>
      </w:r>
    </w:p>
    <w:p>
      <w:pPr>
        <w:ind w:left="660" w:hanging="328"/>
        <w:spacing w:after="0"/>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ownership of our charterers;</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customers’ performance of their obligations under our time charters and other contracts;</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future operating performance, financial condition, liquidity and cash available for distributions;</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distribution policy and our ability to make cash distributions on our units or the impact of changes to cash distributions on our financial position;</w:t>
      </w:r>
    </w:p>
    <w:p>
      <w:pPr>
        <w:spacing w:after="0" w:line="18" w:lineRule="exact"/>
        <w:rPr>
          <w:rFonts w:ascii="Times New Roman" w:cs="Times New Roman" w:eastAsia="Times New Roman" w:hAnsi="Times New Roman"/>
          <w:sz w:val="16"/>
          <w:szCs w:val="16"/>
          <w:color w:val="auto"/>
        </w:rPr>
      </w:pPr>
    </w:p>
    <w:p>
      <w:pPr>
        <w:ind w:left="660" w:right="260" w:hanging="328"/>
        <w:spacing w:after="0" w:line="264" w:lineRule="auto"/>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obtain debt and equity financing on acceptable terms to fund capital expenditures, acquisitions and other corporate activities, funding by banks of their financial commitments and our ability to meet our restrictive covenants and other obligations under our credit facilities;</w:t>
      </w:r>
    </w:p>
    <w:p>
      <w:pPr>
        <w:ind w:left="660" w:hanging="328"/>
        <w:spacing w:after="0"/>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future, pending or recent acquisitions of ships or other assets, business strategy, areas of possible expansion and expected capital spending;</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inherent in ship operation, including the discharge of pollutants;</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malfunction or disruption of information technology systems and networks that our operations rely on or any impact of a possible cybersecurity event;</w:t>
      </w:r>
    </w:p>
    <w:p>
      <w:pPr>
        <w:spacing w:after="0" w:line="18" w:lineRule="exact"/>
        <w:rPr>
          <w:rFonts w:ascii="Times New Roman" w:cs="Times New Roman" w:eastAsia="Times New Roman" w:hAnsi="Times New Roman"/>
          <w:sz w:val="16"/>
          <w:szCs w:val="16"/>
          <w:color w:val="auto"/>
        </w:rPr>
      </w:pPr>
    </w:p>
    <w:p>
      <w:pPr>
        <w:ind w:left="660" w:hanging="328"/>
        <w:spacing w:after="0" w:line="288" w:lineRule="auto"/>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expected cost of and our ability to comply with environmental and regulatory requirements related to climate change, including with respect to emissions of air pollutants and greenhouse gases, as well as future changes in such requirements or other actions taken by</w:t>
      </w: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9" w:right="359" w:bottom="1440" w:gutter="0" w:footer="0" w:header="0"/>
        </w:sectPr>
      </w:pPr>
    </w:p>
    <w:bookmarkStart w:id="7" w:name="page8"/>
    <w:bookmarkEnd w:id="7"/>
    <w:p>
      <w:pPr>
        <w:ind w:left="660"/>
        <w:spacing w:after="0"/>
        <w:rPr>
          <w:sz w:val="20"/>
          <w:szCs w:val="20"/>
          <w:color w:val="auto"/>
        </w:rPr>
      </w:pPr>
      <w:r>
        <w:rPr>
          <w:rFonts w:ascii="Times New Roman" w:cs="Times New Roman" w:eastAsia="Times New Roman" w:hAnsi="Times New Roman"/>
          <w:sz w:val="16"/>
          <w:szCs w:val="16"/>
          <w:color w:val="auto"/>
        </w:rPr>
        <w:t>regulatory authorities, governmental organizations, classification societies and standards imposed by our charterers applicable to our business;</w:t>
      </w:r>
    </w:p>
    <w:p>
      <w:pPr>
        <w:spacing w:after="0" w:line="26"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disruption of shipping routes due to accidents, diseases, pandemics, political events, piracy or acts by terrorists;</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liability from future litigation; and</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other risks and uncertainties described in the Partnership’s Annual Report on Form 20-F filed with the SEC on March 1, 2022, available at </w:t>
      </w:r>
      <w:r>
        <w:rPr>
          <w:rFonts w:ascii="Times New Roman" w:cs="Times New Roman" w:eastAsia="Times New Roman" w:hAnsi="Times New Roman"/>
          <w:sz w:val="16"/>
          <w:szCs w:val="16"/>
          <w:u w:val="single" w:color="auto"/>
          <w:color w:val="0000FF"/>
        </w:rPr>
        <w:t>http://www.sec.gov</w:t>
      </w:r>
      <w:r>
        <w:rPr>
          <w:rFonts w:ascii="Times New Roman" w:cs="Times New Roman" w:eastAsia="Times New Roman" w:hAnsi="Times New Roman"/>
          <w:sz w:val="16"/>
          <w:szCs w:val="16"/>
          <w:color w:val="auto"/>
        </w:rPr>
        <w:t>.</w:t>
      </w:r>
    </w:p>
    <w:p>
      <w:pPr>
        <w:spacing w:after="0" w:line="227"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6"/>
          <w:szCs w:val="16"/>
          <w:color w:val="auto"/>
        </w:rPr>
        <w:t>We undertake no obligation to update or revise any forward-looking statements contained in this press release,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83"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The declaration and payment of distributions are at all times subject to the discretion of our board of directors and will depend on, amongst other things, risks and uncertainties described above, restrictions in our credit facilities, the provisions of Marshall Islands law and such other factors as our board of directors may deem relevant.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Contacts: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Robert Brinberg</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Rose &amp; Company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Phone: +1 212-517-0810</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Email: </w:t>
      </w:r>
      <w:r>
        <w:rPr>
          <w:rFonts w:ascii="Times New Roman" w:cs="Times New Roman" w:eastAsia="Times New Roman" w:hAnsi="Times New Roman"/>
          <w:sz w:val="16"/>
          <w:szCs w:val="16"/>
          <w:u w:val="single" w:color="auto"/>
          <w:color w:val="0000FF"/>
        </w:rPr>
        <w:t>gaslog@roseandco.com</w:t>
      </w: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909" w:right="4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2"/>
        </w:trPr>
        <w:tc>
          <w:tcPr>
            <w:tcW w:w="8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 I – Unaudited Interim Financial Information</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8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financial position</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 of December 31, 2021 and September 30, 2022</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(All amounts expressed in thousands of U.S. Dollars, except unit data)</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8440" w:type="dxa"/>
            <w:vAlign w:val="bottom"/>
          </w:tcPr>
          <w:p>
            <w:pPr>
              <w:spacing w:after="0"/>
              <w:rPr>
                <w:sz w:val="24"/>
                <w:szCs w:val="24"/>
                <w:color w:val="auto"/>
              </w:rPr>
            </w:pPr>
          </w:p>
        </w:tc>
        <w:tc>
          <w:tcPr>
            <w:tcW w:w="14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34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5"/>
        </w:trPr>
        <w:tc>
          <w:tcPr>
            <w:tcW w:w="8440" w:type="dxa"/>
            <w:vAlign w:val="bottom"/>
            <w:tcBorders>
              <w:bottom w:val="single" w:sz="8" w:color="E5FFFF"/>
            </w:tcBorders>
          </w:tcPr>
          <w:p>
            <w:pPr>
              <w:spacing w:after="0"/>
              <w:rPr>
                <w:sz w:val="18"/>
                <w:szCs w:val="18"/>
                <w:color w:val="auto"/>
              </w:rPr>
            </w:pPr>
          </w:p>
        </w:tc>
        <w:tc>
          <w:tcPr>
            <w:tcW w:w="124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Borders>
              <w:bottom w:val="single" w:sz="8" w:color="E5FFFF"/>
            </w:tcBorders>
          </w:tcPr>
          <w:p>
            <w:pPr>
              <w:spacing w:after="0"/>
              <w:rPr>
                <w:sz w:val="18"/>
                <w:szCs w:val="18"/>
                <w:color w:val="auto"/>
              </w:rPr>
            </w:pPr>
          </w:p>
        </w:tc>
        <w:tc>
          <w:tcPr>
            <w:tcW w:w="124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bottom w:val="single" w:sz="8" w:color="E5FFFF"/>
            </w:tcBorders>
          </w:tcPr>
          <w:p>
            <w:pPr>
              <w:spacing w:after="0"/>
              <w:rPr>
                <w:sz w:val="18"/>
                <w:szCs w:val="18"/>
                <w:color w:val="auto"/>
              </w:rPr>
            </w:pPr>
          </w:p>
        </w:tc>
        <w:tc>
          <w:tcPr>
            <w:tcW w:w="8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4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4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220" w:type="dxa"/>
            <w:vAlign w:val="bottom"/>
            <w:shd w:val="clear" w:color="auto" w:fill="E5FFFF"/>
          </w:tcPr>
          <w:p>
            <w:pPr>
              <w:spacing w:after="0"/>
              <w:rPr>
                <w:sz w:val="17"/>
                <w:szCs w:val="17"/>
                <w:color w:val="auto"/>
              </w:rPr>
            </w:pPr>
          </w:p>
        </w:tc>
        <w:tc>
          <w:tcPr>
            <w:tcW w:w="126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109</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Derivative financial instruments – non-current portion</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1,616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Tangible fixed assets</w:t>
            </w: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1,888,583</w:t>
            </w:r>
          </w:p>
        </w:tc>
        <w:tc>
          <w:tcPr>
            <w:tcW w:w="220" w:type="dxa"/>
            <w:vAlign w:val="bottom"/>
            <w:shd w:val="clear" w:color="auto" w:fill="E5FFFF"/>
          </w:tcPr>
          <w:p>
            <w:pPr>
              <w:spacing w:after="0"/>
              <w:rPr>
                <w:sz w:val="17"/>
                <w:szCs w:val="17"/>
                <w:color w:val="auto"/>
              </w:rPr>
            </w:pPr>
          </w:p>
        </w:tc>
        <w:tc>
          <w:tcPr>
            <w:tcW w:w="126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1,696,055</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Right-of-use assets</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81,996</w:t>
            </w:r>
          </w:p>
        </w:tc>
        <w:tc>
          <w:tcPr>
            <w:tcW w:w="220" w:type="dxa"/>
            <w:vAlign w:val="bottom"/>
          </w:tcPr>
          <w:p>
            <w:pPr>
              <w:spacing w:after="0"/>
              <w:rPr>
                <w:sz w:val="17"/>
                <w:szCs w:val="17"/>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69,192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4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Total non-current assets</w:t>
            </w: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1,970,623</w:t>
            </w:r>
          </w:p>
        </w:tc>
        <w:tc>
          <w:tcPr>
            <w:tcW w:w="22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1,766,972</w:t>
            </w:r>
          </w:p>
        </w:tc>
        <w:tc>
          <w:tcPr>
            <w:tcW w:w="2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4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Vessel held for sale</w:t>
            </w:r>
          </w:p>
        </w:tc>
        <w:tc>
          <w:tcPr>
            <w:tcW w:w="146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60,760</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Trade and other receivables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11,156</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20,278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Inventories</w:t>
            </w: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2,991</w:t>
            </w:r>
          </w:p>
        </w:tc>
        <w:tc>
          <w:tcPr>
            <w:tcW w:w="220" w:type="dxa"/>
            <w:vAlign w:val="bottom"/>
            <w:shd w:val="clear" w:color="auto" w:fill="E5FFFF"/>
          </w:tcPr>
          <w:p>
            <w:pPr>
              <w:spacing w:after="0"/>
              <w:rPr>
                <w:sz w:val="17"/>
                <w:szCs w:val="17"/>
                <w:color w:val="auto"/>
              </w:rPr>
            </w:pPr>
          </w:p>
        </w:tc>
        <w:tc>
          <w:tcPr>
            <w:tcW w:w="126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3,075</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Prepayments and other current assets</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1,433</w:t>
            </w:r>
          </w:p>
        </w:tc>
        <w:tc>
          <w:tcPr>
            <w:tcW w:w="220" w:type="dxa"/>
            <w:vAlign w:val="bottom"/>
          </w:tcPr>
          <w:p>
            <w:pPr>
              <w:spacing w:after="0"/>
              <w:rPr>
                <w:sz w:val="17"/>
                <w:szCs w:val="17"/>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1,490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Derivative financial instruments – current portion</w:t>
            </w:r>
          </w:p>
        </w:tc>
        <w:tc>
          <w:tcPr>
            <w:tcW w:w="146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1,718</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Short-term cash deposits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25,000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145,530</w:t>
            </w:r>
          </w:p>
        </w:tc>
        <w:tc>
          <w:tcPr>
            <w:tcW w:w="220" w:type="dxa"/>
            <w:vAlign w:val="bottom"/>
            <w:shd w:val="clear" w:color="auto" w:fill="E5FFFF"/>
          </w:tcPr>
          <w:p>
            <w:pPr>
              <w:spacing w:after="0"/>
              <w:rPr>
                <w:sz w:val="17"/>
                <w:szCs w:val="17"/>
                <w:color w:val="auto"/>
              </w:rPr>
            </w:pPr>
          </w:p>
        </w:tc>
        <w:tc>
          <w:tcPr>
            <w:tcW w:w="126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138,956</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4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161,110</w:t>
            </w:r>
          </w:p>
        </w:tc>
        <w:tc>
          <w:tcPr>
            <w:tcW w:w="220" w:type="dxa"/>
            <w:vAlign w:val="bottom"/>
            <w:tcBorders>
              <w:bottom w:val="single" w:sz="8" w:color="E5FF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251,277</w:t>
            </w:r>
          </w:p>
        </w:tc>
        <w:tc>
          <w:tcPr>
            <w:tcW w:w="20" w:type="dxa"/>
            <w:vAlign w:val="bottom"/>
            <w:tcBorders>
              <w:bottom w:val="single" w:sz="8" w:color="E5FFFF"/>
            </w:tcBorders>
          </w:tcPr>
          <w:p>
            <w:pPr>
              <w:spacing w:after="0"/>
              <w:rPr>
                <w:sz w:val="17"/>
                <w:szCs w:val="17"/>
                <w:color w:val="auto"/>
              </w:rPr>
            </w:pPr>
          </w:p>
        </w:tc>
        <w:tc>
          <w:tcPr>
            <w:tcW w:w="80" w:type="dxa"/>
            <w:vAlign w:val="bottom"/>
            <w:tcBorders>
              <w:bottom w:val="single" w:sz="8" w:color="E5FF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40" w:type="dxa"/>
            <w:vAlign w:val="bottom"/>
            <w:tcBorders>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2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2,131,733</w:t>
            </w:r>
          </w:p>
        </w:tc>
        <w:tc>
          <w:tcPr>
            <w:tcW w:w="220" w:type="dxa"/>
            <w:vAlign w:val="bottom"/>
            <w:tcBorders>
              <w:bottom w:val="single" w:sz="8" w:color="E5FFFF"/>
            </w:tcBorders>
            <w:shd w:val="clear" w:color="auto" w:fill="E5FFFF"/>
          </w:tcPr>
          <w:p>
            <w:pPr>
              <w:spacing w:after="0"/>
              <w:rPr>
                <w:sz w:val="17"/>
                <w:szCs w:val="17"/>
                <w:color w:val="auto"/>
              </w:rPr>
            </w:pPr>
          </w:p>
        </w:tc>
        <w:tc>
          <w:tcPr>
            <w:tcW w:w="12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2,018,249</w:t>
            </w:r>
          </w:p>
        </w:tc>
        <w:tc>
          <w:tcPr>
            <w:tcW w:w="20" w:type="dxa"/>
            <w:vAlign w:val="bottom"/>
            <w:tcBorders>
              <w:bottom w:val="single" w:sz="8" w:color="E5FFFF"/>
            </w:tcBorders>
            <w:shd w:val="clear" w:color="auto" w:fill="E5FFFF"/>
          </w:tcPr>
          <w:p>
            <w:pPr>
              <w:spacing w:after="0"/>
              <w:rPr>
                <w:sz w:val="17"/>
                <w:szCs w:val="17"/>
                <w:color w:val="auto"/>
              </w:rPr>
            </w:pPr>
          </w:p>
        </w:tc>
        <w:tc>
          <w:tcPr>
            <w:tcW w:w="80" w:type="dxa"/>
            <w:vAlign w:val="bottom"/>
            <w:tcBorders>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Partners’ equity and liabilities</w:t>
            </w: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440" w:type="dxa"/>
            <w:vAlign w:val="bottom"/>
            <w:vMerge w:val="continue"/>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4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Partners’ equity</w:t>
            </w:r>
          </w:p>
        </w:tc>
        <w:tc>
          <w:tcPr>
            <w:tcW w:w="124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1240" w:type="dxa"/>
            <w:vAlign w:val="bottom"/>
            <w:shd w:val="clear" w:color="auto" w:fill="E5FFFF"/>
          </w:tcPr>
          <w:p>
            <w:pPr>
              <w:spacing w:after="0"/>
              <w:rPr>
                <w:sz w:val="19"/>
                <w:szCs w:val="19"/>
                <w:color w:val="auto"/>
              </w:rPr>
            </w:pPr>
          </w:p>
        </w:tc>
        <w:tc>
          <w:tcPr>
            <w:tcW w:w="20" w:type="dxa"/>
            <w:vAlign w:val="bottom"/>
            <w:shd w:val="clear" w:color="auto" w:fill="E5FFFF"/>
          </w:tcPr>
          <w:p>
            <w:pPr>
              <w:spacing w:after="0"/>
              <w:rPr>
                <w:sz w:val="19"/>
                <w:szCs w:val="19"/>
                <w:color w:val="auto"/>
              </w:rPr>
            </w:pPr>
          </w:p>
        </w:tc>
        <w:tc>
          <w:tcPr>
            <w:tcW w:w="8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Common unitholders (51,137,201 units issued and outstanding as of December 31, 2021 and 51,687,865 units issued and</w:t>
            </w: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outstanding as of September 30, 2022)</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579,447</w:t>
            </w:r>
          </w:p>
        </w:tc>
        <w:tc>
          <w:tcPr>
            <w:tcW w:w="2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635,193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84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General partner (1,077,494 units issued and outstanding as of December 31, 2021 and 1,080,263 units issued and outstanding as</w:t>
            </w:r>
          </w:p>
        </w:tc>
        <w:tc>
          <w:tcPr>
            <w:tcW w:w="124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1240" w:type="dxa"/>
            <w:vAlign w:val="bottom"/>
            <w:shd w:val="clear" w:color="auto" w:fill="E5FFFF"/>
          </w:tcPr>
          <w:p>
            <w:pPr>
              <w:spacing w:after="0"/>
              <w:rPr>
                <w:sz w:val="16"/>
                <w:szCs w:val="16"/>
                <w:color w:val="auto"/>
              </w:rPr>
            </w:pPr>
          </w:p>
        </w:tc>
        <w:tc>
          <w:tcPr>
            <w:tcW w:w="20" w:type="dxa"/>
            <w:vAlign w:val="bottom"/>
            <w:shd w:val="clear" w:color="auto" w:fill="E5FFFF"/>
          </w:tcPr>
          <w:p>
            <w:pPr>
              <w:spacing w:after="0"/>
              <w:rPr>
                <w:sz w:val="16"/>
                <w:szCs w:val="16"/>
                <w:color w:val="auto"/>
              </w:rPr>
            </w:pPr>
          </w:p>
        </w:tc>
        <w:tc>
          <w:tcPr>
            <w:tcW w:w="80" w:type="dxa"/>
            <w:vAlign w:val="bottom"/>
            <w:shd w:val="clear" w:color="auto" w:fill="E5FF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6"/>
                <w:szCs w:val="16"/>
                <w:color w:val="auto"/>
              </w:rPr>
              <w:t>of September 30, 2022)</w:t>
            </w: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10,717</w:t>
            </w:r>
          </w:p>
        </w:tc>
        <w:tc>
          <w:tcPr>
            <w:tcW w:w="220" w:type="dxa"/>
            <w:vAlign w:val="bottom"/>
            <w:shd w:val="clear" w:color="auto" w:fill="E5FFFF"/>
          </w:tcPr>
          <w:p>
            <w:pPr>
              <w:spacing w:after="0"/>
              <w:rPr>
                <w:sz w:val="18"/>
                <w:szCs w:val="18"/>
                <w:color w:val="auto"/>
              </w:rPr>
            </w:pPr>
          </w:p>
        </w:tc>
        <w:tc>
          <w:tcPr>
            <w:tcW w:w="1340" w:type="dxa"/>
            <w:vAlign w:val="bottom"/>
            <w:gridSpan w:val="3"/>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11,902</w:t>
            </w:r>
          </w:p>
        </w:tc>
        <w:tc>
          <w:tcPr>
            <w:tcW w:w="0" w:type="dxa"/>
            <w:vAlign w:val="bottom"/>
          </w:tcPr>
          <w:p>
            <w:pPr>
              <w:spacing w:after="0"/>
              <w:rPr>
                <w:sz w:val="1"/>
                <w:szCs w:val="1"/>
                <w:color w:val="auto"/>
              </w:rPr>
            </w:pPr>
          </w:p>
        </w:tc>
      </w:tr>
      <w:tr>
        <w:trPr>
          <w:trHeight w:val="189"/>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Preference unitholders (5,750,000 Series A Preference Units, 4,135,571 Series B Preference Units and 3,730,451 Series C</w:t>
            </w: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Preference Units issued and outstanding as of December 31, 2021 and 5,436,221 Series A Preference Units, 3,624,034</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Series B Preference Units and 3,205,857 Series C Preference Units issued and outstanding as of September 30, 2022)</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329,334</w:t>
            </w:r>
          </w:p>
        </w:tc>
        <w:tc>
          <w:tcPr>
            <w:tcW w:w="2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290,322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844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Total partners’ equity</w:t>
            </w: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919,498</w:t>
            </w:r>
          </w:p>
        </w:tc>
        <w:tc>
          <w:tcPr>
            <w:tcW w:w="22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937,417</w:t>
            </w:r>
          </w:p>
        </w:tc>
        <w:tc>
          <w:tcPr>
            <w:tcW w:w="2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4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Trade accounts payable</w:t>
            </w: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9,547</w:t>
            </w:r>
          </w:p>
        </w:tc>
        <w:tc>
          <w:tcPr>
            <w:tcW w:w="220" w:type="dxa"/>
            <w:vAlign w:val="bottom"/>
            <w:shd w:val="clear" w:color="auto" w:fill="E5FFFF"/>
          </w:tcPr>
          <w:p>
            <w:pPr>
              <w:spacing w:after="0"/>
              <w:rPr>
                <w:sz w:val="17"/>
                <w:szCs w:val="17"/>
                <w:color w:val="auto"/>
              </w:rPr>
            </w:pPr>
          </w:p>
        </w:tc>
        <w:tc>
          <w:tcPr>
            <w:tcW w:w="126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10,391</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Due to related parties</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w:t>
            </w:r>
          </w:p>
        </w:tc>
        <w:tc>
          <w:tcPr>
            <w:tcW w:w="220" w:type="dxa"/>
            <w:vAlign w:val="bottom"/>
          </w:tcPr>
          <w:p>
            <w:pPr>
              <w:spacing w:after="0"/>
              <w:rPr>
                <w:sz w:val="17"/>
                <w:szCs w:val="17"/>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1,172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Derivative financial instruments—current portion</w:t>
            </w: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5,184</w:t>
            </w:r>
          </w:p>
        </w:tc>
        <w:tc>
          <w:tcPr>
            <w:tcW w:w="220" w:type="dxa"/>
            <w:vAlign w:val="bottom"/>
            <w:shd w:val="clear" w:color="auto" w:fill="E5FFFF"/>
          </w:tcPr>
          <w:p>
            <w:pPr>
              <w:spacing w:after="0"/>
              <w:rPr>
                <w:sz w:val="17"/>
                <w:szCs w:val="17"/>
                <w:color w:val="auto"/>
              </w:rPr>
            </w:pPr>
          </w:p>
        </w:tc>
        <w:tc>
          <w:tcPr>
            <w:tcW w:w="1340" w:type="dxa"/>
            <w:vAlign w:val="bottom"/>
            <w:gridSpan w:val="3"/>
            <w:shd w:val="clear" w:color="auto" w:fill="E5FF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Other payables and accruals</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50,171</w:t>
            </w:r>
          </w:p>
        </w:tc>
        <w:tc>
          <w:tcPr>
            <w:tcW w:w="220" w:type="dxa"/>
            <w:vAlign w:val="bottom"/>
          </w:tcPr>
          <w:p>
            <w:pPr>
              <w:spacing w:after="0"/>
              <w:rPr>
                <w:sz w:val="17"/>
                <w:szCs w:val="17"/>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49,915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Borrowings—current portion</w:t>
            </w: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99,307</w:t>
            </w:r>
          </w:p>
        </w:tc>
        <w:tc>
          <w:tcPr>
            <w:tcW w:w="220" w:type="dxa"/>
            <w:vAlign w:val="bottom"/>
            <w:shd w:val="clear" w:color="auto" w:fill="E5FFFF"/>
          </w:tcPr>
          <w:p>
            <w:pPr>
              <w:spacing w:after="0"/>
              <w:rPr>
                <w:sz w:val="17"/>
                <w:szCs w:val="17"/>
                <w:color w:val="auto"/>
              </w:rPr>
            </w:pPr>
          </w:p>
        </w:tc>
        <w:tc>
          <w:tcPr>
            <w:tcW w:w="126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122,851</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Lease liabilities—current portion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10,342</w:t>
            </w:r>
          </w:p>
        </w:tc>
        <w:tc>
          <w:tcPr>
            <w:tcW w:w="220" w:type="dxa"/>
            <w:vAlign w:val="bottom"/>
          </w:tcPr>
          <w:p>
            <w:pPr>
              <w:spacing w:after="0"/>
              <w:rPr>
                <w:sz w:val="17"/>
                <w:szCs w:val="17"/>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10,535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4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175,503</w:t>
            </w:r>
          </w:p>
        </w:tc>
        <w:tc>
          <w:tcPr>
            <w:tcW w:w="22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194,864</w:t>
            </w:r>
          </w:p>
        </w:tc>
        <w:tc>
          <w:tcPr>
            <w:tcW w:w="2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4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Derivative financial instruments—non-current portion</w:t>
            </w: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4,061</w:t>
            </w:r>
          </w:p>
        </w:tc>
        <w:tc>
          <w:tcPr>
            <w:tcW w:w="220" w:type="dxa"/>
            <w:vAlign w:val="bottom"/>
            <w:shd w:val="clear" w:color="auto" w:fill="E5FFFF"/>
          </w:tcPr>
          <w:p>
            <w:pPr>
              <w:spacing w:after="0"/>
              <w:rPr>
                <w:sz w:val="17"/>
                <w:szCs w:val="17"/>
                <w:color w:val="auto"/>
              </w:rPr>
            </w:pPr>
          </w:p>
        </w:tc>
        <w:tc>
          <w:tcPr>
            <w:tcW w:w="1340" w:type="dxa"/>
            <w:vAlign w:val="bottom"/>
            <w:gridSpan w:val="3"/>
            <w:shd w:val="clear" w:color="auto" w:fill="E5FF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Borrowings—non-current portion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986,451</w:t>
            </w:r>
          </w:p>
        </w:tc>
        <w:tc>
          <w:tcPr>
            <w:tcW w:w="220" w:type="dxa"/>
            <w:vAlign w:val="bottom"/>
          </w:tcPr>
          <w:p>
            <w:pPr>
              <w:spacing w:after="0"/>
              <w:rPr>
                <w:sz w:val="17"/>
                <w:szCs w:val="17"/>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847,988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Lease liabilities—non-current portion</w:t>
            </w: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45,556</w:t>
            </w:r>
          </w:p>
        </w:tc>
        <w:tc>
          <w:tcPr>
            <w:tcW w:w="220" w:type="dxa"/>
            <w:vAlign w:val="bottom"/>
            <w:shd w:val="clear" w:color="auto" w:fill="E5FFFF"/>
          </w:tcPr>
          <w:p>
            <w:pPr>
              <w:spacing w:after="0"/>
              <w:rPr>
                <w:sz w:val="17"/>
                <w:szCs w:val="17"/>
                <w:color w:val="auto"/>
              </w:rPr>
            </w:pPr>
          </w:p>
        </w:tc>
        <w:tc>
          <w:tcPr>
            <w:tcW w:w="126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37,680</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220" w:type="dxa"/>
            <w:vAlign w:val="bottom"/>
          </w:tcPr>
          <w:p>
            <w:pPr>
              <w:spacing w:after="0"/>
              <w:rPr>
                <w:sz w:val="17"/>
                <w:szCs w:val="17"/>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4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Total non-current liabilities</w:t>
            </w: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1,036,732</w:t>
            </w:r>
          </w:p>
        </w:tc>
        <w:tc>
          <w:tcPr>
            <w:tcW w:w="22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885,968</w:t>
            </w:r>
          </w:p>
        </w:tc>
        <w:tc>
          <w:tcPr>
            <w:tcW w:w="2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partners’ equity and liabilities</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2,131,733</w:t>
            </w:r>
          </w:p>
        </w:tc>
        <w:tc>
          <w:tcPr>
            <w:tcW w:w="220" w:type="dxa"/>
            <w:vAlign w:val="bottom"/>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2,018,249</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profit or loss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 the three and nine months ended September 30, 2021 and 2022</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(All amounts expressed in thousands of U.S. Dollars, except per unit data)</w:t>
      </w:r>
    </w:p>
    <w:p>
      <w:pPr>
        <w:spacing w:after="0" w:line="238" w:lineRule="exact"/>
        <w:rPr>
          <w:sz w:val="20"/>
          <w:szCs w:val="20"/>
          <w:color w:val="auto"/>
        </w:rPr>
      </w:pPr>
    </w:p>
    <w:tbl>
      <w:tblPr>
        <w:tblLayout w:type="fixed"/>
        <w:tblInd w:w="40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2800" w:type="dxa"/>
            <w:vAlign w:val="bottom"/>
            <w:gridSpan w:val="4"/>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700" w:type="dxa"/>
            <w:vAlign w:val="bottom"/>
            <w:gridSpan w:val="4"/>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1400" w:type="dxa"/>
            <w:vAlign w:val="bottom"/>
            <w:tcBorders>
              <w:top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16"/>
                <w:szCs w:val="16"/>
                <w:color w:val="auto"/>
              </w:rPr>
            </w:pPr>
          </w:p>
        </w:tc>
        <w:tc>
          <w:tcPr>
            <w:tcW w:w="1420" w:type="dxa"/>
            <w:vAlign w:val="bottom"/>
            <w:tcBorders>
              <w:top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1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1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Pr>
          <w:p>
            <w:pPr>
              <w:spacing w:after="0"/>
              <w:rPr>
                <w:sz w:val="18"/>
                <w:szCs w:val="18"/>
                <w:color w:val="auto"/>
              </w:rPr>
            </w:pPr>
          </w:p>
        </w:tc>
        <w:tc>
          <w:tcPr>
            <w:tcW w:w="12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8"/>
                <w:szCs w:val="18"/>
                <w:color w:val="auto"/>
              </w:rPr>
            </w:pPr>
          </w:p>
        </w:tc>
        <w:tc>
          <w:tcPr>
            <w:tcW w:w="12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Pr>
          <w:p>
            <w:pPr>
              <w:spacing w:after="0"/>
              <w:rPr>
                <w:sz w:val="18"/>
                <w:szCs w:val="18"/>
                <w:color w:val="auto"/>
              </w:rPr>
            </w:pPr>
          </w:p>
        </w:tc>
        <w:tc>
          <w:tcPr>
            <w:tcW w:w="11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Revenues</w:t>
            </w:r>
          </w:p>
        </w:tc>
        <w:tc>
          <w:tcPr>
            <w:tcW w:w="11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80,535</w:t>
            </w:r>
          </w:p>
        </w:tc>
        <w:tc>
          <w:tcPr>
            <w:tcW w:w="220" w:type="dxa"/>
            <w:vAlign w:val="bottom"/>
            <w:shd w:val="clear" w:color="auto" w:fill="E5FFFF"/>
          </w:tcPr>
          <w:p>
            <w:pPr>
              <w:spacing w:after="0"/>
              <w:rPr>
                <w:sz w:val="17"/>
                <w:szCs w:val="17"/>
                <w:color w:val="auto"/>
              </w:rPr>
            </w:pPr>
          </w:p>
        </w:tc>
        <w:tc>
          <w:tcPr>
            <w:tcW w:w="12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95,679</w:t>
            </w:r>
          </w:p>
        </w:tc>
        <w:tc>
          <w:tcPr>
            <w:tcW w:w="200" w:type="dxa"/>
            <w:vAlign w:val="bottom"/>
            <w:shd w:val="clear" w:color="auto" w:fill="E5FFFF"/>
          </w:tcPr>
          <w:p>
            <w:pPr>
              <w:spacing w:after="0"/>
              <w:rPr>
                <w:sz w:val="17"/>
                <w:szCs w:val="17"/>
                <w:color w:val="auto"/>
              </w:rPr>
            </w:pPr>
          </w:p>
        </w:tc>
        <w:tc>
          <w:tcPr>
            <w:tcW w:w="12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237,975</w:t>
            </w:r>
          </w:p>
        </w:tc>
        <w:tc>
          <w:tcPr>
            <w:tcW w:w="220" w:type="dxa"/>
            <w:vAlign w:val="bottom"/>
            <w:shd w:val="clear" w:color="auto" w:fill="E5FFFF"/>
          </w:tcPr>
          <w:p>
            <w:pPr>
              <w:spacing w:after="0"/>
              <w:rPr>
                <w:sz w:val="17"/>
                <w:szCs w:val="17"/>
                <w:color w:val="auto"/>
              </w:rPr>
            </w:pPr>
          </w:p>
        </w:tc>
        <w:tc>
          <w:tcPr>
            <w:tcW w:w="11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266,060</w:t>
            </w: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Voyage expenses and commissions</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(1,371)</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(1,383)</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(5,302)</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(5,016)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Vessel operating costs</w:t>
            </w:r>
          </w:p>
        </w:tc>
        <w:tc>
          <w:tcPr>
            <w:tcW w:w="140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6"/>
                <w:szCs w:val="16"/>
                <w:color w:val="auto"/>
              </w:rPr>
              <w:t>(18,555)</w:t>
            </w:r>
          </w:p>
        </w:tc>
        <w:tc>
          <w:tcPr>
            <w:tcW w:w="140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6"/>
                <w:szCs w:val="16"/>
                <w:color w:val="auto"/>
              </w:rPr>
              <w:t>(16,744)</w:t>
            </w:r>
          </w:p>
        </w:tc>
        <w:tc>
          <w:tcPr>
            <w:tcW w:w="1420" w:type="dxa"/>
            <w:vAlign w:val="bottom"/>
            <w:gridSpan w:val="2"/>
            <w:shd w:val="clear" w:color="auto" w:fill="E5FFFF"/>
          </w:tcPr>
          <w:p>
            <w:pPr>
              <w:jc w:val="right"/>
              <w:ind w:right="180"/>
              <w:spacing w:after="0"/>
              <w:rPr>
                <w:sz w:val="20"/>
                <w:szCs w:val="20"/>
                <w:color w:val="auto"/>
              </w:rPr>
            </w:pPr>
            <w:r>
              <w:rPr>
                <w:rFonts w:ascii="Times New Roman" w:cs="Times New Roman" w:eastAsia="Times New Roman" w:hAnsi="Times New Roman"/>
                <w:sz w:val="16"/>
                <w:szCs w:val="16"/>
                <w:color w:val="auto"/>
              </w:rPr>
              <w:t>(56,406)</w:t>
            </w:r>
          </w:p>
        </w:tc>
        <w:tc>
          <w:tcPr>
            <w:tcW w:w="128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(54,365)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(21,281)</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(20,696)</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(62,765)</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(64,907)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40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6"/>
                <w:szCs w:val="16"/>
                <w:color w:val="auto"/>
              </w:rPr>
              <w:t>(3,295)</w:t>
            </w:r>
          </w:p>
        </w:tc>
        <w:tc>
          <w:tcPr>
            <w:tcW w:w="140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6"/>
                <w:szCs w:val="16"/>
                <w:color w:val="auto"/>
              </w:rPr>
              <w:t>(4,263)</w:t>
            </w:r>
          </w:p>
        </w:tc>
        <w:tc>
          <w:tcPr>
            <w:tcW w:w="1420" w:type="dxa"/>
            <w:vAlign w:val="bottom"/>
            <w:gridSpan w:val="2"/>
            <w:shd w:val="clear" w:color="auto" w:fill="E5FFFF"/>
          </w:tcPr>
          <w:p>
            <w:pPr>
              <w:jc w:val="right"/>
              <w:ind w:right="180"/>
              <w:spacing w:after="0"/>
              <w:rPr>
                <w:sz w:val="20"/>
                <w:szCs w:val="20"/>
                <w:color w:val="auto"/>
              </w:rPr>
            </w:pPr>
            <w:r>
              <w:rPr>
                <w:rFonts w:ascii="Times New Roman" w:cs="Times New Roman" w:eastAsia="Times New Roman" w:hAnsi="Times New Roman"/>
                <w:sz w:val="16"/>
                <w:szCs w:val="16"/>
                <w:color w:val="auto"/>
              </w:rPr>
              <w:t>(9,854)</w:t>
            </w:r>
          </w:p>
        </w:tc>
        <w:tc>
          <w:tcPr>
            <w:tcW w:w="128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(13,334)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Loss on disposal of vessel</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(166)</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Impairment loss on vessels</w:t>
            </w:r>
          </w:p>
        </w:tc>
        <w:tc>
          <w:tcPr>
            <w:tcW w:w="140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(28,027)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0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b w:val="1"/>
                <w:bCs w:val="1"/>
                <w:color w:val="auto"/>
              </w:rPr>
              <w:t>Profit from operations</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36,033</w:t>
            </w:r>
          </w:p>
        </w:tc>
        <w:tc>
          <w:tcPr>
            <w:tcW w:w="220" w:type="dxa"/>
            <w:vAlign w:val="bottom"/>
            <w:tcBorders>
              <w:bottom w:val="single" w:sz="8" w:color="E5FFFF"/>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52,427</w:t>
            </w:r>
          </w:p>
        </w:tc>
        <w:tc>
          <w:tcPr>
            <w:tcW w:w="200" w:type="dxa"/>
            <w:vAlign w:val="bottom"/>
            <w:tcBorders>
              <w:bottom w:val="single" w:sz="8" w:color="E5FFFF"/>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103,648</w:t>
            </w:r>
          </w:p>
        </w:tc>
        <w:tc>
          <w:tcPr>
            <w:tcW w:w="220" w:type="dxa"/>
            <w:vAlign w:val="bottom"/>
            <w:tcBorders>
              <w:bottom w:val="single" w:sz="8" w:color="E5FFFF"/>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100,245</w:t>
            </w:r>
          </w:p>
        </w:tc>
        <w:tc>
          <w:tcPr>
            <w:tcW w:w="100" w:type="dxa"/>
            <w:vAlign w:val="bottom"/>
            <w:tcBorders>
              <w:bottom w:val="single" w:sz="8" w:color="E5FF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Financial costs</w:t>
            </w:r>
          </w:p>
        </w:tc>
        <w:tc>
          <w:tcPr>
            <w:tcW w:w="11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(9,373)</w:t>
            </w:r>
          </w:p>
        </w:tc>
        <w:tc>
          <w:tcPr>
            <w:tcW w:w="220" w:type="dxa"/>
            <w:vAlign w:val="bottom"/>
            <w:shd w:val="clear" w:color="auto" w:fill="E5FFFF"/>
          </w:tcPr>
          <w:p>
            <w:pPr>
              <w:spacing w:after="0"/>
              <w:rPr>
                <w:sz w:val="17"/>
                <w:szCs w:val="17"/>
                <w:color w:val="auto"/>
              </w:rPr>
            </w:pPr>
          </w:p>
        </w:tc>
        <w:tc>
          <w:tcPr>
            <w:tcW w:w="12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(13,381)</w:t>
            </w:r>
          </w:p>
        </w:tc>
        <w:tc>
          <w:tcPr>
            <w:tcW w:w="200" w:type="dxa"/>
            <w:vAlign w:val="bottom"/>
            <w:shd w:val="clear" w:color="auto" w:fill="E5FFFF"/>
          </w:tcPr>
          <w:p>
            <w:pPr>
              <w:spacing w:after="0"/>
              <w:rPr>
                <w:sz w:val="17"/>
                <w:szCs w:val="17"/>
                <w:color w:val="auto"/>
              </w:rPr>
            </w:pPr>
          </w:p>
        </w:tc>
        <w:tc>
          <w:tcPr>
            <w:tcW w:w="12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(27,904)</w:t>
            </w:r>
          </w:p>
        </w:tc>
        <w:tc>
          <w:tcPr>
            <w:tcW w:w="220" w:type="dxa"/>
            <w:vAlign w:val="bottom"/>
            <w:shd w:val="clear" w:color="auto" w:fill="E5FFFF"/>
          </w:tcPr>
          <w:p>
            <w:pPr>
              <w:spacing w:after="0"/>
              <w:rPr>
                <w:sz w:val="17"/>
                <w:szCs w:val="17"/>
                <w:color w:val="auto"/>
              </w:rPr>
            </w:pPr>
          </w:p>
        </w:tc>
        <w:tc>
          <w:tcPr>
            <w:tcW w:w="11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(31,940)</w:t>
            </w: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Financial income</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(Loss)/gain on derivatives</w:t>
            </w:r>
          </w:p>
        </w:tc>
        <w:tc>
          <w:tcPr>
            <w:tcW w:w="140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6"/>
                <w:szCs w:val="16"/>
                <w:color w:val="auto"/>
              </w:rPr>
              <w:t>(182)</w:t>
            </w:r>
          </w:p>
        </w:tc>
        <w:tc>
          <w:tcPr>
            <w:tcW w:w="12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2,993</w:t>
            </w:r>
          </w:p>
        </w:tc>
        <w:tc>
          <w:tcPr>
            <w:tcW w:w="200" w:type="dxa"/>
            <w:vAlign w:val="bottom"/>
            <w:shd w:val="clear" w:color="auto" w:fill="E5FFFF"/>
          </w:tcPr>
          <w:p>
            <w:pPr>
              <w:spacing w:after="0"/>
              <w:rPr>
                <w:sz w:val="17"/>
                <w:szCs w:val="17"/>
                <w:color w:val="auto"/>
              </w:rPr>
            </w:pPr>
          </w:p>
        </w:tc>
        <w:tc>
          <w:tcPr>
            <w:tcW w:w="12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220" w:type="dxa"/>
            <w:vAlign w:val="bottom"/>
            <w:shd w:val="clear" w:color="auto" w:fill="E5FFFF"/>
          </w:tcPr>
          <w:p>
            <w:pPr>
              <w:spacing w:after="0"/>
              <w:rPr>
                <w:sz w:val="17"/>
                <w:szCs w:val="17"/>
                <w:color w:val="auto"/>
              </w:rPr>
            </w:pPr>
          </w:p>
        </w:tc>
        <w:tc>
          <w:tcPr>
            <w:tcW w:w="11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9,216</w:t>
            </w: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0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b w:val="1"/>
                <w:bCs w:val="1"/>
                <w:color w:val="auto"/>
              </w:rPr>
              <w:t>Total other expenses, net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(9,546)</w:t>
            </w:r>
          </w:p>
        </w:tc>
        <w:tc>
          <w:tcPr>
            <w:tcW w:w="220" w:type="dxa"/>
            <w:vAlign w:val="bottom"/>
            <w:tcBorders>
              <w:bottom w:val="single" w:sz="8" w:color="E5FFFF"/>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(9,776)</w:t>
            </w:r>
          </w:p>
        </w:tc>
        <w:tc>
          <w:tcPr>
            <w:tcW w:w="200" w:type="dxa"/>
            <w:vAlign w:val="bottom"/>
            <w:tcBorders>
              <w:bottom w:val="single" w:sz="8" w:color="E5FFFF"/>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(27,138)</w:t>
            </w:r>
          </w:p>
        </w:tc>
        <w:tc>
          <w:tcPr>
            <w:tcW w:w="220" w:type="dxa"/>
            <w:vAlign w:val="bottom"/>
            <w:tcBorders>
              <w:bottom w:val="single" w:sz="8" w:color="E5FFFF"/>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(21,852)</w:t>
            </w:r>
          </w:p>
        </w:tc>
        <w:tc>
          <w:tcPr>
            <w:tcW w:w="100" w:type="dxa"/>
            <w:vAlign w:val="bottom"/>
            <w:tcBorders>
              <w:bottom w:val="single" w:sz="8" w:color="E5FF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00" w:type="dxa"/>
            <w:vAlign w:val="bottom"/>
            <w:tcBorders>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Profit and total comprehensive income for the period</w:t>
            </w:r>
          </w:p>
        </w:tc>
        <w:tc>
          <w:tcPr>
            <w:tcW w:w="118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26,487</w:t>
            </w:r>
          </w:p>
        </w:tc>
        <w:tc>
          <w:tcPr>
            <w:tcW w:w="220" w:type="dxa"/>
            <w:vAlign w:val="bottom"/>
            <w:tcBorders>
              <w:bottom w:val="single" w:sz="8" w:color="E5FFFF"/>
            </w:tcBorders>
            <w:shd w:val="clear" w:color="auto" w:fill="E5FFFF"/>
          </w:tcPr>
          <w:p>
            <w:pPr>
              <w:spacing w:after="0"/>
              <w:rPr>
                <w:sz w:val="17"/>
                <w:szCs w:val="17"/>
                <w:color w:val="auto"/>
              </w:rPr>
            </w:pPr>
          </w:p>
        </w:tc>
        <w:tc>
          <w:tcPr>
            <w:tcW w:w="120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42,651</w:t>
            </w:r>
          </w:p>
        </w:tc>
        <w:tc>
          <w:tcPr>
            <w:tcW w:w="200" w:type="dxa"/>
            <w:vAlign w:val="bottom"/>
            <w:tcBorders>
              <w:bottom w:val="single" w:sz="8" w:color="E5FFFF"/>
            </w:tcBorders>
            <w:shd w:val="clear" w:color="auto" w:fill="E5FFFF"/>
          </w:tcPr>
          <w:p>
            <w:pPr>
              <w:spacing w:after="0"/>
              <w:rPr>
                <w:sz w:val="17"/>
                <w:szCs w:val="17"/>
                <w:color w:val="auto"/>
              </w:rPr>
            </w:pPr>
          </w:p>
        </w:tc>
        <w:tc>
          <w:tcPr>
            <w:tcW w:w="120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76,510</w:t>
            </w:r>
          </w:p>
        </w:tc>
        <w:tc>
          <w:tcPr>
            <w:tcW w:w="220" w:type="dxa"/>
            <w:vAlign w:val="bottom"/>
            <w:tcBorders>
              <w:bottom w:val="single" w:sz="8" w:color="E5FFFF"/>
            </w:tcBorders>
            <w:shd w:val="clear" w:color="auto" w:fill="E5FFFF"/>
          </w:tcPr>
          <w:p>
            <w:pPr>
              <w:spacing w:after="0"/>
              <w:rPr>
                <w:sz w:val="17"/>
                <w:szCs w:val="17"/>
                <w:color w:val="auto"/>
              </w:rPr>
            </w:pPr>
          </w:p>
        </w:tc>
        <w:tc>
          <w:tcPr>
            <w:tcW w:w="118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78,393</w:t>
            </w:r>
          </w:p>
        </w:tc>
        <w:tc>
          <w:tcPr>
            <w:tcW w:w="100" w:type="dxa"/>
            <w:vAlign w:val="bottom"/>
            <w:tcBorders>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Earnings per unit, basic and diluted:</w:t>
            </w:r>
          </w:p>
        </w:tc>
        <w:tc>
          <w:tcPr>
            <w:tcW w:w="11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0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1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Common unit, basic</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0.37</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0.69</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Common unit, diluted</w:t>
            </w:r>
          </w:p>
        </w:tc>
        <w:tc>
          <w:tcPr>
            <w:tcW w:w="11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220" w:type="dxa"/>
            <w:vAlign w:val="bottom"/>
            <w:shd w:val="clear" w:color="auto" w:fill="E5FFFF"/>
          </w:tcPr>
          <w:p>
            <w:pPr>
              <w:spacing w:after="0"/>
              <w:rPr>
                <w:sz w:val="17"/>
                <w:szCs w:val="17"/>
                <w:color w:val="auto"/>
              </w:rPr>
            </w:pPr>
          </w:p>
        </w:tc>
        <w:tc>
          <w:tcPr>
            <w:tcW w:w="12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0.67</w:t>
            </w:r>
          </w:p>
        </w:tc>
        <w:tc>
          <w:tcPr>
            <w:tcW w:w="200" w:type="dxa"/>
            <w:vAlign w:val="bottom"/>
            <w:shd w:val="clear" w:color="auto" w:fill="E5FFFF"/>
          </w:tcPr>
          <w:p>
            <w:pPr>
              <w:spacing w:after="0"/>
              <w:rPr>
                <w:sz w:val="17"/>
                <w:szCs w:val="17"/>
                <w:color w:val="auto"/>
              </w:rPr>
            </w:pPr>
          </w:p>
        </w:tc>
        <w:tc>
          <w:tcPr>
            <w:tcW w:w="12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220" w:type="dxa"/>
            <w:vAlign w:val="bottom"/>
            <w:shd w:val="clear" w:color="auto" w:fill="E5FFFF"/>
          </w:tcPr>
          <w:p>
            <w:pPr>
              <w:spacing w:after="0"/>
              <w:rPr>
                <w:sz w:val="17"/>
                <w:szCs w:val="17"/>
                <w:color w:val="auto"/>
              </w:rPr>
            </w:pPr>
          </w:p>
        </w:tc>
        <w:tc>
          <w:tcPr>
            <w:tcW w:w="11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General partner unit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0.37</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0.69</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7"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cash flows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 2021 and 2022</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(All amounts expressed in thousands of U.S. Dollars)</w:t>
      </w:r>
    </w:p>
    <w:p>
      <w:pPr>
        <w:spacing w:after="0" w:line="238" w:lineRule="exact"/>
        <w:rPr>
          <w:sz w:val="20"/>
          <w:szCs w:val="20"/>
          <w:color w:val="auto"/>
        </w:rPr>
      </w:pPr>
    </w:p>
    <w:tbl>
      <w:tblPr>
        <w:tblLayout w:type="fixed"/>
        <w:tblInd w:w="580" w:type="dxa"/>
        <w:tblCellMar>
          <w:top w:w="0" w:type="dxa"/>
          <w:left w:w="0" w:type="dxa"/>
          <w:bottom w:w="0" w:type="dxa"/>
          <w:right w:w="0" w:type="dxa"/>
        </w:tblCellMar>
      </w:tblPr>
      <w:tr>
        <w:trPr>
          <w:trHeight w:val="203"/>
        </w:trPr>
        <w:tc>
          <w:tcPr>
            <w:tcW w:w="8000" w:type="dxa"/>
            <w:vAlign w:val="bottom"/>
          </w:tcPr>
          <w:p>
            <w:pPr>
              <w:spacing w:after="0"/>
              <w:rPr>
                <w:sz w:val="17"/>
                <w:szCs w:val="17"/>
                <w:color w:val="auto"/>
              </w:rPr>
            </w:pPr>
          </w:p>
        </w:tc>
        <w:tc>
          <w:tcPr>
            <w:tcW w:w="2660" w:type="dxa"/>
            <w:vAlign w:val="bottom"/>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03"/>
        </w:trPr>
        <w:tc>
          <w:tcPr>
            <w:tcW w:w="8000" w:type="dxa"/>
            <w:vAlign w:val="bottom"/>
          </w:tcPr>
          <w:p>
            <w:pPr>
              <w:spacing w:after="0"/>
              <w:rPr>
                <w:sz w:val="17"/>
                <w:szCs w:val="17"/>
                <w:color w:val="auto"/>
              </w:rPr>
            </w:pPr>
          </w:p>
        </w:tc>
        <w:tc>
          <w:tcPr>
            <w:tcW w:w="140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5"/>
        </w:trPr>
        <w:tc>
          <w:tcPr>
            <w:tcW w:w="8000" w:type="dxa"/>
            <w:vAlign w:val="bottom"/>
            <w:tcBorders>
              <w:bottom w:val="single" w:sz="8" w:color="E5FFFF"/>
            </w:tcBorders>
          </w:tcPr>
          <w:p>
            <w:pPr>
              <w:spacing w:after="0"/>
              <w:rPr>
                <w:sz w:val="18"/>
                <w:szCs w:val="18"/>
                <w:color w:val="auto"/>
              </w:rPr>
            </w:pPr>
          </w:p>
        </w:tc>
        <w:tc>
          <w:tcPr>
            <w:tcW w:w="11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Borders>
              <w:bottom w:val="single" w:sz="8" w:color="E5FFFF"/>
            </w:tcBorders>
          </w:tcPr>
          <w:p>
            <w:pPr>
              <w:spacing w:after="0"/>
              <w:rPr>
                <w:sz w:val="18"/>
                <w:szCs w:val="18"/>
                <w:color w:val="auto"/>
              </w:rPr>
            </w:pPr>
          </w:p>
        </w:tc>
        <w:tc>
          <w:tcPr>
            <w:tcW w:w="116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E5FFFF"/>
            </w:tcBorders>
          </w:tcPr>
          <w:p>
            <w:pPr>
              <w:spacing w:after="0"/>
              <w:rPr>
                <w:sz w:val="18"/>
                <w:szCs w:val="18"/>
                <w:color w:val="auto"/>
              </w:rPr>
            </w:pPr>
          </w:p>
        </w:tc>
      </w:tr>
      <w:tr>
        <w:trPr>
          <w:trHeight w:val="213"/>
        </w:trPr>
        <w:tc>
          <w:tcPr>
            <w:tcW w:w="8000" w:type="dxa"/>
            <w:vAlign w:val="bottom"/>
            <w:shd w:val="clear" w:color="auto" w:fill="E5FFFF"/>
          </w:tcPr>
          <w:p>
            <w:pPr>
              <w:spacing w:after="0"/>
              <w:rPr>
                <w:sz w:val="18"/>
                <w:szCs w:val="18"/>
                <w:color w:val="auto"/>
              </w:rPr>
            </w:pPr>
          </w:p>
        </w:tc>
        <w:tc>
          <w:tcPr>
            <w:tcW w:w="11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1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14"/>
        </w:trPr>
        <w:tc>
          <w:tcPr>
            <w:tcW w:w="8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4"/>
        </w:trPr>
        <w:tc>
          <w:tcPr>
            <w:tcW w:w="80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Profit for the period</w:t>
            </w:r>
          </w:p>
        </w:tc>
        <w:tc>
          <w:tcPr>
            <w:tcW w:w="11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76,510</w:t>
            </w:r>
          </w:p>
        </w:tc>
        <w:tc>
          <w:tcPr>
            <w:tcW w:w="220" w:type="dxa"/>
            <w:vAlign w:val="bottom"/>
            <w:shd w:val="clear" w:color="auto" w:fill="E5FFFF"/>
          </w:tcPr>
          <w:p>
            <w:pPr>
              <w:spacing w:after="0"/>
              <w:rPr>
                <w:sz w:val="17"/>
                <w:szCs w:val="17"/>
                <w:color w:val="auto"/>
              </w:rPr>
            </w:pPr>
          </w:p>
        </w:tc>
        <w:tc>
          <w:tcPr>
            <w:tcW w:w="11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78,393</w:t>
            </w:r>
          </w:p>
        </w:tc>
        <w:tc>
          <w:tcPr>
            <w:tcW w:w="100" w:type="dxa"/>
            <w:vAlign w:val="bottom"/>
            <w:shd w:val="clear" w:color="auto" w:fill="E5FFFF"/>
          </w:tcPr>
          <w:p>
            <w:pPr>
              <w:spacing w:after="0"/>
              <w:rPr>
                <w:sz w:val="17"/>
                <w:szCs w:val="17"/>
                <w:color w:val="auto"/>
              </w:rPr>
            </w:pP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Adjustments for:</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5"/>
        </w:trPr>
        <w:tc>
          <w:tcPr>
            <w:tcW w:w="80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11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62,765</w:t>
            </w:r>
          </w:p>
        </w:tc>
        <w:tc>
          <w:tcPr>
            <w:tcW w:w="220" w:type="dxa"/>
            <w:vAlign w:val="bottom"/>
            <w:shd w:val="clear" w:color="auto" w:fill="E5FFFF"/>
          </w:tcPr>
          <w:p>
            <w:pPr>
              <w:spacing w:after="0"/>
              <w:rPr>
                <w:sz w:val="17"/>
                <w:szCs w:val="17"/>
                <w:color w:val="auto"/>
              </w:rPr>
            </w:pPr>
          </w:p>
        </w:tc>
        <w:tc>
          <w:tcPr>
            <w:tcW w:w="11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64,907</w:t>
            </w:r>
          </w:p>
        </w:tc>
        <w:tc>
          <w:tcPr>
            <w:tcW w:w="100" w:type="dxa"/>
            <w:vAlign w:val="bottom"/>
            <w:shd w:val="clear" w:color="auto" w:fill="E5FFFF"/>
          </w:tcPr>
          <w:p>
            <w:pPr>
              <w:spacing w:after="0"/>
              <w:rPr>
                <w:sz w:val="17"/>
                <w:szCs w:val="17"/>
                <w:color w:val="auto"/>
              </w:rPr>
            </w:pP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Impairment loss on vessels</w:t>
            </w:r>
          </w:p>
        </w:tc>
        <w:tc>
          <w:tcPr>
            <w:tcW w:w="140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28,027</w:t>
            </w:r>
          </w:p>
        </w:tc>
        <w:tc>
          <w:tcPr>
            <w:tcW w:w="100" w:type="dxa"/>
            <w:vAlign w:val="bottom"/>
          </w:tcPr>
          <w:p>
            <w:pPr>
              <w:spacing w:after="0"/>
              <w:rPr>
                <w:sz w:val="17"/>
                <w:szCs w:val="17"/>
                <w:color w:val="auto"/>
              </w:rPr>
            </w:pPr>
          </w:p>
        </w:tc>
      </w:tr>
      <w:tr>
        <w:trPr>
          <w:trHeight w:val="203"/>
        </w:trPr>
        <w:tc>
          <w:tcPr>
            <w:tcW w:w="80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Loss on disposal of vessel</w:t>
            </w:r>
          </w:p>
        </w:tc>
        <w:tc>
          <w:tcPr>
            <w:tcW w:w="1400" w:type="dxa"/>
            <w:vAlign w:val="bottom"/>
            <w:gridSpan w:val="2"/>
            <w:shd w:val="clear" w:color="auto" w:fill="E5FFFF"/>
          </w:tcPr>
          <w:p>
            <w:pPr>
              <w:jc w:val="right"/>
              <w:ind w:right="13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shd w:val="clear" w:color="auto" w:fill="E5FFFF"/>
          </w:tcPr>
          <w:p>
            <w:pPr>
              <w:spacing w:after="0"/>
              <w:rPr>
                <w:sz w:val="17"/>
                <w:szCs w:val="17"/>
                <w:color w:val="auto"/>
              </w:rPr>
            </w:pP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Financial costs</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27,904</w:t>
            </w: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31,940</w:t>
            </w:r>
          </w:p>
        </w:tc>
        <w:tc>
          <w:tcPr>
            <w:tcW w:w="100" w:type="dxa"/>
            <w:vAlign w:val="bottom"/>
          </w:tcPr>
          <w:p>
            <w:pPr>
              <w:spacing w:after="0"/>
              <w:rPr>
                <w:sz w:val="17"/>
                <w:szCs w:val="17"/>
                <w:color w:val="auto"/>
              </w:rPr>
            </w:pPr>
          </w:p>
        </w:tc>
      </w:tr>
      <w:tr>
        <w:trPr>
          <w:trHeight w:val="203"/>
        </w:trPr>
        <w:tc>
          <w:tcPr>
            <w:tcW w:w="80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Financial income</w:t>
            </w:r>
          </w:p>
        </w:tc>
        <w:tc>
          <w:tcPr>
            <w:tcW w:w="1400" w:type="dxa"/>
            <w:vAlign w:val="bottom"/>
            <w:gridSpan w:val="2"/>
            <w:shd w:val="clear" w:color="auto" w:fill="E5FFFF"/>
          </w:tcPr>
          <w:p>
            <w:pPr>
              <w:jc w:val="right"/>
              <w:ind w:right="79"/>
              <w:spacing w:after="0"/>
              <w:rPr>
                <w:sz w:val="20"/>
                <w:szCs w:val="20"/>
                <w:color w:val="auto"/>
              </w:rPr>
            </w:pPr>
            <w:r>
              <w:rPr>
                <w:rFonts w:ascii="Times New Roman" w:cs="Times New Roman" w:eastAsia="Times New Roman" w:hAnsi="Times New Roman"/>
                <w:sz w:val="16"/>
                <w:szCs w:val="16"/>
                <w:color w:val="auto"/>
              </w:rPr>
              <w:t>(32)</w:t>
            </w:r>
          </w:p>
        </w:tc>
        <w:tc>
          <w:tcPr>
            <w:tcW w:w="126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(872)</w:t>
            </w: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Gain on derivatives</w:t>
            </w:r>
          </w:p>
        </w:tc>
        <w:tc>
          <w:tcPr>
            <w:tcW w:w="14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(734)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(9,216)</w:t>
            </w:r>
          </w:p>
        </w:tc>
      </w:tr>
      <w:tr>
        <w:trPr>
          <w:trHeight w:val="213"/>
        </w:trPr>
        <w:tc>
          <w:tcPr>
            <w:tcW w:w="80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118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220" w:type="dxa"/>
            <w:vAlign w:val="bottom"/>
            <w:shd w:val="clear" w:color="auto" w:fill="E5FFFF"/>
          </w:tcPr>
          <w:p>
            <w:pPr>
              <w:spacing w:after="0"/>
              <w:rPr>
                <w:sz w:val="18"/>
                <w:szCs w:val="18"/>
                <w:color w:val="auto"/>
              </w:rPr>
            </w:pPr>
          </w:p>
        </w:tc>
        <w:tc>
          <w:tcPr>
            <w:tcW w:w="116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100" w:type="dxa"/>
            <w:vAlign w:val="bottom"/>
            <w:shd w:val="clear" w:color="auto" w:fill="E5FFFF"/>
          </w:tcPr>
          <w:p>
            <w:pPr>
              <w:spacing w:after="0"/>
              <w:rPr>
                <w:sz w:val="18"/>
                <w:szCs w:val="18"/>
                <w:color w:val="auto"/>
              </w:rPr>
            </w:pPr>
          </w:p>
        </w:tc>
      </w:tr>
      <w:tr>
        <w:trPr>
          <w:trHeight w:val="199"/>
        </w:trPr>
        <w:tc>
          <w:tcPr>
            <w:tcW w:w="80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166,679</w:t>
            </w: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193,957</w:t>
            </w:r>
          </w:p>
        </w:tc>
        <w:tc>
          <w:tcPr>
            <w:tcW w:w="100" w:type="dxa"/>
            <w:vAlign w:val="bottom"/>
          </w:tcPr>
          <w:p>
            <w:pPr>
              <w:spacing w:after="0"/>
              <w:rPr>
                <w:sz w:val="17"/>
                <w:szCs w:val="17"/>
                <w:color w:val="auto"/>
              </w:rPr>
            </w:pPr>
          </w:p>
        </w:tc>
      </w:tr>
      <w:tr>
        <w:trPr>
          <w:trHeight w:val="216"/>
        </w:trPr>
        <w:tc>
          <w:tcPr>
            <w:tcW w:w="80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Movements in working capital</w:t>
            </w:r>
          </w:p>
        </w:tc>
        <w:tc>
          <w:tcPr>
            <w:tcW w:w="11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7,897</w:t>
            </w:r>
          </w:p>
        </w:tc>
        <w:tc>
          <w:tcPr>
            <w:tcW w:w="22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(8,241)</w:t>
            </w:r>
          </w:p>
        </w:tc>
      </w:tr>
      <w:tr>
        <w:trPr>
          <w:trHeight w:val="196"/>
        </w:trPr>
        <w:tc>
          <w:tcPr>
            <w:tcW w:w="800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174,576</w:t>
            </w:r>
          </w:p>
        </w:tc>
        <w:tc>
          <w:tcPr>
            <w:tcW w:w="220" w:type="dxa"/>
            <w:vAlign w:val="bottom"/>
            <w:tcBorders>
              <w:bottom w:val="single" w:sz="8" w:color="E5FFFF"/>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185,716</w:t>
            </w:r>
          </w:p>
        </w:tc>
        <w:tc>
          <w:tcPr>
            <w:tcW w:w="100" w:type="dxa"/>
            <w:vAlign w:val="bottom"/>
            <w:tcBorders>
              <w:bottom w:val="single" w:sz="8" w:color="E5FFFF"/>
            </w:tcBorders>
          </w:tcPr>
          <w:p>
            <w:pPr>
              <w:spacing w:after="0"/>
              <w:rPr>
                <w:sz w:val="17"/>
                <w:szCs w:val="17"/>
                <w:color w:val="auto"/>
              </w:rPr>
            </w:pPr>
          </w:p>
        </w:tc>
      </w:tr>
      <w:tr>
        <w:trPr>
          <w:trHeight w:val="210"/>
        </w:trPr>
        <w:tc>
          <w:tcPr>
            <w:tcW w:w="80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1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1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sale of vessel, net</w:t>
            </w:r>
          </w:p>
        </w:tc>
        <w:tc>
          <w:tcPr>
            <w:tcW w:w="14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53,584</w:t>
            </w:r>
          </w:p>
        </w:tc>
        <w:tc>
          <w:tcPr>
            <w:tcW w:w="100" w:type="dxa"/>
            <w:vAlign w:val="bottom"/>
          </w:tcPr>
          <w:p>
            <w:pPr>
              <w:spacing w:after="0"/>
              <w:rPr>
                <w:sz w:val="17"/>
                <w:szCs w:val="17"/>
                <w:color w:val="auto"/>
              </w:rPr>
            </w:pPr>
          </w:p>
        </w:tc>
      </w:tr>
      <w:tr>
        <w:trPr>
          <w:trHeight w:val="203"/>
        </w:trPr>
        <w:tc>
          <w:tcPr>
            <w:tcW w:w="80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Payments for tangible fixed assets additions</w:t>
            </w:r>
          </w:p>
        </w:tc>
        <w:tc>
          <w:tcPr>
            <w:tcW w:w="1400" w:type="dxa"/>
            <w:vAlign w:val="bottom"/>
            <w:gridSpan w:val="2"/>
            <w:shd w:val="clear" w:color="auto" w:fill="E5FFFF"/>
          </w:tcPr>
          <w:p>
            <w:pPr>
              <w:jc w:val="right"/>
              <w:ind w:right="79"/>
              <w:spacing w:after="0"/>
              <w:rPr>
                <w:sz w:val="20"/>
                <w:szCs w:val="20"/>
                <w:color w:val="auto"/>
              </w:rPr>
            </w:pPr>
            <w:r>
              <w:rPr>
                <w:rFonts w:ascii="Times New Roman" w:cs="Times New Roman" w:eastAsia="Times New Roman" w:hAnsi="Times New Roman"/>
                <w:sz w:val="16"/>
                <w:szCs w:val="16"/>
                <w:color w:val="auto"/>
              </w:rPr>
              <w:t>(15,419)</w:t>
            </w:r>
          </w:p>
        </w:tc>
        <w:tc>
          <w:tcPr>
            <w:tcW w:w="126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(1,618)</w:t>
            </w: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Financial income received</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100" w:type="dxa"/>
            <w:vAlign w:val="bottom"/>
          </w:tcPr>
          <w:p>
            <w:pPr>
              <w:spacing w:after="0"/>
              <w:rPr>
                <w:sz w:val="17"/>
                <w:szCs w:val="17"/>
                <w:color w:val="auto"/>
              </w:rPr>
            </w:pPr>
          </w:p>
        </w:tc>
      </w:tr>
      <w:tr>
        <w:trPr>
          <w:trHeight w:val="203"/>
        </w:trPr>
        <w:tc>
          <w:tcPr>
            <w:tcW w:w="80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Maturity of short-term cash deposits</w:t>
            </w:r>
          </w:p>
        </w:tc>
        <w:tc>
          <w:tcPr>
            <w:tcW w:w="11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220" w:type="dxa"/>
            <w:vAlign w:val="bottom"/>
            <w:shd w:val="clear" w:color="auto" w:fill="E5FFFF"/>
          </w:tcPr>
          <w:p>
            <w:pPr>
              <w:spacing w:after="0"/>
              <w:rPr>
                <w:sz w:val="17"/>
                <w:szCs w:val="17"/>
                <w:color w:val="auto"/>
              </w:rPr>
            </w:pPr>
          </w:p>
        </w:tc>
        <w:tc>
          <w:tcPr>
            <w:tcW w:w="1260" w:type="dxa"/>
            <w:vAlign w:val="bottom"/>
            <w:gridSpan w:val="2"/>
            <w:shd w:val="clear" w:color="auto" w:fill="E5FFFF"/>
          </w:tcPr>
          <w:p>
            <w:pPr>
              <w:jc w:val="right"/>
              <w:ind w:right="19"/>
              <w:spacing w:after="0"/>
              <w:rPr>
                <w:sz w:val="20"/>
                <w:szCs w:val="20"/>
                <w:color w:val="auto"/>
              </w:rPr>
            </w:pPr>
            <w:r>
              <w:rPr>
                <w:rFonts w:ascii="Times New Roman" w:cs="Times New Roman" w:eastAsia="Times New Roman" w:hAnsi="Times New Roman"/>
                <w:sz w:val="14"/>
                <w:szCs w:val="14"/>
                <w:color w:val="auto"/>
              </w:rPr>
              <w:t>—</w:t>
            </w: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Purchase of short-term cash deposits</w:t>
            </w:r>
          </w:p>
        </w:tc>
        <w:tc>
          <w:tcPr>
            <w:tcW w:w="14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(2,500)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(25,000)</w:t>
            </w:r>
          </w:p>
        </w:tc>
      </w:tr>
      <w:tr>
        <w:trPr>
          <w:trHeight w:val="199"/>
        </w:trPr>
        <w:tc>
          <w:tcPr>
            <w:tcW w:w="800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Net cash (used in)/provided by investing activities</w:t>
            </w:r>
          </w:p>
        </w:tc>
        <w:tc>
          <w:tcPr>
            <w:tcW w:w="11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(15,387</w:t>
            </w:r>
          </w:p>
        </w:tc>
        <w:tc>
          <w:tcPr>
            <w:tcW w:w="220" w:type="dxa"/>
            <w:vAlign w:val="bottom"/>
            <w:tcBorders>
              <w:top w:val="single" w:sz="8" w:color="E5FFFF"/>
            </w:tcBorders>
            <w:shd w:val="clear" w:color="auto" w:fill="E5FF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27,454</w:t>
            </w:r>
          </w:p>
        </w:tc>
        <w:tc>
          <w:tcPr>
            <w:tcW w:w="100" w:type="dxa"/>
            <w:vAlign w:val="bottom"/>
            <w:tcBorders>
              <w:top w:val="single" w:sz="8" w:color="E5FFFF"/>
            </w:tcBorders>
            <w:shd w:val="clear" w:color="auto" w:fill="E5FFFF"/>
          </w:tcPr>
          <w:p>
            <w:pPr>
              <w:spacing w:after="0"/>
              <w:rPr>
                <w:sz w:val="17"/>
                <w:szCs w:val="17"/>
                <w:color w:val="auto"/>
              </w:rPr>
            </w:pPr>
          </w:p>
        </w:tc>
      </w:tr>
      <w:tr>
        <w:trPr>
          <w:trHeight w:val="207"/>
        </w:trPr>
        <w:tc>
          <w:tcPr>
            <w:tcW w:w="8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80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Borrowings repayments</w:t>
            </w:r>
          </w:p>
        </w:tc>
        <w:tc>
          <w:tcPr>
            <w:tcW w:w="1400" w:type="dxa"/>
            <w:vAlign w:val="bottom"/>
            <w:gridSpan w:val="2"/>
            <w:shd w:val="clear" w:color="auto" w:fill="E5FFFF"/>
          </w:tcPr>
          <w:p>
            <w:pPr>
              <w:jc w:val="right"/>
              <w:ind w:right="79"/>
              <w:spacing w:after="0"/>
              <w:rPr>
                <w:sz w:val="20"/>
                <w:szCs w:val="20"/>
                <w:color w:val="auto"/>
              </w:rPr>
            </w:pPr>
            <w:r>
              <w:rPr>
                <w:rFonts w:ascii="Times New Roman" w:cs="Times New Roman" w:eastAsia="Times New Roman" w:hAnsi="Times New Roman"/>
                <w:sz w:val="16"/>
                <w:szCs w:val="16"/>
                <w:color w:val="auto"/>
              </w:rPr>
              <w:t>(90,853)</w:t>
            </w:r>
          </w:p>
        </w:tc>
        <w:tc>
          <w:tcPr>
            <w:tcW w:w="126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(118,371)</w:t>
            </w: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Payment of loan issuance costs</w:t>
            </w:r>
          </w:p>
        </w:tc>
        <w:tc>
          <w:tcPr>
            <w:tcW w:w="140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03"/>
        </w:trPr>
        <w:tc>
          <w:tcPr>
            <w:tcW w:w="80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Principal elements of lease payments</w:t>
            </w:r>
          </w:p>
        </w:tc>
        <w:tc>
          <w:tcPr>
            <w:tcW w:w="1400" w:type="dxa"/>
            <w:vAlign w:val="bottom"/>
            <w:gridSpan w:val="2"/>
            <w:shd w:val="clear" w:color="auto" w:fill="E5FFFF"/>
          </w:tcPr>
          <w:p>
            <w:pPr>
              <w:jc w:val="right"/>
              <w:ind w:right="79"/>
              <w:spacing w:after="0"/>
              <w:rPr>
                <w:sz w:val="20"/>
                <w:szCs w:val="20"/>
                <w:color w:val="auto"/>
              </w:rPr>
            </w:pPr>
            <w:r>
              <w:rPr>
                <w:rFonts w:ascii="Times New Roman" w:cs="Times New Roman" w:eastAsia="Times New Roman" w:hAnsi="Times New Roman"/>
                <w:sz w:val="16"/>
                <w:szCs w:val="16"/>
                <w:color w:val="auto"/>
              </w:rPr>
              <w:t>(310)</w:t>
            </w:r>
          </w:p>
        </w:tc>
        <w:tc>
          <w:tcPr>
            <w:tcW w:w="126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(7,832)</w:t>
            </w: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Interest paid</w:t>
            </w:r>
          </w:p>
        </w:tc>
        <w:tc>
          <w:tcPr>
            <w:tcW w:w="14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(35,277)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(32,420)</w:t>
            </w:r>
          </w:p>
        </w:tc>
      </w:tr>
      <w:tr>
        <w:trPr>
          <w:trHeight w:val="203"/>
        </w:trPr>
        <w:tc>
          <w:tcPr>
            <w:tcW w:w="80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Release of cash collateral for interest rate swaps</w:t>
            </w:r>
          </w:p>
        </w:tc>
        <w:tc>
          <w:tcPr>
            <w:tcW w:w="11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220" w:type="dxa"/>
            <w:vAlign w:val="bottom"/>
            <w:shd w:val="clear" w:color="auto" w:fill="E5FFFF"/>
          </w:tcPr>
          <w:p>
            <w:pPr>
              <w:spacing w:after="0"/>
              <w:rPr>
                <w:sz w:val="17"/>
                <w:szCs w:val="17"/>
                <w:color w:val="auto"/>
              </w:rPr>
            </w:pPr>
          </w:p>
        </w:tc>
        <w:tc>
          <w:tcPr>
            <w:tcW w:w="1260" w:type="dxa"/>
            <w:vAlign w:val="bottom"/>
            <w:gridSpan w:val="2"/>
            <w:shd w:val="clear" w:color="auto" w:fill="E5FFFF"/>
          </w:tcPr>
          <w:p>
            <w:pPr>
              <w:jc w:val="right"/>
              <w:ind w:right="19"/>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public offerings of common units and issuances of general partner units (net of underwriting discounts and</w:t>
            </w: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8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commissions)</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10,205</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r>
      <w:tr>
        <w:trPr>
          <w:trHeight w:val="205"/>
        </w:trPr>
        <w:tc>
          <w:tcPr>
            <w:tcW w:w="80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Repurchases of preference units</w:t>
            </w:r>
          </w:p>
        </w:tc>
        <w:tc>
          <w:tcPr>
            <w:tcW w:w="1400" w:type="dxa"/>
            <w:vAlign w:val="bottom"/>
            <w:gridSpan w:val="2"/>
            <w:shd w:val="clear" w:color="auto" w:fill="E5FFFF"/>
          </w:tcPr>
          <w:p>
            <w:pPr>
              <w:jc w:val="right"/>
              <w:ind w:right="79"/>
              <w:spacing w:after="0"/>
              <w:rPr>
                <w:sz w:val="20"/>
                <w:szCs w:val="20"/>
                <w:color w:val="auto"/>
              </w:rPr>
            </w:pPr>
            <w:r>
              <w:rPr>
                <w:rFonts w:ascii="Times New Roman" w:cs="Times New Roman" w:eastAsia="Times New Roman" w:hAnsi="Times New Roman"/>
                <w:sz w:val="16"/>
                <w:szCs w:val="16"/>
                <w:color w:val="auto"/>
              </w:rPr>
              <w:t>(12,361)</w:t>
            </w:r>
          </w:p>
        </w:tc>
        <w:tc>
          <w:tcPr>
            <w:tcW w:w="126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(38,744)</w:t>
            </w: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Payment of offering costs</w:t>
            </w:r>
          </w:p>
        </w:tc>
        <w:tc>
          <w:tcPr>
            <w:tcW w:w="14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(333)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6"/>
        </w:trPr>
        <w:tc>
          <w:tcPr>
            <w:tcW w:w="80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Distributions paid (including common and preference)</w:t>
            </w:r>
          </w:p>
        </w:tc>
        <w:tc>
          <w:tcPr>
            <w:tcW w:w="1400" w:type="dxa"/>
            <w:vAlign w:val="bottom"/>
            <w:gridSpan w:val="2"/>
            <w:shd w:val="clear" w:color="auto" w:fill="E5FFFF"/>
          </w:tcPr>
          <w:p>
            <w:pPr>
              <w:jc w:val="right"/>
              <w:ind w:right="79"/>
              <w:spacing w:after="0"/>
              <w:rPr>
                <w:sz w:val="20"/>
                <w:szCs w:val="20"/>
                <w:color w:val="auto"/>
              </w:rPr>
            </w:pPr>
            <w:r>
              <w:rPr>
                <w:rFonts w:ascii="Times New Roman" w:cs="Times New Roman" w:eastAsia="Times New Roman" w:hAnsi="Times New Roman"/>
                <w:sz w:val="16"/>
                <w:szCs w:val="16"/>
                <w:color w:val="auto"/>
              </w:rPr>
              <w:t>(24,068)</w:t>
            </w:r>
          </w:p>
        </w:tc>
        <w:tc>
          <w:tcPr>
            <w:tcW w:w="126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(22,359)</w:t>
            </w:r>
          </w:p>
        </w:tc>
      </w:tr>
      <w:tr>
        <w:trPr>
          <w:trHeight w:val="196"/>
        </w:trPr>
        <w:tc>
          <w:tcPr>
            <w:tcW w:w="800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(152,717</w:t>
            </w:r>
          </w:p>
        </w:tc>
        <w:tc>
          <w:tcPr>
            <w:tcW w:w="220" w:type="dxa"/>
            <w:vAlign w:val="bottom"/>
            <w:tcBorders>
              <w:bottom w:val="single" w:sz="8" w:color="E5FFFF"/>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(219,744</w:t>
            </w:r>
          </w:p>
        </w:tc>
        <w:tc>
          <w:tcPr>
            <w:tcW w:w="100" w:type="dxa"/>
            <w:vAlign w:val="bottom"/>
            <w:tcBorders>
              <w:bottom w:val="single" w:sz="8" w:color="E5FF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196"/>
        </w:trPr>
        <w:tc>
          <w:tcPr>
            <w:tcW w:w="80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Increase/(decrease) in cash and cash equivalents</w:t>
            </w:r>
          </w:p>
        </w:tc>
        <w:tc>
          <w:tcPr>
            <w:tcW w:w="118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6,472</w:t>
            </w:r>
          </w:p>
        </w:tc>
        <w:tc>
          <w:tcPr>
            <w:tcW w:w="220" w:type="dxa"/>
            <w:vAlign w:val="bottom"/>
            <w:shd w:val="clear" w:color="auto" w:fill="E5FFFF"/>
          </w:tcPr>
          <w:p>
            <w:pPr>
              <w:spacing w:after="0"/>
              <w:rPr>
                <w:sz w:val="17"/>
                <w:szCs w:val="17"/>
                <w:color w:val="auto"/>
              </w:rPr>
            </w:pPr>
          </w:p>
        </w:tc>
        <w:tc>
          <w:tcPr>
            <w:tcW w:w="116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(6,574</w:t>
            </w:r>
          </w:p>
        </w:tc>
        <w:tc>
          <w:tcPr>
            <w:tcW w:w="1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196"/>
        </w:trPr>
        <w:tc>
          <w:tcPr>
            <w:tcW w:w="800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color w:val="auto"/>
              </w:rPr>
              <w:t>Cash and cash equivalents, beginning of the period</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103,736</w:t>
            </w:r>
          </w:p>
        </w:tc>
        <w:tc>
          <w:tcPr>
            <w:tcW w:w="220" w:type="dxa"/>
            <w:vAlign w:val="bottom"/>
            <w:tcBorders>
              <w:bottom w:val="single" w:sz="8" w:color="E5FFFF"/>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145,530</w:t>
            </w:r>
          </w:p>
        </w:tc>
        <w:tc>
          <w:tcPr>
            <w:tcW w:w="100" w:type="dxa"/>
            <w:vAlign w:val="bottom"/>
            <w:tcBorders>
              <w:bottom w:val="single" w:sz="8" w:color="E5FFFF"/>
            </w:tcBorders>
          </w:tcPr>
          <w:p>
            <w:pPr>
              <w:spacing w:after="0"/>
              <w:rPr>
                <w:sz w:val="17"/>
                <w:szCs w:val="17"/>
                <w:color w:val="auto"/>
              </w:rPr>
            </w:pPr>
          </w:p>
        </w:tc>
      </w:tr>
      <w:tr>
        <w:trPr>
          <w:trHeight w:val="208"/>
        </w:trPr>
        <w:tc>
          <w:tcPr>
            <w:tcW w:w="8000" w:type="dxa"/>
            <w:vAlign w:val="bottom"/>
            <w:tcBorders>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end of the period</w:t>
            </w:r>
          </w:p>
        </w:tc>
        <w:tc>
          <w:tcPr>
            <w:tcW w:w="118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110,208</w:t>
            </w:r>
          </w:p>
        </w:tc>
        <w:tc>
          <w:tcPr>
            <w:tcW w:w="220" w:type="dxa"/>
            <w:vAlign w:val="bottom"/>
            <w:tcBorders>
              <w:bottom w:val="single" w:sz="8" w:color="E5FFFF"/>
            </w:tcBorders>
            <w:shd w:val="clear" w:color="auto" w:fill="E5FFFF"/>
          </w:tcPr>
          <w:p>
            <w:pPr>
              <w:spacing w:after="0"/>
              <w:rPr>
                <w:sz w:val="18"/>
                <w:szCs w:val="18"/>
                <w:color w:val="auto"/>
              </w:rPr>
            </w:pPr>
          </w:p>
        </w:tc>
        <w:tc>
          <w:tcPr>
            <w:tcW w:w="116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138,956</w:t>
            </w:r>
          </w:p>
        </w:tc>
        <w:tc>
          <w:tcPr>
            <w:tcW w:w="100" w:type="dxa"/>
            <w:vAlign w:val="bottom"/>
            <w:tcBorders>
              <w:bottom w:val="single" w:sz="8" w:color="E5FFFF"/>
            </w:tcBorders>
            <w:shd w:val="clear" w:color="auto" w:fill="E5FFFF"/>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b w:val="1"/>
          <w:bCs w:val="1"/>
          <w:color w:val="auto"/>
        </w:rPr>
        <w:t>EXHIBIT II</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Non-GAAP Financial Measures:</w:t>
      </w:r>
    </w:p>
    <w:p>
      <w:pPr>
        <w:spacing w:after="0" w:line="237"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6"/>
          <w:szCs w:val="16"/>
          <w:color w:val="auto"/>
        </w:rPr>
        <w:t>EBITDA is defined as earnings before financial income and costs, gain/loss on derivatives, taxes, depreciation and amortization. Adjusted EBITDA is defined as EBITDA before impairment loss on vessels, loss on disposal of vessel and restructuring costs. Adjusted Profit represents earnings before (a) non-cash gain/loss on derivatives that includes unrealized gain/loss on derivatives held for trading, (b) write-off and accelerated amortization of unamortized loan fees, (c) impairment loss on vessels, (d) loss on disposal of vessel and (e) restructuring costs. Adjusted EPU represents Adjusted Profit (as defined above), after deducting preference unit distributions and adding/deducting any difference between the carrying amount of preference units and the fair value of the consideration paid to settle them, divided by the weighted average number of units outstanding during the period. EBITDA, Adjusted EBITDA, Adjusted Profit and Adjusted EPU, which are non-GAAP financial measures, are used as supplemental financial measures by management and external users of financial statements, such as investors, to assess our financial and operating performance. The Partnership believes that these non-GAAP financial measures assist our management and investors by increasing the comparability of our performance from period to period. The Partnership believes that including EBITDA, Adjusted EBITDA, Adjusted Profit and Adjusted EPU assists our management and investors in (i) understanding and analyzing the results of our operating and business performance, (ii) selecting between investing in us and other investment alternatives and (iii) monitoring our ongoing financial and operational strength in assessing whether to purchase and/or to continue to hold our common units. This increased comparability is achieved by excluding the potentially disparate effects between periods of, in the case of EBITDA and Adjusted EBITDA, financial costs, gain/loss on derivatives, taxes, depreciation and amortization; in the case of Adjusted EBITDA, impairment loss on vessels, loss on disposal of vessel and restructuring costs and, in the case of Adjusted Profit and Adjusted EPU, non-cash gain/loss on derivatives, write-off and accelerated amortization of unamortized loan fees, impairment loss on vessels, loss on disposal of vessel and restructuring costs, which items are affected by various and possibly changing financing methods, financial market conditions, general shipping market conditions, capital structure and historical cost basis and which items may significantly affect results of operations between periods. Restructuring costs are excluded from Adjusted EBITDA, Adjusted Profit and Adjusted EPU because restructuring costs represent charges reflecting specific actions taken by management to improve the Partnership’s future profitability and therefore are not considered representative of the underlying operations of the Partnership. Impairment loss is excluded from Adjusted EBITDA, Adjusted Profit and Adjusted EPU because impairment loss on vessels represents the excess of their carrying amount over the amount that is expected to be recovered from them in the future and therefore is not considered representative of the underlying operations of the Partnership. Loss on disposal of vessel is excluded from Adjusted EBITDA, Adjusted Profit and Adjusted EPU because loss on disposal of vessel represents the excess of its carrying amount over the amount that was recovered through sale and therefore is not considered representative of the underlying operations of the Partnership.</w:t>
      </w:r>
    </w:p>
    <w:p>
      <w:pPr>
        <w:spacing w:after="0" w:line="202"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6"/>
          <w:szCs w:val="16"/>
          <w:color w:val="auto"/>
        </w:rPr>
        <w:t>EBITDA, Adjusted EBITDA, Adjusted Profit and Adjusted EPU have limitations as analytical tools and should not be considered as alternatives to, or as substitutes for, or superior to, profit, profit from operations, earnings per unit or any other measure of operating performance presented in accordance with IFRS. Some of these limitations include the fact that they do not reflect (i) our cash expenditures or future requirements for capital expenditures or contractual commitments, (ii) changes in, or cash requirements for, our working capital needs and (iii) the cash requirements necessary to service interest or principal payments on our debt. Although depreciation and amortization are non-cash charges, the assets being depreciated and amortized will often have to be replaced in the future and EBITDA and Adjusted EBITDA do not reflect any cash requirements for such replacements. EBITDA, Adjusted EBITDA, Adjusted Profit and Adjusted EPU are not adjusted for all non-cash income or expense items that are reflected in our statement of cash flows and other companies in our industry may calculate these measures differently to how we do, limiting their usefulness as comparative measures. EBITDA, Adjusted EBITDA, Adjusted Profit and Adjusted EPU exclude some, but not all, items that affect profit or loss and these measures may vary among other companies. Therefore, EBITDA, Adjusted EBITDA, Adjusted Profit and Adjusted EPU as presented herein may not be comparable to similarly titled measures of other companies. The following tables reconcile EBITDA, Adjusted EBITDA, Adjusted Profit and Adjusted EPU to Profit, the most directly comparable IFRS financial measure, for the periods presented.</w:t>
      </w:r>
    </w:p>
    <w:p>
      <w:pPr>
        <w:spacing w:after="0" w:line="19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In evaluating EBITDA, Adjusted EBITDA, Adjusted Profit and Adjusted EPU you should be aware that in the future we may incur expenses that are the same as or similar to some of the adjustments in this presentation. Our presentation of EBITDA, Adjusted EBITDA, Adjusted Profit and Adjusted EPU should not be construed as an inference that our future results will be unaffected by the excluded items.</w:t>
      </w:r>
    </w:p>
    <w:p>
      <w:pPr>
        <w:spacing w:after="0" w:line="175"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6"/>
          <w:szCs w:val="16"/>
          <w:color w:val="auto"/>
        </w:rPr>
        <w:t xml:space="preserve">The estimated incremental EBITDA in 2022, 2023, 2024 and 2025 in connection with the recharterings of the </w:t>
      </w:r>
      <w:r>
        <w:rPr>
          <w:rFonts w:ascii="Times New Roman" w:cs="Times New Roman" w:eastAsia="Times New Roman" w:hAnsi="Times New Roman"/>
          <w:sz w:val="16"/>
          <w:szCs w:val="16"/>
          <w:i w:val="1"/>
          <w:iCs w:val="1"/>
          <w:color w:val="auto"/>
        </w:rPr>
        <w:t>Solaris</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i w:val="1"/>
          <w:iCs w:val="1"/>
          <w:color w:val="auto"/>
        </w:rPr>
        <w:t>GasLog Shanghai</w:t>
      </w:r>
      <w:r>
        <w:rPr>
          <w:rFonts w:ascii="Times New Roman" w:cs="Times New Roman" w:eastAsia="Times New Roman" w:hAnsi="Times New Roman"/>
          <w:sz w:val="16"/>
          <w:szCs w:val="16"/>
          <w:color w:val="auto"/>
        </w:rPr>
        <w:t xml:space="preserve"> and the </w:t>
      </w:r>
      <w:r>
        <w:rPr>
          <w:rFonts w:ascii="Times New Roman" w:cs="Times New Roman" w:eastAsia="Times New Roman" w:hAnsi="Times New Roman"/>
          <w:sz w:val="16"/>
          <w:szCs w:val="16"/>
          <w:i w:val="1"/>
          <w:iCs w:val="1"/>
          <w:color w:val="auto"/>
        </w:rPr>
        <w:t>Methane Heather Sally</w:t>
      </w:r>
      <w:r>
        <w:rPr>
          <w:rFonts w:ascii="Times New Roman" w:cs="Times New Roman" w:eastAsia="Times New Roman" w:hAnsi="Times New Roman"/>
          <w:sz w:val="16"/>
          <w:szCs w:val="16"/>
          <w:color w:val="auto"/>
        </w:rPr>
        <w:t xml:space="preserve"> is based on the following assumptions:</w:t>
      </w:r>
    </w:p>
    <w:p>
      <w:pPr>
        <w:spacing w:after="0" w:line="1" w:lineRule="exact"/>
        <w:rPr>
          <w:sz w:val="20"/>
          <w:szCs w:val="20"/>
          <w:color w:val="auto"/>
        </w:rPr>
      </w:pPr>
    </w:p>
    <w:p>
      <w:pPr>
        <w:ind w:left="340" w:right="640" w:hanging="332"/>
        <w:spacing w:after="0" w:line="264" w:lineRule="auto"/>
        <w:tabs>
          <w:tab w:leader="none" w:pos="3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continuation of the time charters for the </w:t>
      </w:r>
      <w:r>
        <w:rPr>
          <w:rFonts w:ascii="Times New Roman" w:cs="Times New Roman" w:eastAsia="Times New Roman" w:hAnsi="Times New Roman"/>
          <w:sz w:val="16"/>
          <w:szCs w:val="16"/>
          <w:i w:val="1"/>
          <w:iCs w:val="1"/>
          <w:color w:val="auto"/>
        </w:rPr>
        <w:t>Solaris</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i w:val="1"/>
          <w:iCs w:val="1"/>
          <w:color w:val="auto"/>
        </w:rPr>
        <w:t>GasLog Shanghai</w:t>
      </w:r>
      <w:r>
        <w:rPr>
          <w:rFonts w:ascii="Times New Roman" w:cs="Times New Roman" w:eastAsia="Times New Roman" w:hAnsi="Times New Roman"/>
          <w:sz w:val="16"/>
          <w:szCs w:val="16"/>
          <w:color w:val="auto"/>
        </w:rPr>
        <w:t xml:space="preserve"> and the </w:t>
      </w:r>
      <w:r>
        <w:rPr>
          <w:rFonts w:ascii="Times New Roman" w:cs="Times New Roman" w:eastAsia="Times New Roman" w:hAnsi="Times New Roman"/>
          <w:sz w:val="16"/>
          <w:szCs w:val="16"/>
          <w:i w:val="1"/>
          <w:iCs w:val="1"/>
          <w:color w:val="auto"/>
        </w:rPr>
        <w:t>Methane Heather Sally</w:t>
      </w:r>
      <w:r>
        <w:rPr>
          <w:rFonts w:ascii="Times New Roman" w:cs="Times New Roman" w:eastAsia="Times New Roman" w:hAnsi="Times New Roman"/>
          <w:sz w:val="16"/>
          <w:szCs w:val="16"/>
          <w:color w:val="auto"/>
        </w:rPr>
        <w:t xml:space="preserve"> through expiration in October 2023, February 2025 and July 2025, respectively;</w:t>
      </w:r>
    </w:p>
    <w:p>
      <w:pPr>
        <w:ind w:left="340" w:hanging="332"/>
        <w:spacing w:after="0"/>
        <w:tabs>
          <w:tab w:leader="none" w:pos="3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vessel operating and supervision costs and voyage expenses and commissions per current internal estimates; and</w:t>
      </w:r>
    </w:p>
    <w:p>
      <w:pPr>
        <w:spacing w:after="0" w:line="18"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and administrative expenses based on management’s current internal estimates.</w:t>
      </w:r>
    </w:p>
    <w:p>
      <w:pPr>
        <w:spacing w:after="0" w:line="227"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We consider the above assumptions to be reasonable as of the date of this press release, but if these assumptions prove to be incorrect, actual EBITDA could differ materially from our estimates. The prospective financial information was not prepared with a view toward public disclosure or with a view toward complying with the guidelines established by the American Institute of Certified Public Accountants, but, in the view of the Partnership’s management, was prepared on a reasonable basis and reflects the best currently available estimates and judgments. However, this information is not fact and should not be relied upon as being necessarily indicative of future results, and readers of this press release are cautioned not to place undue reliance on the prospective financial information.</w:t>
      </w:r>
    </w:p>
    <w:p>
      <w:pPr>
        <w:spacing w:after="0" w:line="186"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6"/>
          <w:szCs w:val="16"/>
          <w:color w:val="auto"/>
        </w:rPr>
        <w:t>Neither our independent auditors nor any other independent accountants have compiled, examined, or performed any procedures with respect to the prospective financial information contained above, nor have they expressed any opinion or any other form of assurance on such information or its achievability and assume no responsibility for, and disclaim any association with, such prospective financial information.</w:t>
      </w:r>
    </w:p>
    <w:p>
      <w:pPr>
        <w:spacing w:after="0" w:line="3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7" w:right="35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2"/>
        </w:trPr>
        <w:tc>
          <w:tcPr>
            <w:tcW w:w="5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Reconciliation of Profit to EBITDA and Adjusted EBITDA:</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8"/>
        </w:trPr>
        <w:tc>
          <w:tcPr>
            <w:tcW w:w="55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(Amounts expressed in thousands of U.S. Dollars)</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2"/>
        </w:trPr>
        <w:tc>
          <w:tcPr>
            <w:tcW w:w="5520" w:type="dxa"/>
            <w:vAlign w:val="bottom"/>
          </w:tcPr>
          <w:p>
            <w:pPr>
              <w:spacing w:after="0"/>
              <w:rPr>
                <w:sz w:val="24"/>
                <w:szCs w:val="24"/>
                <w:color w:val="auto"/>
              </w:rPr>
            </w:pPr>
          </w:p>
        </w:tc>
        <w:tc>
          <w:tcPr>
            <w:tcW w:w="2940" w:type="dxa"/>
            <w:vAlign w:val="bottom"/>
            <w:gridSpan w:val="4"/>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780" w:type="dxa"/>
            <w:vAlign w:val="bottom"/>
            <w:gridSpan w:val="4"/>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03"/>
        </w:trPr>
        <w:tc>
          <w:tcPr>
            <w:tcW w:w="5520" w:type="dxa"/>
            <w:vAlign w:val="bottom"/>
          </w:tcPr>
          <w:p>
            <w:pPr>
              <w:spacing w:after="0"/>
              <w:rPr>
                <w:sz w:val="17"/>
                <w:szCs w:val="17"/>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5"/>
        </w:trPr>
        <w:tc>
          <w:tcPr>
            <w:tcW w:w="5520" w:type="dxa"/>
            <w:vAlign w:val="bottom"/>
            <w:tcBorders>
              <w:bottom w:val="single" w:sz="8" w:color="E5FFFF"/>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40" w:type="dxa"/>
            <w:vAlign w:val="bottom"/>
            <w:tcBorders>
              <w:bottom w:val="single" w:sz="8" w:color="E5FFFF"/>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bottom w:val="single" w:sz="8" w:color="E5FFFF"/>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20" w:type="dxa"/>
            <w:vAlign w:val="bottom"/>
            <w:tcBorders>
              <w:bottom w:val="single" w:sz="8" w:color="E5FFFF"/>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Borders>
              <w:bottom w:val="single" w:sz="8" w:color="E5FFFF"/>
            </w:tcBorders>
          </w:tcPr>
          <w:p>
            <w:pPr>
              <w:spacing w:after="0"/>
              <w:rPr>
                <w:sz w:val="18"/>
                <w:szCs w:val="18"/>
                <w:color w:val="auto"/>
              </w:rPr>
            </w:pPr>
          </w:p>
        </w:tc>
      </w:tr>
      <w:tr>
        <w:trPr>
          <w:trHeight w:val="199"/>
        </w:trPr>
        <w:tc>
          <w:tcPr>
            <w:tcW w:w="55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Profit for the period</w:t>
            </w:r>
          </w:p>
        </w:tc>
        <w:tc>
          <w:tcPr>
            <w:tcW w:w="12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26,487</w:t>
            </w:r>
          </w:p>
        </w:tc>
        <w:tc>
          <w:tcPr>
            <w:tcW w:w="240" w:type="dxa"/>
            <w:vAlign w:val="bottom"/>
            <w:shd w:val="clear" w:color="auto" w:fill="E5FFFF"/>
          </w:tcPr>
          <w:p>
            <w:pPr>
              <w:spacing w:after="0"/>
              <w:rPr>
                <w:sz w:val="17"/>
                <w:szCs w:val="17"/>
                <w:color w:val="auto"/>
              </w:rPr>
            </w:pPr>
          </w:p>
        </w:tc>
        <w:tc>
          <w:tcPr>
            <w:tcW w:w="12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42,651</w:t>
            </w:r>
          </w:p>
        </w:tc>
        <w:tc>
          <w:tcPr>
            <w:tcW w:w="220" w:type="dxa"/>
            <w:vAlign w:val="bottom"/>
            <w:shd w:val="clear" w:color="auto" w:fill="E5FFFF"/>
          </w:tcPr>
          <w:p>
            <w:pPr>
              <w:spacing w:after="0"/>
              <w:rPr>
                <w:sz w:val="17"/>
                <w:szCs w:val="17"/>
                <w:color w:val="auto"/>
              </w:rPr>
            </w:pPr>
          </w:p>
        </w:tc>
        <w:tc>
          <w:tcPr>
            <w:tcW w:w="12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76,510</w:t>
            </w:r>
          </w:p>
        </w:tc>
        <w:tc>
          <w:tcPr>
            <w:tcW w:w="220" w:type="dxa"/>
            <w:vAlign w:val="bottom"/>
            <w:shd w:val="clear" w:color="auto" w:fill="E5FFFF"/>
          </w:tcPr>
          <w:p>
            <w:pPr>
              <w:spacing w:after="0"/>
              <w:rPr>
                <w:sz w:val="17"/>
                <w:szCs w:val="17"/>
                <w:color w:val="auto"/>
              </w:rPr>
            </w:pP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78,393</w:t>
            </w:r>
          </w:p>
        </w:tc>
        <w:tc>
          <w:tcPr>
            <w:tcW w:w="100" w:type="dxa"/>
            <w:vAlign w:val="bottom"/>
            <w:shd w:val="clear" w:color="auto" w:fill="E5FFFF"/>
          </w:tcPr>
          <w:p>
            <w:pPr>
              <w:spacing w:after="0"/>
              <w:rPr>
                <w:sz w:val="17"/>
                <w:szCs w:val="17"/>
                <w:color w:val="auto"/>
              </w:rPr>
            </w:pPr>
          </w:p>
        </w:tc>
      </w:tr>
      <w:tr>
        <w:trPr>
          <w:trHeight w:val="203"/>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21,281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20,696</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62,765</w:t>
            </w:r>
          </w:p>
        </w:tc>
        <w:tc>
          <w:tcPr>
            <w:tcW w:w="22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64,907</w:t>
            </w:r>
          </w:p>
        </w:tc>
      </w:tr>
      <w:tr>
        <w:trPr>
          <w:trHeight w:val="203"/>
        </w:trPr>
        <w:tc>
          <w:tcPr>
            <w:tcW w:w="55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Financial costs</w:t>
            </w:r>
          </w:p>
        </w:tc>
        <w:tc>
          <w:tcPr>
            <w:tcW w:w="1500" w:type="dxa"/>
            <w:vAlign w:val="bottom"/>
            <w:gridSpan w:val="2"/>
            <w:shd w:val="clear" w:color="auto" w:fill="E5FFFF"/>
          </w:tcPr>
          <w:p>
            <w:pPr>
              <w:jc w:val="right"/>
              <w:ind w:right="240"/>
              <w:spacing w:after="0"/>
              <w:rPr>
                <w:sz w:val="20"/>
                <w:szCs w:val="20"/>
                <w:color w:val="auto"/>
              </w:rPr>
            </w:pPr>
            <w:r>
              <w:rPr>
                <w:rFonts w:ascii="Times New Roman" w:cs="Times New Roman" w:eastAsia="Times New Roman" w:hAnsi="Times New Roman"/>
                <w:sz w:val="16"/>
                <w:szCs w:val="16"/>
                <w:color w:val="auto"/>
              </w:rPr>
              <w:t>9,373</w:t>
            </w:r>
          </w:p>
        </w:tc>
        <w:tc>
          <w:tcPr>
            <w:tcW w:w="144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6"/>
                <w:szCs w:val="16"/>
                <w:color w:val="auto"/>
              </w:rPr>
              <w:t>13,381</w:t>
            </w:r>
          </w:p>
        </w:tc>
        <w:tc>
          <w:tcPr>
            <w:tcW w:w="12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27,904</w:t>
            </w:r>
          </w:p>
        </w:tc>
        <w:tc>
          <w:tcPr>
            <w:tcW w:w="22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31,940</w:t>
            </w:r>
          </w:p>
        </w:tc>
      </w:tr>
      <w:tr>
        <w:trPr>
          <w:trHeight w:val="203"/>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Financial income</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(612)</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(32)</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(872)</w:t>
            </w:r>
          </w:p>
        </w:tc>
      </w:tr>
      <w:tr>
        <w:trPr>
          <w:trHeight w:val="216"/>
        </w:trPr>
        <w:tc>
          <w:tcPr>
            <w:tcW w:w="55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Loss/(gain) on derivatives</w:t>
            </w:r>
          </w:p>
        </w:tc>
        <w:tc>
          <w:tcPr>
            <w:tcW w:w="1500" w:type="dxa"/>
            <w:vAlign w:val="bottom"/>
            <w:gridSpan w:val="2"/>
            <w:shd w:val="clear" w:color="auto" w:fill="E5FFFF"/>
          </w:tcPr>
          <w:p>
            <w:pPr>
              <w:jc w:val="right"/>
              <w:ind w:right="240"/>
              <w:spacing w:after="0"/>
              <w:rPr>
                <w:sz w:val="20"/>
                <w:szCs w:val="20"/>
                <w:color w:val="auto"/>
              </w:rPr>
            </w:pPr>
            <w:r>
              <w:rPr>
                <w:rFonts w:ascii="Times New Roman" w:cs="Times New Roman" w:eastAsia="Times New Roman" w:hAnsi="Times New Roman"/>
                <w:sz w:val="16"/>
                <w:szCs w:val="16"/>
                <w:color w:val="auto"/>
              </w:rPr>
              <w:t>182</w:t>
            </w:r>
          </w:p>
        </w:tc>
        <w:tc>
          <w:tcPr>
            <w:tcW w:w="144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6"/>
                <w:szCs w:val="16"/>
                <w:color w:val="auto"/>
              </w:rPr>
              <w:t>(2,993)</w:t>
            </w:r>
          </w:p>
        </w:tc>
        <w:tc>
          <w:tcPr>
            <w:tcW w:w="144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6"/>
                <w:szCs w:val="16"/>
                <w:color w:val="auto"/>
              </w:rPr>
              <w:t>(734)</w:t>
            </w:r>
          </w:p>
        </w:tc>
        <w:tc>
          <w:tcPr>
            <w:tcW w:w="134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(9,216)</w:t>
            </w:r>
          </w:p>
        </w:tc>
      </w:tr>
      <w:tr>
        <w:trPr>
          <w:trHeight w:val="196"/>
        </w:trPr>
        <w:tc>
          <w:tcPr>
            <w:tcW w:w="552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b w:val="1"/>
                <w:bCs w:val="1"/>
                <w:color w:val="auto"/>
              </w:rPr>
              <w:t>EBITDA</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57,314</w:t>
            </w:r>
          </w:p>
        </w:tc>
        <w:tc>
          <w:tcPr>
            <w:tcW w:w="240" w:type="dxa"/>
            <w:vAlign w:val="bottom"/>
            <w:tcBorders>
              <w:bottom w:val="single" w:sz="8" w:color="E5FF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73,123</w:t>
            </w:r>
          </w:p>
        </w:tc>
        <w:tc>
          <w:tcPr>
            <w:tcW w:w="220" w:type="dxa"/>
            <w:vAlign w:val="bottom"/>
            <w:tcBorders>
              <w:bottom w:val="single" w:sz="8" w:color="E5FF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166,413</w:t>
            </w:r>
          </w:p>
        </w:tc>
        <w:tc>
          <w:tcPr>
            <w:tcW w:w="220" w:type="dxa"/>
            <w:vAlign w:val="bottom"/>
            <w:tcBorders>
              <w:bottom w:val="single" w:sz="8" w:color="E5FF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165,152</w:t>
            </w:r>
          </w:p>
        </w:tc>
        <w:tc>
          <w:tcPr>
            <w:tcW w:w="100" w:type="dxa"/>
            <w:vAlign w:val="bottom"/>
            <w:tcBorders>
              <w:bottom w:val="single" w:sz="8" w:color="E5FFFF"/>
            </w:tcBorders>
          </w:tcPr>
          <w:p>
            <w:pPr>
              <w:spacing w:after="0"/>
              <w:rPr>
                <w:sz w:val="17"/>
                <w:szCs w:val="17"/>
                <w:color w:val="auto"/>
              </w:rPr>
            </w:pPr>
          </w:p>
        </w:tc>
      </w:tr>
      <w:tr>
        <w:trPr>
          <w:trHeight w:val="196"/>
        </w:trPr>
        <w:tc>
          <w:tcPr>
            <w:tcW w:w="55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Impairment loss on vessels</w:t>
            </w:r>
          </w:p>
        </w:tc>
        <w:tc>
          <w:tcPr>
            <w:tcW w:w="12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E5FFFF"/>
          </w:tcPr>
          <w:p>
            <w:pPr>
              <w:spacing w:after="0"/>
              <w:rPr>
                <w:sz w:val="17"/>
                <w:szCs w:val="17"/>
                <w:color w:val="auto"/>
              </w:rPr>
            </w:pPr>
          </w:p>
        </w:tc>
        <w:tc>
          <w:tcPr>
            <w:tcW w:w="12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E5FFFF"/>
          </w:tcPr>
          <w:p>
            <w:pPr>
              <w:spacing w:after="0"/>
              <w:rPr>
                <w:sz w:val="17"/>
                <w:szCs w:val="17"/>
                <w:color w:val="auto"/>
              </w:rPr>
            </w:pPr>
          </w:p>
        </w:tc>
        <w:tc>
          <w:tcPr>
            <w:tcW w:w="12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E5FFFF"/>
          </w:tcPr>
          <w:p>
            <w:pPr>
              <w:spacing w:after="0"/>
              <w:rPr>
                <w:sz w:val="17"/>
                <w:szCs w:val="17"/>
                <w:color w:val="auto"/>
              </w:rPr>
            </w:pP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28,027</w:t>
            </w:r>
          </w:p>
        </w:tc>
        <w:tc>
          <w:tcPr>
            <w:tcW w:w="100" w:type="dxa"/>
            <w:vAlign w:val="bottom"/>
            <w:shd w:val="clear" w:color="auto" w:fill="E5FFFF"/>
          </w:tcPr>
          <w:p>
            <w:pPr>
              <w:spacing w:after="0"/>
              <w:rPr>
                <w:sz w:val="17"/>
                <w:szCs w:val="17"/>
                <w:color w:val="auto"/>
              </w:rPr>
            </w:pPr>
          </w:p>
        </w:tc>
      </w:tr>
      <w:tr>
        <w:trPr>
          <w:trHeight w:val="203"/>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Loss on disposal of vessel</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166</w:t>
            </w:r>
          </w:p>
        </w:tc>
      </w:tr>
      <w:tr>
        <w:trPr>
          <w:trHeight w:val="216"/>
        </w:trPr>
        <w:tc>
          <w:tcPr>
            <w:tcW w:w="55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Restructuring costs</w:t>
            </w:r>
          </w:p>
        </w:tc>
        <w:tc>
          <w:tcPr>
            <w:tcW w:w="1500" w:type="dxa"/>
            <w:vAlign w:val="bottom"/>
            <w:gridSpan w:val="2"/>
            <w:shd w:val="clear" w:color="auto" w:fill="E5FF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168</w:t>
            </w:r>
          </w:p>
        </w:tc>
      </w:tr>
      <w:tr>
        <w:trPr>
          <w:trHeight w:val="196"/>
        </w:trPr>
        <w:tc>
          <w:tcPr>
            <w:tcW w:w="5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57,314</w:t>
            </w:r>
          </w:p>
        </w:tc>
        <w:tc>
          <w:tcPr>
            <w:tcW w:w="240" w:type="dxa"/>
            <w:vAlign w:val="bottom"/>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73,289</w:t>
            </w:r>
          </w:p>
        </w:tc>
        <w:tc>
          <w:tcPr>
            <w:tcW w:w="220" w:type="dxa"/>
            <w:vAlign w:val="bottom"/>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166,413</w:t>
            </w:r>
          </w:p>
        </w:tc>
        <w:tc>
          <w:tcPr>
            <w:tcW w:w="22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193,513</w:t>
            </w:r>
          </w:p>
        </w:tc>
        <w:tc>
          <w:tcPr>
            <w:tcW w:w="100" w:type="dxa"/>
            <w:vAlign w:val="bottom"/>
          </w:tcPr>
          <w:p>
            <w:pPr>
              <w:spacing w:after="0"/>
              <w:rPr>
                <w:sz w:val="17"/>
                <w:szCs w:val="17"/>
                <w:color w:val="auto"/>
              </w:rPr>
            </w:pPr>
          </w:p>
        </w:tc>
      </w:tr>
      <w:tr>
        <w:trPr>
          <w:trHeight w:val="406"/>
        </w:trPr>
        <w:tc>
          <w:tcPr>
            <w:tcW w:w="5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Reconciliation of Profit to Adjusted Profit:</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55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(Amounts expressed in thousands of U.S. Dollars)</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2"/>
        </w:trPr>
        <w:tc>
          <w:tcPr>
            <w:tcW w:w="5520" w:type="dxa"/>
            <w:vAlign w:val="bottom"/>
          </w:tcPr>
          <w:p>
            <w:pPr>
              <w:spacing w:after="0"/>
              <w:rPr>
                <w:sz w:val="24"/>
                <w:szCs w:val="24"/>
                <w:color w:val="auto"/>
              </w:rPr>
            </w:pPr>
          </w:p>
        </w:tc>
        <w:tc>
          <w:tcPr>
            <w:tcW w:w="2940" w:type="dxa"/>
            <w:vAlign w:val="bottom"/>
            <w:gridSpan w:val="4"/>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780" w:type="dxa"/>
            <w:vAlign w:val="bottom"/>
            <w:gridSpan w:val="4"/>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03"/>
        </w:trPr>
        <w:tc>
          <w:tcPr>
            <w:tcW w:w="5520" w:type="dxa"/>
            <w:vAlign w:val="bottom"/>
          </w:tcPr>
          <w:p>
            <w:pPr>
              <w:spacing w:after="0"/>
              <w:rPr>
                <w:sz w:val="17"/>
                <w:szCs w:val="17"/>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5"/>
        </w:trPr>
        <w:tc>
          <w:tcPr>
            <w:tcW w:w="5520" w:type="dxa"/>
            <w:vAlign w:val="bottom"/>
            <w:tcBorders>
              <w:bottom w:val="single" w:sz="8" w:color="E5FFFF"/>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40" w:type="dxa"/>
            <w:vAlign w:val="bottom"/>
            <w:tcBorders>
              <w:bottom w:val="single" w:sz="8" w:color="E5FFFF"/>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bottom w:val="single" w:sz="8" w:color="E5FFFF"/>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20" w:type="dxa"/>
            <w:vAlign w:val="bottom"/>
            <w:tcBorders>
              <w:bottom w:val="single" w:sz="8" w:color="E5FFFF"/>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Borders>
              <w:bottom w:val="single" w:sz="8" w:color="E5FFFF"/>
            </w:tcBorders>
          </w:tcPr>
          <w:p>
            <w:pPr>
              <w:spacing w:after="0"/>
              <w:rPr>
                <w:sz w:val="18"/>
                <w:szCs w:val="18"/>
                <w:color w:val="auto"/>
              </w:rPr>
            </w:pPr>
          </w:p>
        </w:tc>
      </w:tr>
      <w:tr>
        <w:trPr>
          <w:trHeight w:val="199"/>
        </w:trPr>
        <w:tc>
          <w:tcPr>
            <w:tcW w:w="55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Profit for the period</w:t>
            </w:r>
          </w:p>
        </w:tc>
        <w:tc>
          <w:tcPr>
            <w:tcW w:w="12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26,487</w:t>
            </w:r>
          </w:p>
        </w:tc>
        <w:tc>
          <w:tcPr>
            <w:tcW w:w="240" w:type="dxa"/>
            <w:vAlign w:val="bottom"/>
            <w:shd w:val="clear" w:color="auto" w:fill="E5FFFF"/>
          </w:tcPr>
          <w:p>
            <w:pPr>
              <w:spacing w:after="0"/>
              <w:rPr>
                <w:sz w:val="17"/>
                <w:szCs w:val="17"/>
                <w:color w:val="auto"/>
              </w:rPr>
            </w:pPr>
          </w:p>
        </w:tc>
        <w:tc>
          <w:tcPr>
            <w:tcW w:w="12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42,651</w:t>
            </w:r>
          </w:p>
        </w:tc>
        <w:tc>
          <w:tcPr>
            <w:tcW w:w="220" w:type="dxa"/>
            <w:vAlign w:val="bottom"/>
            <w:shd w:val="clear" w:color="auto" w:fill="E5FFFF"/>
          </w:tcPr>
          <w:p>
            <w:pPr>
              <w:spacing w:after="0"/>
              <w:rPr>
                <w:sz w:val="17"/>
                <w:szCs w:val="17"/>
                <w:color w:val="auto"/>
              </w:rPr>
            </w:pPr>
          </w:p>
        </w:tc>
        <w:tc>
          <w:tcPr>
            <w:tcW w:w="12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76,510</w:t>
            </w:r>
          </w:p>
        </w:tc>
        <w:tc>
          <w:tcPr>
            <w:tcW w:w="220" w:type="dxa"/>
            <w:vAlign w:val="bottom"/>
            <w:shd w:val="clear" w:color="auto" w:fill="E5FFFF"/>
          </w:tcPr>
          <w:p>
            <w:pPr>
              <w:spacing w:after="0"/>
              <w:rPr>
                <w:sz w:val="17"/>
                <w:szCs w:val="17"/>
                <w:color w:val="auto"/>
              </w:rPr>
            </w:pP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78,393</w:t>
            </w:r>
          </w:p>
        </w:tc>
        <w:tc>
          <w:tcPr>
            <w:tcW w:w="100" w:type="dxa"/>
            <w:vAlign w:val="bottom"/>
            <w:shd w:val="clear" w:color="auto" w:fill="E5FFFF"/>
          </w:tcPr>
          <w:p>
            <w:pPr>
              <w:spacing w:after="0"/>
              <w:rPr>
                <w:sz w:val="17"/>
                <w:szCs w:val="17"/>
                <w:color w:val="auto"/>
              </w:rPr>
            </w:pPr>
          </w:p>
        </w:tc>
      </w:tr>
      <w:tr>
        <w:trPr>
          <w:trHeight w:val="203"/>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Non-cash gain on derivatives</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(1,787)</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(3,297)</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(7,356)</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(12,579)</w:t>
            </w:r>
          </w:p>
        </w:tc>
      </w:tr>
      <w:tr>
        <w:trPr>
          <w:trHeight w:val="203"/>
        </w:trPr>
        <w:tc>
          <w:tcPr>
            <w:tcW w:w="55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Write-off of unamortized loan fees</w:t>
            </w:r>
          </w:p>
        </w:tc>
        <w:tc>
          <w:tcPr>
            <w:tcW w:w="1500" w:type="dxa"/>
            <w:vAlign w:val="bottom"/>
            <w:gridSpan w:val="2"/>
            <w:shd w:val="clear" w:color="auto" w:fill="E5FF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6"/>
                <w:szCs w:val="16"/>
                <w:color w:val="auto"/>
              </w:rPr>
              <w:t>294</w:t>
            </w:r>
          </w:p>
        </w:tc>
        <w:tc>
          <w:tcPr>
            <w:tcW w:w="144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294</w:t>
            </w:r>
          </w:p>
        </w:tc>
      </w:tr>
      <w:tr>
        <w:trPr>
          <w:trHeight w:val="203"/>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Impairment loss on vessels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28,027</w:t>
            </w:r>
          </w:p>
        </w:tc>
      </w:tr>
      <w:tr>
        <w:trPr>
          <w:trHeight w:val="203"/>
        </w:trPr>
        <w:tc>
          <w:tcPr>
            <w:tcW w:w="55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Loss on disposal of vessel</w:t>
            </w:r>
          </w:p>
        </w:tc>
        <w:tc>
          <w:tcPr>
            <w:tcW w:w="1500" w:type="dxa"/>
            <w:vAlign w:val="bottom"/>
            <w:gridSpan w:val="2"/>
            <w:shd w:val="clear" w:color="auto" w:fill="E5FF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6"/>
                <w:szCs w:val="16"/>
                <w:color w:val="auto"/>
              </w:rPr>
              <w:t>166</w:t>
            </w:r>
          </w:p>
        </w:tc>
        <w:tc>
          <w:tcPr>
            <w:tcW w:w="144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166</w:t>
            </w:r>
          </w:p>
        </w:tc>
      </w:tr>
      <w:tr>
        <w:trPr>
          <w:trHeight w:val="213"/>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Restructuring costs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168</w:t>
            </w:r>
          </w:p>
        </w:tc>
      </w:tr>
      <w:tr>
        <w:trPr>
          <w:trHeight w:val="199"/>
        </w:trPr>
        <w:tc>
          <w:tcPr>
            <w:tcW w:w="552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Adjusted Profit</w:t>
            </w: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24,700</w:t>
            </w:r>
          </w:p>
        </w:tc>
        <w:tc>
          <w:tcPr>
            <w:tcW w:w="240" w:type="dxa"/>
            <w:vAlign w:val="bottom"/>
            <w:tcBorders>
              <w:top w:val="single" w:sz="8" w:color="E5FFFF"/>
            </w:tcBorders>
            <w:shd w:val="clear" w:color="auto" w:fill="E5FFFF"/>
          </w:tcPr>
          <w:p>
            <w:pPr>
              <w:spacing w:after="0"/>
              <w:rPr>
                <w:sz w:val="17"/>
                <w:szCs w:val="17"/>
                <w:color w:val="auto"/>
              </w:rPr>
            </w:pPr>
          </w:p>
        </w:tc>
        <w:tc>
          <w:tcPr>
            <w:tcW w:w="12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39,814</w:t>
            </w:r>
          </w:p>
        </w:tc>
        <w:tc>
          <w:tcPr>
            <w:tcW w:w="220" w:type="dxa"/>
            <w:vAlign w:val="bottom"/>
            <w:tcBorders>
              <w:top w:val="single" w:sz="8" w:color="E5FFFF"/>
            </w:tcBorders>
            <w:shd w:val="clear" w:color="auto" w:fill="E5FFFF"/>
          </w:tcPr>
          <w:p>
            <w:pPr>
              <w:spacing w:after="0"/>
              <w:rPr>
                <w:sz w:val="17"/>
                <w:szCs w:val="17"/>
                <w:color w:val="auto"/>
              </w:rPr>
            </w:pPr>
          </w:p>
        </w:tc>
        <w:tc>
          <w:tcPr>
            <w:tcW w:w="12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69,154</w:t>
            </w:r>
          </w:p>
        </w:tc>
        <w:tc>
          <w:tcPr>
            <w:tcW w:w="22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94,469</w:t>
            </w:r>
          </w:p>
        </w:tc>
        <w:tc>
          <w:tcPr>
            <w:tcW w:w="100" w:type="dxa"/>
            <w:vAlign w:val="bottom"/>
            <w:tcBorders>
              <w:top w:val="single" w:sz="8" w:color="E5FFFF"/>
            </w:tcBorders>
            <w:shd w:val="clear" w:color="auto" w:fill="E5FFFF"/>
          </w:tcPr>
          <w:p>
            <w:pPr>
              <w:spacing w:after="0"/>
              <w:rPr>
                <w:sz w:val="17"/>
                <w:szCs w:val="17"/>
                <w:color w:val="auto"/>
              </w:rPr>
            </w:pPr>
          </w:p>
        </w:tc>
      </w:tr>
      <w:tr>
        <w:trPr>
          <w:trHeight w:val="406"/>
        </w:trPr>
        <w:tc>
          <w:tcPr>
            <w:tcW w:w="5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Reconciliation of Profit to EPU and Adjusted EPU:</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55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(Amounts expressed in thousands of U.S. Dollars)</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2"/>
        </w:trPr>
        <w:tc>
          <w:tcPr>
            <w:tcW w:w="5520" w:type="dxa"/>
            <w:vAlign w:val="bottom"/>
          </w:tcPr>
          <w:p>
            <w:pPr>
              <w:spacing w:after="0"/>
              <w:rPr>
                <w:sz w:val="24"/>
                <w:szCs w:val="24"/>
                <w:color w:val="auto"/>
              </w:rPr>
            </w:pPr>
          </w:p>
        </w:tc>
        <w:tc>
          <w:tcPr>
            <w:tcW w:w="2940" w:type="dxa"/>
            <w:vAlign w:val="bottom"/>
            <w:gridSpan w:val="4"/>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780" w:type="dxa"/>
            <w:vAlign w:val="bottom"/>
            <w:gridSpan w:val="4"/>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03"/>
        </w:trPr>
        <w:tc>
          <w:tcPr>
            <w:tcW w:w="5520" w:type="dxa"/>
            <w:vAlign w:val="bottom"/>
          </w:tcPr>
          <w:p>
            <w:pPr>
              <w:spacing w:after="0"/>
              <w:rPr>
                <w:sz w:val="17"/>
                <w:szCs w:val="17"/>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5"/>
        </w:trPr>
        <w:tc>
          <w:tcPr>
            <w:tcW w:w="5520" w:type="dxa"/>
            <w:vAlign w:val="bottom"/>
            <w:tcBorders>
              <w:bottom w:val="single" w:sz="8" w:color="E5FFFF"/>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40" w:type="dxa"/>
            <w:vAlign w:val="bottom"/>
            <w:tcBorders>
              <w:bottom w:val="single" w:sz="8" w:color="E5FFFF"/>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bottom w:val="single" w:sz="8" w:color="E5FFFF"/>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20" w:type="dxa"/>
            <w:vAlign w:val="bottom"/>
            <w:tcBorders>
              <w:bottom w:val="single" w:sz="8" w:color="E5FFFF"/>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Borders>
              <w:bottom w:val="single" w:sz="8" w:color="E5FFFF"/>
            </w:tcBorders>
          </w:tcPr>
          <w:p>
            <w:pPr>
              <w:spacing w:after="0"/>
              <w:rPr>
                <w:sz w:val="18"/>
                <w:szCs w:val="18"/>
                <w:color w:val="auto"/>
              </w:rPr>
            </w:pPr>
          </w:p>
        </w:tc>
      </w:tr>
      <w:tr>
        <w:trPr>
          <w:trHeight w:val="199"/>
        </w:trPr>
        <w:tc>
          <w:tcPr>
            <w:tcW w:w="55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Profit for the period</w:t>
            </w:r>
          </w:p>
        </w:tc>
        <w:tc>
          <w:tcPr>
            <w:tcW w:w="12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26,487</w:t>
            </w:r>
          </w:p>
        </w:tc>
        <w:tc>
          <w:tcPr>
            <w:tcW w:w="240" w:type="dxa"/>
            <w:vAlign w:val="bottom"/>
            <w:shd w:val="clear" w:color="auto" w:fill="E5FFFF"/>
          </w:tcPr>
          <w:p>
            <w:pPr>
              <w:spacing w:after="0"/>
              <w:rPr>
                <w:sz w:val="17"/>
                <w:szCs w:val="17"/>
                <w:color w:val="auto"/>
              </w:rPr>
            </w:pPr>
          </w:p>
        </w:tc>
        <w:tc>
          <w:tcPr>
            <w:tcW w:w="12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42,651</w:t>
            </w:r>
          </w:p>
        </w:tc>
        <w:tc>
          <w:tcPr>
            <w:tcW w:w="220" w:type="dxa"/>
            <w:vAlign w:val="bottom"/>
            <w:shd w:val="clear" w:color="auto" w:fill="E5FFFF"/>
          </w:tcPr>
          <w:p>
            <w:pPr>
              <w:spacing w:after="0"/>
              <w:rPr>
                <w:sz w:val="17"/>
                <w:szCs w:val="17"/>
                <w:color w:val="auto"/>
              </w:rPr>
            </w:pPr>
          </w:p>
        </w:tc>
        <w:tc>
          <w:tcPr>
            <w:tcW w:w="12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76,510</w:t>
            </w:r>
          </w:p>
        </w:tc>
        <w:tc>
          <w:tcPr>
            <w:tcW w:w="220" w:type="dxa"/>
            <w:vAlign w:val="bottom"/>
            <w:shd w:val="clear" w:color="auto" w:fill="E5FFFF"/>
          </w:tcPr>
          <w:p>
            <w:pPr>
              <w:spacing w:after="0"/>
              <w:rPr>
                <w:sz w:val="17"/>
                <w:szCs w:val="17"/>
                <w:color w:val="auto"/>
              </w:rPr>
            </w:pP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78,393</w:t>
            </w:r>
          </w:p>
        </w:tc>
        <w:tc>
          <w:tcPr>
            <w:tcW w:w="100" w:type="dxa"/>
            <w:vAlign w:val="bottom"/>
            <w:shd w:val="clear" w:color="auto" w:fill="E5FFFF"/>
          </w:tcPr>
          <w:p>
            <w:pPr>
              <w:spacing w:after="0"/>
              <w:rPr>
                <w:sz w:val="17"/>
                <w:szCs w:val="17"/>
                <w:color w:val="auto"/>
              </w:rPr>
            </w:pPr>
          </w:p>
        </w:tc>
      </w:tr>
      <w:tr>
        <w:trPr>
          <w:trHeight w:val="213"/>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Adjustment for:</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5"/>
        </w:trPr>
        <w:tc>
          <w:tcPr>
            <w:tcW w:w="55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Accrued preference unit distributions</w:t>
            </w:r>
          </w:p>
        </w:tc>
        <w:tc>
          <w:tcPr>
            <w:tcW w:w="1500" w:type="dxa"/>
            <w:vAlign w:val="bottom"/>
            <w:gridSpan w:val="2"/>
            <w:shd w:val="clear" w:color="auto" w:fill="E5FFFF"/>
          </w:tcPr>
          <w:p>
            <w:pPr>
              <w:jc w:val="right"/>
              <w:ind w:right="180"/>
              <w:spacing w:after="0"/>
              <w:rPr>
                <w:sz w:val="20"/>
                <w:szCs w:val="20"/>
                <w:color w:val="auto"/>
              </w:rPr>
            </w:pPr>
            <w:r>
              <w:rPr>
                <w:rFonts w:ascii="Times New Roman" w:cs="Times New Roman" w:eastAsia="Times New Roman" w:hAnsi="Times New Roman"/>
                <w:sz w:val="16"/>
                <w:szCs w:val="16"/>
                <w:color w:val="auto"/>
              </w:rPr>
              <w:t>(7,329)</w:t>
            </w:r>
          </w:p>
        </w:tc>
        <w:tc>
          <w:tcPr>
            <w:tcW w:w="144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6"/>
                <w:szCs w:val="16"/>
                <w:color w:val="auto"/>
              </w:rPr>
              <w:t>(6,491)</w:t>
            </w:r>
          </w:p>
        </w:tc>
        <w:tc>
          <w:tcPr>
            <w:tcW w:w="144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6"/>
                <w:szCs w:val="16"/>
                <w:color w:val="auto"/>
              </w:rPr>
              <w:t>(22,493)</w:t>
            </w:r>
          </w:p>
        </w:tc>
        <w:tc>
          <w:tcPr>
            <w:tcW w:w="134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(20,299)</w:t>
            </w:r>
          </w:p>
        </w:tc>
      </w:tr>
      <w:tr>
        <w:trPr>
          <w:trHeight w:val="213"/>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Differences on repurchase of preference units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135</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2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(220)</w:t>
            </w:r>
          </w:p>
        </w:tc>
      </w:tr>
      <w:tr>
        <w:trPr>
          <w:trHeight w:val="199"/>
        </w:trPr>
        <w:tc>
          <w:tcPr>
            <w:tcW w:w="552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Partnership’s profit attributable to:</w:t>
            </w: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19,293</w:t>
            </w:r>
          </w:p>
        </w:tc>
        <w:tc>
          <w:tcPr>
            <w:tcW w:w="240" w:type="dxa"/>
            <w:vAlign w:val="bottom"/>
            <w:tcBorders>
              <w:top w:val="single" w:sz="8" w:color="E5FFFF"/>
            </w:tcBorders>
            <w:shd w:val="clear" w:color="auto" w:fill="E5FFFF"/>
          </w:tcPr>
          <w:p>
            <w:pPr>
              <w:spacing w:after="0"/>
              <w:rPr>
                <w:sz w:val="17"/>
                <w:szCs w:val="17"/>
                <w:color w:val="auto"/>
              </w:rPr>
            </w:pPr>
          </w:p>
        </w:tc>
        <w:tc>
          <w:tcPr>
            <w:tcW w:w="12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36,156</w:t>
            </w:r>
          </w:p>
        </w:tc>
        <w:tc>
          <w:tcPr>
            <w:tcW w:w="220" w:type="dxa"/>
            <w:vAlign w:val="bottom"/>
            <w:tcBorders>
              <w:top w:val="single" w:sz="8" w:color="E5FFFF"/>
            </w:tcBorders>
            <w:shd w:val="clear" w:color="auto" w:fill="E5FFFF"/>
          </w:tcPr>
          <w:p>
            <w:pPr>
              <w:spacing w:after="0"/>
              <w:rPr>
                <w:sz w:val="17"/>
                <w:szCs w:val="17"/>
                <w:color w:val="auto"/>
              </w:rPr>
            </w:pPr>
          </w:p>
        </w:tc>
        <w:tc>
          <w:tcPr>
            <w:tcW w:w="12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54,152</w:t>
            </w:r>
          </w:p>
        </w:tc>
        <w:tc>
          <w:tcPr>
            <w:tcW w:w="22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57,874</w:t>
            </w:r>
          </w:p>
        </w:tc>
        <w:tc>
          <w:tcPr>
            <w:tcW w:w="100" w:type="dxa"/>
            <w:vAlign w:val="bottom"/>
            <w:tcBorders>
              <w:top w:val="single" w:sz="8" w:color="E5FFFF"/>
            </w:tcBorders>
            <w:shd w:val="clear" w:color="auto" w:fill="E5FFFF"/>
          </w:tcPr>
          <w:p>
            <w:pPr>
              <w:spacing w:after="0"/>
              <w:rPr>
                <w:sz w:val="17"/>
                <w:szCs w:val="17"/>
                <w:color w:val="auto"/>
              </w:rPr>
            </w:pPr>
          </w:p>
        </w:tc>
      </w:tr>
      <w:tr>
        <w:trPr>
          <w:trHeight w:val="196"/>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Common units</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18,895</w:t>
            </w: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35,416</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53,022</w:t>
            </w: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56,685</w:t>
            </w:r>
          </w:p>
        </w:tc>
        <w:tc>
          <w:tcPr>
            <w:tcW w:w="100" w:type="dxa"/>
            <w:vAlign w:val="bottom"/>
          </w:tcPr>
          <w:p>
            <w:pPr>
              <w:spacing w:after="0"/>
              <w:rPr>
                <w:sz w:val="17"/>
                <w:szCs w:val="17"/>
                <w:color w:val="auto"/>
              </w:rPr>
            </w:pPr>
          </w:p>
        </w:tc>
      </w:tr>
      <w:tr>
        <w:trPr>
          <w:trHeight w:val="203"/>
        </w:trPr>
        <w:tc>
          <w:tcPr>
            <w:tcW w:w="55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General partner units</w:t>
            </w:r>
          </w:p>
        </w:tc>
        <w:tc>
          <w:tcPr>
            <w:tcW w:w="1500" w:type="dxa"/>
            <w:vAlign w:val="bottom"/>
            <w:gridSpan w:val="2"/>
            <w:shd w:val="clear" w:color="auto" w:fill="E5FFFF"/>
          </w:tcPr>
          <w:p>
            <w:pPr>
              <w:jc w:val="right"/>
              <w:ind w:right="240"/>
              <w:spacing w:after="0"/>
              <w:rPr>
                <w:sz w:val="20"/>
                <w:szCs w:val="20"/>
                <w:color w:val="auto"/>
              </w:rPr>
            </w:pPr>
            <w:r>
              <w:rPr>
                <w:rFonts w:ascii="Times New Roman" w:cs="Times New Roman" w:eastAsia="Times New Roman" w:hAnsi="Times New Roman"/>
                <w:sz w:val="16"/>
                <w:szCs w:val="16"/>
                <w:color w:val="auto"/>
              </w:rPr>
              <w:t>398</w:t>
            </w:r>
          </w:p>
        </w:tc>
        <w:tc>
          <w:tcPr>
            <w:tcW w:w="144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6"/>
                <w:szCs w:val="16"/>
                <w:color w:val="auto"/>
              </w:rPr>
              <w:t>740</w:t>
            </w:r>
          </w:p>
        </w:tc>
        <w:tc>
          <w:tcPr>
            <w:tcW w:w="12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1,130</w:t>
            </w:r>
          </w:p>
        </w:tc>
        <w:tc>
          <w:tcPr>
            <w:tcW w:w="22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1,189</w:t>
            </w:r>
          </w:p>
        </w:tc>
      </w:tr>
      <w:tr>
        <w:trPr>
          <w:trHeight w:val="214"/>
        </w:trPr>
        <w:tc>
          <w:tcPr>
            <w:tcW w:w="5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Weighted average units outstanding (basic)</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4"/>
        </w:trPr>
        <w:tc>
          <w:tcPr>
            <w:tcW w:w="55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Common units</w:t>
            </w:r>
          </w:p>
        </w:tc>
        <w:tc>
          <w:tcPr>
            <w:tcW w:w="1500" w:type="dxa"/>
            <w:vAlign w:val="bottom"/>
            <w:gridSpan w:val="2"/>
            <w:shd w:val="clear" w:color="auto" w:fill="E5FFFF"/>
          </w:tcPr>
          <w:p>
            <w:pPr>
              <w:jc w:val="right"/>
              <w:ind w:right="240"/>
              <w:spacing w:after="0"/>
              <w:rPr>
                <w:sz w:val="20"/>
                <w:szCs w:val="20"/>
                <w:color w:val="auto"/>
              </w:rPr>
            </w:pPr>
            <w:r>
              <w:rPr>
                <w:rFonts w:ascii="Times New Roman" w:cs="Times New Roman" w:eastAsia="Times New Roman" w:hAnsi="Times New Roman"/>
                <w:sz w:val="16"/>
                <w:szCs w:val="16"/>
                <w:color w:val="auto"/>
              </w:rPr>
              <w:t>51,132,690</w:t>
            </w:r>
          </w:p>
        </w:tc>
        <w:tc>
          <w:tcPr>
            <w:tcW w:w="144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6"/>
                <w:szCs w:val="16"/>
                <w:color w:val="auto"/>
              </w:rPr>
              <w:t>51,683,354</w:t>
            </w:r>
          </w:p>
        </w:tc>
        <w:tc>
          <w:tcPr>
            <w:tcW w:w="12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48,950,508</w:t>
            </w:r>
          </w:p>
        </w:tc>
        <w:tc>
          <w:tcPr>
            <w:tcW w:w="22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51,332,736</w:t>
            </w:r>
          </w:p>
        </w:tc>
      </w:tr>
      <w:tr>
        <w:trPr>
          <w:trHeight w:val="203"/>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General partner units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1,077,494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1,080,263</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1,040,467</w:t>
            </w:r>
          </w:p>
        </w:tc>
        <w:tc>
          <w:tcPr>
            <w:tcW w:w="22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1,078,437</w:t>
            </w:r>
          </w:p>
        </w:tc>
      </w:tr>
      <w:tr>
        <w:trPr>
          <w:trHeight w:val="216"/>
        </w:trPr>
        <w:tc>
          <w:tcPr>
            <w:tcW w:w="55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EPU (basic)</w:t>
            </w:r>
          </w:p>
        </w:tc>
        <w:tc>
          <w:tcPr>
            <w:tcW w:w="126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2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02"/>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Common units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0.37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0.69</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22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1.10</w:t>
            </w:r>
          </w:p>
        </w:tc>
      </w:tr>
      <w:tr>
        <w:trPr>
          <w:trHeight w:val="203"/>
        </w:trPr>
        <w:tc>
          <w:tcPr>
            <w:tcW w:w="55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General partner units</w:t>
            </w:r>
          </w:p>
        </w:tc>
        <w:tc>
          <w:tcPr>
            <w:tcW w:w="1500" w:type="dxa"/>
            <w:vAlign w:val="bottom"/>
            <w:gridSpan w:val="2"/>
            <w:shd w:val="clear" w:color="auto" w:fill="E5FFFF"/>
          </w:tcPr>
          <w:p>
            <w:pPr>
              <w:jc w:val="right"/>
              <w:ind w:right="240"/>
              <w:spacing w:after="0"/>
              <w:rPr>
                <w:sz w:val="20"/>
                <w:szCs w:val="20"/>
                <w:color w:val="auto"/>
              </w:rPr>
            </w:pPr>
            <w:r>
              <w:rPr>
                <w:rFonts w:ascii="Times New Roman" w:cs="Times New Roman" w:eastAsia="Times New Roman" w:hAnsi="Times New Roman"/>
                <w:sz w:val="16"/>
                <w:szCs w:val="16"/>
                <w:color w:val="auto"/>
              </w:rPr>
              <w:t>0.37</w:t>
            </w:r>
          </w:p>
        </w:tc>
        <w:tc>
          <w:tcPr>
            <w:tcW w:w="144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6"/>
                <w:szCs w:val="16"/>
                <w:color w:val="auto"/>
              </w:rPr>
              <w:t>0.69</w:t>
            </w:r>
          </w:p>
        </w:tc>
        <w:tc>
          <w:tcPr>
            <w:tcW w:w="12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22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1.10</w:t>
            </w:r>
          </w:p>
        </w:tc>
      </w:tr>
      <w:tr>
        <w:trPr>
          <w:trHeight w:val="443"/>
        </w:trPr>
        <w:tc>
          <w:tcPr>
            <w:tcW w:w="5520" w:type="dxa"/>
            <w:vAlign w:val="bottom"/>
          </w:tcPr>
          <w:p>
            <w:pPr>
              <w:spacing w:after="0"/>
              <w:rPr>
                <w:sz w:val="24"/>
                <w:szCs w:val="24"/>
                <w:color w:val="auto"/>
              </w:rPr>
            </w:pPr>
          </w:p>
        </w:tc>
        <w:tc>
          <w:tcPr>
            <w:tcW w:w="2940" w:type="dxa"/>
            <w:vAlign w:val="bottom"/>
            <w:gridSpan w:val="4"/>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780" w:type="dxa"/>
            <w:vAlign w:val="bottom"/>
            <w:gridSpan w:val="4"/>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03"/>
        </w:trPr>
        <w:tc>
          <w:tcPr>
            <w:tcW w:w="5520" w:type="dxa"/>
            <w:vAlign w:val="bottom"/>
          </w:tcPr>
          <w:p>
            <w:pPr>
              <w:spacing w:after="0"/>
              <w:rPr>
                <w:sz w:val="17"/>
                <w:szCs w:val="17"/>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5"/>
        </w:trPr>
        <w:tc>
          <w:tcPr>
            <w:tcW w:w="5520" w:type="dxa"/>
            <w:vAlign w:val="bottom"/>
            <w:tcBorders>
              <w:bottom w:val="single" w:sz="8" w:color="E5FFFF"/>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40" w:type="dxa"/>
            <w:vAlign w:val="bottom"/>
            <w:tcBorders>
              <w:bottom w:val="single" w:sz="8" w:color="E5FFFF"/>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bottom w:val="single" w:sz="8" w:color="E5FFFF"/>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20" w:type="dxa"/>
            <w:vAlign w:val="bottom"/>
            <w:tcBorders>
              <w:bottom w:val="single" w:sz="8" w:color="E5FFFF"/>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Borders>
              <w:bottom w:val="single" w:sz="8" w:color="E5FFFF"/>
            </w:tcBorders>
          </w:tcPr>
          <w:p>
            <w:pPr>
              <w:spacing w:after="0"/>
              <w:rPr>
                <w:sz w:val="18"/>
                <w:szCs w:val="18"/>
                <w:color w:val="auto"/>
              </w:rPr>
            </w:pPr>
          </w:p>
        </w:tc>
      </w:tr>
      <w:tr>
        <w:trPr>
          <w:trHeight w:val="199"/>
        </w:trPr>
        <w:tc>
          <w:tcPr>
            <w:tcW w:w="55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Profit for the period</w:t>
            </w:r>
          </w:p>
        </w:tc>
        <w:tc>
          <w:tcPr>
            <w:tcW w:w="12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26,487</w:t>
            </w:r>
          </w:p>
        </w:tc>
        <w:tc>
          <w:tcPr>
            <w:tcW w:w="240" w:type="dxa"/>
            <w:vAlign w:val="bottom"/>
            <w:shd w:val="clear" w:color="auto" w:fill="E5FFFF"/>
          </w:tcPr>
          <w:p>
            <w:pPr>
              <w:spacing w:after="0"/>
              <w:rPr>
                <w:sz w:val="17"/>
                <w:szCs w:val="17"/>
                <w:color w:val="auto"/>
              </w:rPr>
            </w:pPr>
          </w:p>
        </w:tc>
        <w:tc>
          <w:tcPr>
            <w:tcW w:w="12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42,651</w:t>
            </w:r>
          </w:p>
        </w:tc>
        <w:tc>
          <w:tcPr>
            <w:tcW w:w="220" w:type="dxa"/>
            <w:vAlign w:val="bottom"/>
            <w:shd w:val="clear" w:color="auto" w:fill="E5FFFF"/>
          </w:tcPr>
          <w:p>
            <w:pPr>
              <w:spacing w:after="0"/>
              <w:rPr>
                <w:sz w:val="17"/>
                <w:szCs w:val="17"/>
                <w:color w:val="auto"/>
              </w:rPr>
            </w:pPr>
          </w:p>
        </w:tc>
        <w:tc>
          <w:tcPr>
            <w:tcW w:w="12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76,510</w:t>
            </w:r>
          </w:p>
        </w:tc>
        <w:tc>
          <w:tcPr>
            <w:tcW w:w="220" w:type="dxa"/>
            <w:vAlign w:val="bottom"/>
            <w:shd w:val="clear" w:color="auto" w:fill="E5FFFF"/>
          </w:tcPr>
          <w:p>
            <w:pPr>
              <w:spacing w:after="0"/>
              <w:rPr>
                <w:sz w:val="17"/>
                <w:szCs w:val="17"/>
                <w:color w:val="auto"/>
              </w:rPr>
            </w:pP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78,393</w:t>
            </w:r>
          </w:p>
        </w:tc>
        <w:tc>
          <w:tcPr>
            <w:tcW w:w="100" w:type="dxa"/>
            <w:vAlign w:val="bottom"/>
            <w:shd w:val="clear" w:color="auto" w:fill="E5FFFF"/>
          </w:tcPr>
          <w:p>
            <w:pPr>
              <w:spacing w:after="0"/>
              <w:rPr>
                <w:sz w:val="17"/>
                <w:szCs w:val="17"/>
                <w:color w:val="auto"/>
              </w:rPr>
            </w:pPr>
          </w:p>
        </w:tc>
      </w:tr>
      <w:tr>
        <w:trPr>
          <w:trHeight w:val="213"/>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Adjustment for:</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5"/>
        </w:trPr>
        <w:tc>
          <w:tcPr>
            <w:tcW w:w="55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Accrued preference unit distributions</w:t>
            </w:r>
          </w:p>
        </w:tc>
        <w:tc>
          <w:tcPr>
            <w:tcW w:w="1500" w:type="dxa"/>
            <w:vAlign w:val="bottom"/>
            <w:gridSpan w:val="2"/>
            <w:shd w:val="clear" w:color="auto" w:fill="E5FFFF"/>
          </w:tcPr>
          <w:p>
            <w:pPr>
              <w:jc w:val="right"/>
              <w:ind w:right="180"/>
              <w:spacing w:after="0"/>
              <w:rPr>
                <w:sz w:val="20"/>
                <w:szCs w:val="20"/>
                <w:color w:val="auto"/>
              </w:rPr>
            </w:pPr>
            <w:r>
              <w:rPr>
                <w:rFonts w:ascii="Times New Roman" w:cs="Times New Roman" w:eastAsia="Times New Roman" w:hAnsi="Times New Roman"/>
                <w:sz w:val="16"/>
                <w:szCs w:val="16"/>
                <w:color w:val="auto"/>
              </w:rPr>
              <w:t>(7,329)</w:t>
            </w:r>
          </w:p>
        </w:tc>
        <w:tc>
          <w:tcPr>
            <w:tcW w:w="144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6"/>
                <w:szCs w:val="16"/>
                <w:color w:val="auto"/>
              </w:rPr>
              <w:t>(6,491)</w:t>
            </w:r>
          </w:p>
        </w:tc>
        <w:tc>
          <w:tcPr>
            <w:tcW w:w="144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6"/>
                <w:szCs w:val="16"/>
                <w:color w:val="auto"/>
              </w:rPr>
              <w:t>(22,493)</w:t>
            </w:r>
          </w:p>
        </w:tc>
        <w:tc>
          <w:tcPr>
            <w:tcW w:w="134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(20,299)</w:t>
            </w:r>
          </w:p>
        </w:tc>
      </w:tr>
    </w:tbl>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7"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27"/>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Differences on repurchase of preference units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135</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22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(220)</w:t>
            </w:r>
          </w:p>
        </w:tc>
      </w:tr>
      <w:tr>
        <w:trPr>
          <w:trHeight w:val="199"/>
        </w:trPr>
        <w:tc>
          <w:tcPr>
            <w:tcW w:w="552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Partnership’s profit used in EPU calculation</w:t>
            </w: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19,293</w:t>
            </w:r>
          </w:p>
        </w:tc>
        <w:tc>
          <w:tcPr>
            <w:tcW w:w="240" w:type="dxa"/>
            <w:vAlign w:val="bottom"/>
            <w:tcBorders>
              <w:top w:val="single" w:sz="8" w:color="E5FFFF"/>
            </w:tcBorders>
            <w:shd w:val="clear" w:color="auto" w:fill="E5FFFF"/>
          </w:tcPr>
          <w:p>
            <w:pPr>
              <w:spacing w:after="0"/>
              <w:rPr>
                <w:sz w:val="17"/>
                <w:szCs w:val="17"/>
                <w:color w:val="auto"/>
              </w:rPr>
            </w:pPr>
          </w:p>
        </w:tc>
        <w:tc>
          <w:tcPr>
            <w:tcW w:w="12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36,156</w:t>
            </w:r>
          </w:p>
        </w:tc>
        <w:tc>
          <w:tcPr>
            <w:tcW w:w="220" w:type="dxa"/>
            <w:vAlign w:val="bottom"/>
            <w:tcBorders>
              <w:top w:val="single" w:sz="8" w:color="E5FFFF"/>
            </w:tcBorders>
            <w:shd w:val="clear" w:color="auto" w:fill="E5FFFF"/>
          </w:tcPr>
          <w:p>
            <w:pPr>
              <w:spacing w:after="0"/>
              <w:rPr>
                <w:sz w:val="17"/>
                <w:szCs w:val="17"/>
                <w:color w:val="auto"/>
              </w:rPr>
            </w:pPr>
          </w:p>
        </w:tc>
        <w:tc>
          <w:tcPr>
            <w:tcW w:w="12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54,152</w:t>
            </w:r>
          </w:p>
        </w:tc>
        <w:tc>
          <w:tcPr>
            <w:tcW w:w="22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57,874</w:t>
            </w:r>
          </w:p>
        </w:tc>
        <w:tc>
          <w:tcPr>
            <w:tcW w:w="100" w:type="dxa"/>
            <w:vAlign w:val="bottom"/>
            <w:tcBorders>
              <w:top w:val="single" w:sz="8" w:color="E5FFFF"/>
            </w:tcBorders>
            <w:shd w:val="clear" w:color="auto" w:fill="E5FFFF"/>
          </w:tcPr>
          <w:p>
            <w:pPr>
              <w:spacing w:after="0"/>
              <w:rPr>
                <w:sz w:val="17"/>
                <w:szCs w:val="17"/>
                <w:color w:val="auto"/>
              </w:rPr>
            </w:pPr>
          </w:p>
        </w:tc>
      </w:tr>
      <w:tr>
        <w:trPr>
          <w:trHeight w:val="196"/>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Non-cash gain on derivatives</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(1,787)</w:t>
            </w: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(3,297)</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(7,356)</w:t>
            </w: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(12,579)</w:t>
            </w:r>
          </w:p>
        </w:tc>
        <w:tc>
          <w:tcPr>
            <w:tcW w:w="100" w:type="dxa"/>
            <w:vAlign w:val="bottom"/>
          </w:tcPr>
          <w:p>
            <w:pPr>
              <w:spacing w:after="0"/>
              <w:rPr>
                <w:sz w:val="17"/>
                <w:szCs w:val="17"/>
                <w:color w:val="auto"/>
              </w:rPr>
            </w:pPr>
          </w:p>
        </w:tc>
      </w:tr>
      <w:tr>
        <w:trPr>
          <w:trHeight w:val="203"/>
        </w:trPr>
        <w:tc>
          <w:tcPr>
            <w:tcW w:w="55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Write-off of unamortized loan fees</w:t>
            </w:r>
          </w:p>
        </w:tc>
        <w:tc>
          <w:tcPr>
            <w:tcW w:w="1500" w:type="dxa"/>
            <w:vAlign w:val="bottom"/>
            <w:gridSpan w:val="2"/>
            <w:shd w:val="clear" w:color="auto" w:fill="E5FF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6"/>
                <w:szCs w:val="16"/>
                <w:color w:val="auto"/>
              </w:rPr>
              <w:t>294</w:t>
            </w:r>
          </w:p>
        </w:tc>
        <w:tc>
          <w:tcPr>
            <w:tcW w:w="144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294</w:t>
            </w:r>
          </w:p>
        </w:tc>
      </w:tr>
      <w:tr>
        <w:trPr>
          <w:trHeight w:val="203"/>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Impairment loss on vessels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28,027</w:t>
            </w:r>
          </w:p>
        </w:tc>
      </w:tr>
      <w:tr>
        <w:trPr>
          <w:trHeight w:val="203"/>
        </w:trPr>
        <w:tc>
          <w:tcPr>
            <w:tcW w:w="55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Loss on disposal of vessel</w:t>
            </w:r>
          </w:p>
        </w:tc>
        <w:tc>
          <w:tcPr>
            <w:tcW w:w="1500" w:type="dxa"/>
            <w:vAlign w:val="bottom"/>
            <w:gridSpan w:val="2"/>
            <w:shd w:val="clear" w:color="auto" w:fill="E5FF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6"/>
                <w:szCs w:val="16"/>
                <w:color w:val="auto"/>
              </w:rPr>
              <w:t>166</w:t>
            </w:r>
          </w:p>
        </w:tc>
        <w:tc>
          <w:tcPr>
            <w:tcW w:w="144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166</w:t>
            </w:r>
          </w:p>
        </w:tc>
      </w:tr>
      <w:tr>
        <w:trPr>
          <w:trHeight w:val="213"/>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Restructuring costs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168</w:t>
            </w:r>
          </w:p>
        </w:tc>
      </w:tr>
      <w:tr>
        <w:trPr>
          <w:trHeight w:val="199"/>
        </w:trPr>
        <w:tc>
          <w:tcPr>
            <w:tcW w:w="552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Adjusted Partnership’s profit used in EPU calculation attributable to:</w:t>
            </w: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17,506</w:t>
            </w:r>
          </w:p>
        </w:tc>
        <w:tc>
          <w:tcPr>
            <w:tcW w:w="240" w:type="dxa"/>
            <w:vAlign w:val="bottom"/>
            <w:tcBorders>
              <w:top w:val="single" w:sz="8" w:color="E5FFFF"/>
            </w:tcBorders>
            <w:shd w:val="clear" w:color="auto" w:fill="E5FFFF"/>
          </w:tcPr>
          <w:p>
            <w:pPr>
              <w:spacing w:after="0"/>
              <w:rPr>
                <w:sz w:val="17"/>
                <w:szCs w:val="17"/>
                <w:color w:val="auto"/>
              </w:rPr>
            </w:pPr>
          </w:p>
        </w:tc>
        <w:tc>
          <w:tcPr>
            <w:tcW w:w="12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33,319</w:t>
            </w:r>
          </w:p>
        </w:tc>
        <w:tc>
          <w:tcPr>
            <w:tcW w:w="220" w:type="dxa"/>
            <w:vAlign w:val="bottom"/>
            <w:tcBorders>
              <w:top w:val="single" w:sz="8" w:color="E5FFFF"/>
            </w:tcBorders>
            <w:shd w:val="clear" w:color="auto" w:fill="E5FFFF"/>
          </w:tcPr>
          <w:p>
            <w:pPr>
              <w:spacing w:after="0"/>
              <w:rPr>
                <w:sz w:val="17"/>
                <w:szCs w:val="17"/>
                <w:color w:val="auto"/>
              </w:rPr>
            </w:pPr>
          </w:p>
        </w:tc>
        <w:tc>
          <w:tcPr>
            <w:tcW w:w="12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46,796</w:t>
            </w:r>
          </w:p>
        </w:tc>
        <w:tc>
          <w:tcPr>
            <w:tcW w:w="22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73,950</w:t>
            </w:r>
          </w:p>
        </w:tc>
        <w:tc>
          <w:tcPr>
            <w:tcW w:w="100" w:type="dxa"/>
            <w:vAlign w:val="bottom"/>
            <w:tcBorders>
              <w:top w:val="single" w:sz="8" w:color="E5FFFF"/>
            </w:tcBorders>
            <w:shd w:val="clear" w:color="auto" w:fill="E5FFFF"/>
          </w:tcPr>
          <w:p>
            <w:pPr>
              <w:spacing w:after="0"/>
              <w:rPr>
                <w:sz w:val="17"/>
                <w:szCs w:val="17"/>
                <w:color w:val="auto"/>
              </w:rPr>
            </w:pPr>
          </w:p>
        </w:tc>
      </w:tr>
      <w:tr>
        <w:trPr>
          <w:trHeight w:val="196"/>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Common units</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17,145</w:t>
            </w: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32,636</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45,820</w:t>
            </w: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72,429</w:t>
            </w:r>
          </w:p>
        </w:tc>
        <w:tc>
          <w:tcPr>
            <w:tcW w:w="100" w:type="dxa"/>
            <w:vAlign w:val="bottom"/>
          </w:tcPr>
          <w:p>
            <w:pPr>
              <w:spacing w:after="0"/>
              <w:rPr>
                <w:sz w:val="17"/>
                <w:szCs w:val="17"/>
                <w:color w:val="auto"/>
              </w:rPr>
            </w:pPr>
          </w:p>
        </w:tc>
      </w:tr>
      <w:tr>
        <w:trPr>
          <w:trHeight w:val="203"/>
        </w:trPr>
        <w:tc>
          <w:tcPr>
            <w:tcW w:w="55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General partner units</w:t>
            </w:r>
          </w:p>
        </w:tc>
        <w:tc>
          <w:tcPr>
            <w:tcW w:w="1500" w:type="dxa"/>
            <w:vAlign w:val="bottom"/>
            <w:gridSpan w:val="2"/>
            <w:shd w:val="clear" w:color="auto" w:fill="E5FFFF"/>
          </w:tcPr>
          <w:p>
            <w:pPr>
              <w:jc w:val="right"/>
              <w:ind w:right="240"/>
              <w:spacing w:after="0"/>
              <w:rPr>
                <w:sz w:val="20"/>
                <w:szCs w:val="20"/>
                <w:color w:val="auto"/>
              </w:rPr>
            </w:pPr>
            <w:r>
              <w:rPr>
                <w:rFonts w:ascii="Times New Roman" w:cs="Times New Roman" w:eastAsia="Times New Roman" w:hAnsi="Times New Roman"/>
                <w:sz w:val="16"/>
                <w:szCs w:val="16"/>
                <w:color w:val="auto"/>
              </w:rPr>
              <w:t>361</w:t>
            </w:r>
          </w:p>
        </w:tc>
        <w:tc>
          <w:tcPr>
            <w:tcW w:w="144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6"/>
                <w:szCs w:val="16"/>
                <w:color w:val="auto"/>
              </w:rPr>
              <w:t>683</w:t>
            </w:r>
          </w:p>
        </w:tc>
        <w:tc>
          <w:tcPr>
            <w:tcW w:w="12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976</w:t>
            </w:r>
          </w:p>
        </w:tc>
        <w:tc>
          <w:tcPr>
            <w:tcW w:w="22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1,521</w:t>
            </w:r>
          </w:p>
        </w:tc>
      </w:tr>
      <w:tr>
        <w:trPr>
          <w:trHeight w:val="214"/>
        </w:trPr>
        <w:tc>
          <w:tcPr>
            <w:tcW w:w="5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Weighted average units outstanding (basic)</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4"/>
        </w:trPr>
        <w:tc>
          <w:tcPr>
            <w:tcW w:w="55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Common units</w:t>
            </w:r>
          </w:p>
        </w:tc>
        <w:tc>
          <w:tcPr>
            <w:tcW w:w="1500" w:type="dxa"/>
            <w:vAlign w:val="bottom"/>
            <w:gridSpan w:val="2"/>
            <w:shd w:val="clear" w:color="auto" w:fill="E5FFFF"/>
          </w:tcPr>
          <w:p>
            <w:pPr>
              <w:jc w:val="right"/>
              <w:ind w:right="240"/>
              <w:spacing w:after="0"/>
              <w:rPr>
                <w:sz w:val="20"/>
                <w:szCs w:val="20"/>
                <w:color w:val="auto"/>
              </w:rPr>
            </w:pPr>
            <w:r>
              <w:rPr>
                <w:rFonts w:ascii="Times New Roman" w:cs="Times New Roman" w:eastAsia="Times New Roman" w:hAnsi="Times New Roman"/>
                <w:sz w:val="16"/>
                <w:szCs w:val="16"/>
                <w:color w:val="auto"/>
              </w:rPr>
              <w:t>51,132,690</w:t>
            </w:r>
          </w:p>
        </w:tc>
        <w:tc>
          <w:tcPr>
            <w:tcW w:w="144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6"/>
                <w:szCs w:val="16"/>
                <w:color w:val="auto"/>
              </w:rPr>
              <w:t>51,683,354</w:t>
            </w:r>
          </w:p>
        </w:tc>
        <w:tc>
          <w:tcPr>
            <w:tcW w:w="12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48,950,508</w:t>
            </w:r>
          </w:p>
        </w:tc>
        <w:tc>
          <w:tcPr>
            <w:tcW w:w="22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51,332,736</w:t>
            </w:r>
          </w:p>
        </w:tc>
      </w:tr>
      <w:tr>
        <w:trPr>
          <w:trHeight w:val="203"/>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General partner units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1,077,494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1,080,263</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1,040,467</w:t>
            </w:r>
          </w:p>
        </w:tc>
        <w:tc>
          <w:tcPr>
            <w:tcW w:w="22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1,078,437</w:t>
            </w:r>
          </w:p>
        </w:tc>
      </w:tr>
      <w:tr>
        <w:trPr>
          <w:trHeight w:val="216"/>
        </w:trPr>
        <w:tc>
          <w:tcPr>
            <w:tcW w:w="55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Adjusted EPU (basic)</w:t>
            </w:r>
          </w:p>
        </w:tc>
        <w:tc>
          <w:tcPr>
            <w:tcW w:w="126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2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03"/>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Common units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0.34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0.63</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0.94</w:t>
            </w:r>
          </w:p>
        </w:tc>
        <w:tc>
          <w:tcPr>
            <w:tcW w:w="22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1.41</w:t>
            </w:r>
          </w:p>
        </w:tc>
      </w:tr>
      <w:tr>
        <w:trPr>
          <w:trHeight w:val="203"/>
        </w:trPr>
        <w:tc>
          <w:tcPr>
            <w:tcW w:w="55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General partner units</w:t>
            </w:r>
          </w:p>
        </w:tc>
        <w:tc>
          <w:tcPr>
            <w:tcW w:w="1500" w:type="dxa"/>
            <w:vAlign w:val="bottom"/>
            <w:gridSpan w:val="2"/>
            <w:shd w:val="clear" w:color="auto" w:fill="E5FFFF"/>
          </w:tcPr>
          <w:p>
            <w:pPr>
              <w:jc w:val="right"/>
              <w:ind w:right="240"/>
              <w:spacing w:after="0"/>
              <w:rPr>
                <w:sz w:val="20"/>
                <w:szCs w:val="20"/>
                <w:color w:val="auto"/>
              </w:rPr>
            </w:pPr>
            <w:r>
              <w:rPr>
                <w:rFonts w:ascii="Times New Roman" w:cs="Times New Roman" w:eastAsia="Times New Roman" w:hAnsi="Times New Roman"/>
                <w:sz w:val="16"/>
                <w:szCs w:val="16"/>
                <w:color w:val="auto"/>
              </w:rPr>
              <w:t>0.34</w:t>
            </w:r>
          </w:p>
        </w:tc>
        <w:tc>
          <w:tcPr>
            <w:tcW w:w="144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6"/>
                <w:szCs w:val="16"/>
                <w:color w:val="auto"/>
              </w:rPr>
              <w:t>0.63</w:t>
            </w:r>
          </w:p>
        </w:tc>
        <w:tc>
          <w:tcPr>
            <w:tcW w:w="12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0.94</w:t>
            </w:r>
          </w:p>
        </w:tc>
        <w:tc>
          <w:tcPr>
            <w:tcW w:w="22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1.41</w:t>
            </w:r>
          </w:p>
        </w:tc>
      </w:tr>
    </w:tbl>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6"/>
          <w:szCs w:val="16"/>
          <w:b w:val="1"/>
          <w:bCs w:val="1"/>
          <w:color w:val="auto"/>
        </w:rPr>
        <w:t>Exhibit 99.2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Financial Report for the Three and Nine Months Ended September 30, 2022</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Management’s Discussion and Analysis of Financial Condition and Results of Operation</w:t>
      </w:r>
    </w:p>
    <w:p>
      <w:pPr>
        <w:spacing w:after="0" w:line="237" w:lineRule="exact"/>
        <w:rPr>
          <w:sz w:val="20"/>
          <w:szCs w:val="20"/>
          <w:color w:val="auto"/>
        </w:rPr>
      </w:pPr>
    </w:p>
    <w:p>
      <w:pPr>
        <w:ind w:firstLine="324"/>
        <w:spacing w:after="0" w:line="269" w:lineRule="auto"/>
        <w:rPr>
          <w:sz w:val="20"/>
          <w:szCs w:val="20"/>
          <w:color w:val="auto"/>
        </w:rPr>
      </w:pPr>
      <w:r>
        <w:rPr>
          <w:rFonts w:ascii="Times New Roman" w:cs="Times New Roman" w:eastAsia="Times New Roman" w:hAnsi="Times New Roman"/>
          <w:sz w:val="16"/>
          <w:szCs w:val="16"/>
          <w:color w:val="auto"/>
        </w:rPr>
        <w:t>The following is a discussion of our financial condition and results of operations for the three-and nine-month periods ended September 30, 2021 and September 30, 2022. References to “GasLog Partners”, “we”, “our”, “us” and “the Partnership” or similar terms refer to GasLog Partners LP and its subsidiaries. You should read this section in conjunction with our unaudited condensed consolidated financial statements and related notes included elsewhere in this report. For additional information relating to our management’s discussion and analysis of financial condition and results of operations, please see our Annual Report on Form 20-F filed with the United States Securities Exchange Commission (the “SEC”) on March 1, 2022. This discussion includes forward-looking statements which, although based on assumptions that we consider reasonable, are subject to risks and uncertainties which could cause actual events or conditions to differ materially from those currently anticipated and expressed or implied by such forward-looking statements. See also discussion in the section entitled “Forward-Looking Statements” below.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237" w:lineRule="exact"/>
        <w:rPr>
          <w:sz w:val="20"/>
          <w:szCs w:val="20"/>
          <w:color w:val="auto"/>
        </w:rPr>
      </w:pPr>
    </w:p>
    <w:p>
      <w:pPr>
        <w:ind w:right="80" w:firstLine="324"/>
        <w:spacing w:after="0" w:line="269" w:lineRule="auto"/>
        <w:rPr>
          <w:sz w:val="20"/>
          <w:szCs w:val="20"/>
          <w:color w:val="auto"/>
        </w:rPr>
      </w:pPr>
      <w:r>
        <w:rPr>
          <w:rFonts w:ascii="Times New Roman" w:cs="Times New Roman" w:eastAsia="Times New Roman" w:hAnsi="Times New Roman"/>
          <w:sz w:val="16"/>
          <w:szCs w:val="16"/>
          <w:color w:val="auto"/>
        </w:rPr>
        <w:t>All statements in this report that are not statements of historical fact are “forward-looking statements” within the meaning of the U.S. Private Securities Litigation Reform Act of 1995. Forward-looking statements include statements that address activities, events or developments that the Partnership expects, projects, believes or anticipates will or may occur in the future, particularly in relation to our operations, cash flows, financial position, liquidity and cash available for dividends or distributions and the impact of changes to our cash distributions on the Partnership’s business and growth prospects, plans, strategies, business prospects and changes and trends in our business and the markets in which we operate. We caution that these forward-looking statements represent our estimates and assumptions only as of the date of this report,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Factors that might cause future results and outcomes to differ include, but are not limited to, the following:</w:t>
      </w:r>
    </w:p>
    <w:p>
      <w:pPr>
        <w:spacing w:after="0" w:line="235" w:lineRule="exact"/>
        <w:rPr>
          <w:sz w:val="20"/>
          <w:szCs w:val="20"/>
          <w:color w:val="auto"/>
        </w:rPr>
      </w:pPr>
    </w:p>
    <w:p>
      <w:pPr>
        <w:ind w:left="660" w:right="80" w:hanging="328"/>
        <w:spacing w:after="0" w:line="269" w:lineRule="auto"/>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liquefied natural gas (“LNG”) shipping market conditions and trends, including spot and multi-year charter rates, ship values, factors affecting supply and demand of LNG and LNG shipping, including geopolitical events, technological advancements and opportunities for the profitable operations of LNG carriers;</w:t>
      </w:r>
    </w:p>
    <w:p>
      <w:pPr>
        <w:ind w:left="660" w:hanging="328"/>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charter hire rates, vessel utilization and vessel values;</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secure new multi-year charters at economically attractive rates;</w:t>
      </w:r>
    </w:p>
    <w:p>
      <w:pPr>
        <w:spacing w:after="0" w:line="18" w:lineRule="exact"/>
        <w:rPr>
          <w:rFonts w:ascii="Times New Roman" w:cs="Times New Roman" w:eastAsia="Times New Roman" w:hAnsi="Times New Roman"/>
          <w:sz w:val="16"/>
          <w:szCs w:val="16"/>
          <w:color w:val="auto"/>
        </w:rPr>
      </w:pPr>
    </w:p>
    <w:p>
      <w:pPr>
        <w:jc w:val="both"/>
        <w:ind w:left="660" w:right="180" w:hanging="328"/>
        <w:spacing w:after="0" w:line="264" w:lineRule="auto"/>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maximize the use of our vessels, including the re-deployment or disposition of vessels which are not operating under multi-year charters, including the risk that certain of our vessels may no longer have the latest technology at such time which may impact our ability to secure employment for such vessels as well as the rate at which we can charter such vessels;</w:t>
      </w:r>
    </w:p>
    <w:p>
      <w:pPr>
        <w:ind w:left="660" w:hanging="328"/>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our operating expenses, including crew costs, maintenance, dry-docking and insurance costs and bunker prices;</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number of off-hire days and dry-docking requirements, including our ability to complete scheduled dry-dockings on time and within budget;</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planned capital expenditures and availability of capital resources to fund capital expenditures;</w:t>
      </w:r>
    </w:p>
    <w:p>
      <w:pPr>
        <w:spacing w:after="0" w:line="18" w:lineRule="exact"/>
        <w:rPr>
          <w:rFonts w:ascii="Times New Roman" w:cs="Times New Roman" w:eastAsia="Times New Roman" w:hAnsi="Times New Roman"/>
          <w:sz w:val="16"/>
          <w:szCs w:val="16"/>
          <w:color w:val="auto"/>
        </w:rPr>
      </w:pPr>
    </w:p>
    <w:p>
      <w:pPr>
        <w:ind w:left="660" w:right="40" w:hanging="328"/>
        <w:spacing w:after="0" w:line="264" w:lineRule="auto"/>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business disruptions resulting from measures taken to reduce the spread of COVID-19, including possible delays due to the quarantine of vessels and crew, as well as government-imposed shutdowns;</w:t>
      </w:r>
    </w:p>
    <w:p>
      <w:pPr>
        <w:ind w:left="660" w:hanging="328"/>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prices for crude oil, petroleum products and natural gas, including LNG;</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exchange rates, especially the U.S. dollar and Euro;</w:t>
      </w:r>
    </w:p>
    <w:p>
      <w:pPr>
        <w:spacing w:after="0" w:line="18" w:lineRule="exact"/>
        <w:rPr>
          <w:rFonts w:ascii="Times New Roman" w:cs="Times New Roman" w:eastAsia="Times New Roman" w:hAnsi="Times New Roman"/>
          <w:sz w:val="16"/>
          <w:szCs w:val="16"/>
          <w:color w:val="auto"/>
        </w:rPr>
      </w:pPr>
    </w:p>
    <w:p>
      <w:pPr>
        <w:ind w:left="660" w:right="380" w:hanging="328"/>
        <w:spacing w:after="0" w:line="264" w:lineRule="auto"/>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expand our portfolio by acquiring vessels through our drop-down pipeline with GasLog Ltd. (“GasLog”) or by acquiring other assets from third parties;</w:t>
      </w:r>
    </w:p>
    <w:p>
      <w:pPr>
        <w:ind w:left="660" w:right="320" w:hanging="328"/>
        <w:spacing w:after="0" w:line="264" w:lineRule="auto"/>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leverage GasLog’s relationships and reputation in the shipping industry and the ability of GasLog to maintain long-term relationships with major energy companies and major LNG producers, marketers and consumers to obtain new charter contracts;</w:t>
      </w:r>
    </w:p>
    <w:p>
      <w:pPr>
        <w:ind w:left="660" w:right="160" w:hanging="328"/>
        <w:spacing w:after="0" w:line="264" w:lineRule="auto"/>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GasLog’s relationships with its employees and ship crews, its ability to retain key employees and provide services to us, and the availability of skilled labor, ship crews and management;</w:t>
      </w:r>
    </w:p>
    <w:p>
      <w:pPr>
        <w:ind w:left="660" w:hanging="328"/>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ownership of our charterers;</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customers’ performance of their obligations under our time charters and other contracts;</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future operating performance, financial condition, liquidity and cash available for distributions;</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distribution policy and our ability to make cash distributions on our units or the impact of changes to cash distributions on our financial position;</w:t>
      </w:r>
    </w:p>
    <w:p>
      <w:pPr>
        <w:spacing w:after="0" w:line="18" w:lineRule="exact"/>
        <w:rPr>
          <w:rFonts w:ascii="Times New Roman" w:cs="Times New Roman" w:eastAsia="Times New Roman" w:hAnsi="Times New Roman"/>
          <w:sz w:val="16"/>
          <w:szCs w:val="16"/>
          <w:color w:val="auto"/>
        </w:rPr>
      </w:pPr>
    </w:p>
    <w:p>
      <w:pPr>
        <w:ind w:left="660" w:right="280" w:hanging="328"/>
        <w:spacing w:after="0" w:line="264" w:lineRule="auto"/>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obtain debt and equity financing on acceptable terms to fund capital expenditures, acquisitions and other corporate activities, funding by banks of their financial commitments and our ability to meet our restrictive covenants and other obligations under our credit facilities;</w:t>
      </w:r>
    </w:p>
    <w:p>
      <w:pPr>
        <w:ind w:left="660" w:hanging="328"/>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future, pending or recent acquisitions of ships or other assets, business strategy, areas of possible expansion and expected capital spending;</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inherent in ship operation, including the discharge of pollutants;</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malfunction or disruption of information technology systems and networks that our operations rely on or any impact of a possible cybersecurity event;</w:t>
      </w:r>
    </w:p>
    <w:p>
      <w:pPr>
        <w:spacing w:after="0" w:line="18" w:lineRule="exact"/>
        <w:rPr>
          <w:rFonts w:ascii="Times New Roman" w:cs="Times New Roman" w:eastAsia="Times New Roman" w:hAnsi="Times New Roman"/>
          <w:sz w:val="16"/>
          <w:szCs w:val="16"/>
          <w:color w:val="auto"/>
        </w:rPr>
      </w:pPr>
    </w:p>
    <w:p>
      <w:pPr>
        <w:ind w:left="660" w:right="20" w:hanging="328"/>
        <w:spacing w:after="0" w:line="288" w:lineRule="auto"/>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expected cost of and our ability to comply with environmental and regulatory requirements related to climate change, including with respect to emissions of air pollutants and greenhouse gases, as well as future changes in such requirements or other actions taken by</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5" w:name="page16"/>
    <w:bookmarkEnd w:id="15"/>
    <w:p>
      <w:pPr>
        <w:ind w:left="660"/>
        <w:spacing w:after="0"/>
        <w:rPr>
          <w:sz w:val="20"/>
          <w:szCs w:val="20"/>
          <w:color w:val="auto"/>
        </w:rPr>
      </w:pPr>
      <w:r>
        <w:rPr>
          <w:rFonts w:ascii="Times New Roman" w:cs="Times New Roman" w:eastAsia="Times New Roman" w:hAnsi="Times New Roman"/>
          <w:sz w:val="16"/>
          <w:szCs w:val="16"/>
          <w:color w:val="auto"/>
        </w:rPr>
        <w:t>regulatory authorities, governmental organizations, classification societies and standards imposed by our charterers applicable to our business;</w:t>
      </w:r>
    </w:p>
    <w:p>
      <w:pPr>
        <w:spacing w:after="0" w:line="26"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disruption of shipping routes due to accidents, diseases, pandemics, political events, piracy or acts by terrorists;</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liability from future litigation; and</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other risks and uncertainties described in the Partnership’s Annual Report on Form 20-F filed with the SEC on March 1, 2022, available </w:t>
      </w:r>
      <w:r>
        <w:rPr>
          <w:rFonts w:ascii="Times New Roman" w:cs="Times New Roman" w:eastAsia="Times New Roman" w:hAnsi="Times New Roman"/>
          <w:sz w:val="16"/>
          <w:szCs w:val="16"/>
          <w:u w:val="single" w:color="auto"/>
          <w:color w:val="0000FF"/>
        </w:rPr>
        <w:t>at http://www.sec.</w:t>
      </w:r>
      <w:r>
        <w:rPr>
          <w:rFonts w:ascii="Times New Roman" w:cs="Times New Roman" w:eastAsia="Times New Roman" w:hAnsi="Times New Roman"/>
          <w:sz w:val="16"/>
          <w:szCs w:val="16"/>
          <w:color w:val="auto"/>
        </w:rPr>
        <w:t>gov.</w:t>
      </w:r>
    </w:p>
    <w:p>
      <w:pPr>
        <w:spacing w:after="0" w:line="227" w:lineRule="exact"/>
        <w:rPr>
          <w:sz w:val="20"/>
          <w:szCs w:val="20"/>
          <w:color w:val="auto"/>
        </w:rPr>
      </w:pPr>
    </w:p>
    <w:p>
      <w:pPr>
        <w:ind w:right="120" w:firstLine="324"/>
        <w:spacing w:after="0" w:line="298" w:lineRule="auto"/>
        <w:rPr>
          <w:sz w:val="20"/>
          <w:szCs w:val="20"/>
          <w:color w:val="auto"/>
        </w:rPr>
      </w:pPr>
      <w:r>
        <w:rPr>
          <w:rFonts w:ascii="Times New Roman" w:cs="Times New Roman" w:eastAsia="Times New Roman" w:hAnsi="Times New Roman"/>
          <w:sz w:val="16"/>
          <w:szCs w:val="16"/>
          <w:color w:val="auto"/>
        </w:rPr>
        <w:t>The declaration and payment of distributions are at all times subject to the discretion of our board of directors and will depend on, amongst other things, the risks and uncertainties described above, restrictions in our credit facilities, the provisions of Marshall Islands law and such other factors as our board of directors may deem relevant.</w:t>
      </w:r>
    </w:p>
    <w:p>
      <w:pPr>
        <w:spacing w:after="0" w:line="164" w:lineRule="exact"/>
        <w:rPr>
          <w:sz w:val="20"/>
          <w:szCs w:val="20"/>
          <w:color w:val="auto"/>
        </w:rPr>
      </w:pPr>
    </w:p>
    <w:p>
      <w:pPr>
        <w:ind w:right="80" w:firstLine="324"/>
        <w:spacing w:after="0" w:line="275" w:lineRule="auto"/>
        <w:rPr>
          <w:sz w:val="20"/>
          <w:szCs w:val="20"/>
          <w:color w:val="auto"/>
        </w:rPr>
      </w:pPr>
      <w:r>
        <w:rPr>
          <w:rFonts w:ascii="Times New Roman" w:cs="Times New Roman" w:eastAsia="Times New Roman" w:hAnsi="Times New Roman"/>
          <w:sz w:val="16"/>
          <w:szCs w:val="16"/>
          <w:color w:val="auto"/>
        </w:rPr>
        <w:t>We undertake no obligation to update or revise any forward-looking statements contained in this report,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Cash Distribution</w:t>
      </w:r>
    </w:p>
    <w:p>
      <w:pPr>
        <w:spacing w:after="0" w:line="237" w:lineRule="exact"/>
        <w:rPr>
          <w:sz w:val="20"/>
          <w:szCs w:val="20"/>
          <w:color w:val="auto"/>
        </w:rPr>
      </w:pPr>
    </w:p>
    <w:p>
      <w:pPr>
        <w:jc w:val="both"/>
        <w:ind w:right="280" w:firstLine="324"/>
        <w:spacing w:after="0" w:line="281" w:lineRule="auto"/>
        <w:rPr>
          <w:sz w:val="20"/>
          <w:szCs w:val="20"/>
          <w:color w:val="auto"/>
        </w:rPr>
      </w:pPr>
      <w:r>
        <w:rPr>
          <w:rFonts w:ascii="Times New Roman" w:cs="Times New Roman" w:eastAsia="Times New Roman" w:hAnsi="Times New Roman"/>
          <w:sz w:val="16"/>
          <w:szCs w:val="16"/>
          <w:color w:val="auto"/>
        </w:rPr>
        <w:t>On October 26, 2022, the board of directors of GasLog Partners approved and declared a quarterly cash distribution of $0.01 per common unit for the quarter ended September 30, 2022. The cash distribution is payable on November 10, 2022 to all unitholders of record as of November 7, 2022. The aggregate amount of the declared distribution will be $0.5 million based on the number of units issued and outstanding as of September 30, 2022.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237" w:lineRule="exact"/>
        <w:rPr>
          <w:sz w:val="20"/>
          <w:szCs w:val="20"/>
          <w:color w:val="auto"/>
        </w:rPr>
      </w:pPr>
    </w:p>
    <w:p>
      <w:pPr>
        <w:ind w:right="200" w:firstLine="324"/>
        <w:spacing w:after="0" w:line="281" w:lineRule="auto"/>
        <w:rPr>
          <w:sz w:val="20"/>
          <w:szCs w:val="20"/>
          <w:color w:val="auto"/>
        </w:rPr>
      </w:pPr>
      <w:r>
        <w:rPr>
          <w:rFonts w:ascii="Times New Roman" w:cs="Times New Roman" w:eastAsia="Times New Roman" w:hAnsi="Times New Roman"/>
          <w:sz w:val="16"/>
          <w:szCs w:val="16"/>
          <w:color w:val="auto"/>
        </w:rPr>
        <w:t>GasLog Partners is an owner and operator of LNG carriers. Since our initial public offering (“IPO”) in May 2014, we have grown our fleet from three vessels at the time of our IPO to 14 today (including one vessel sold and leased back under a bareboat charter). Our focus is on capital allocation to debt repayment, prioritizing balance sheet strength for 2022, in order to lower our cash break-evens, reduce our cost of capital and further enhance the Partnership’s competitive positioning.</w:t>
      </w:r>
    </w:p>
    <w:p>
      <w:pPr>
        <w:spacing w:after="0" w:line="177" w:lineRule="exact"/>
        <w:rPr>
          <w:sz w:val="20"/>
          <w:szCs w:val="20"/>
          <w:color w:val="auto"/>
        </w:rPr>
      </w:pPr>
    </w:p>
    <w:p>
      <w:pPr>
        <w:ind w:right="80" w:firstLine="324"/>
        <w:spacing w:after="0" w:line="269" w:lineRule="auto"/>
        <w:rPr>
          <w:sz w:val="20"/>
          <w:szCs w:val="20"/>
          <w:color w:val="auto"/>
        </w:rPr>
      </w:pPr>
      <w:r>
        <w:rPr>
          <w:rFonts w:ascii="Times New Roman" w:cs="Times New Roman" w:eastAsia="Times New Roman" w:hAnsi="Times New Roman"/>
          <w:sz w:val="16"/>
          <w:szCs w:val="16"/>
          <w:color w:val="auto"/>
        </w:rPr>
        <w:t xml:space="preserve">As of September 30, 2022, our owned and bareboat fleet consisted of ten vessels with tri-fuel diesel electric (“TFDE”) propulsion and four steam turbine propulsion (“Steam”) vessels, following the sale of the Steam vessel </w:t>
      </w:r>
      <w:r>
        <w:rPr>
          <w:rFonts w:ascii="Times New Roman" w:cs="Times New Roman" w:eastAsia="Times New Roman" w:hAnsi="Times New Roman"/>
          <w:sz w:val="16"/>
          <w:szCs w:val="16"/>
          <w:i w:val="1"/>
          <w:iCs w:val="1"/>
          <w:color w:val="auto"/>
        </w:rPr>
        <w:t>Methane Shirley Elisabeth</w:t>
      </w:r>
      <w:r>
        <w:rPr>
          <w:rFonts w:ascii="Times New Roman" w:cs="Times New Roman" w:eastAsia="Times New Roman" w:hAnsi="Times New Roman"/>
          <w:sz w:val="16"/>
          <w:szCs w:val="16"/>
          <w:color w:val="auto"/>
        </w:rPr>
        <w:t xml:space="preserve"> in September 2022. In October 2022, we entered into an agreement to sell and lease-back the </w:t>
      </w:r>
      <w:r>
        <w:rPr>
          <w:rFonts w:ascii="Times New Roman" w:cs="Times New Roman" w:eastAsia="Times New Roman" w:hAnsi="Times New Roman"/>
          <w:sz w:val="16"/>
          <w:szCs w:val="16"/>
          <w:i w:val="1"/>
          <w:iCs w:val="1"/>
          <w:color w:val="auto"/>
        </w:rPr>
        <w:t>Methane Heather Sally</w:t>
      </w:r>
      <w:r>
        <w:rPr>
          <w:rFonts w:ascii="Times New Roman" w:cs="Times New Roman" w:eastAsia="Times New Roman" w:hAnsi="Times New Roman"/>
          <w:sz w:val="16"/>
          <w:szCs w:val="16"/>
          <w:color w:val="auto"/>
        </w:rPr>
        <w:t>, with the transaction expected to be completed in the fourth quarter of 2022. We also have options and other rights under which we may acquire additional LNG carriers from GasLog, as described below. We believe that such options and rights could provide us with built-in growth opportunities, subject to certain conditions described below. We may also acquire vessels or other LNG infrastructure assets from shipyards or other owners. However, we cannot assure you that we will make any acquisition or that, as a consequence, we will successfully grow our distributions per common unit. Among other things, our ability to acquire any additional LNG carriers or other LNG infrastructure assets will be dependent upon our ability to raise additional equity and debt financing.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Fleet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Owned Fleet</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Cargo</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Charterer (for</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Charter</w:t>
            </w: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LNG Carrier</w:t>
            </w:r>
          </w:p>
        </w:tc>
        <w:tc>
          <w:tcPr>
            <w:tcW w:w="120" w:type="dxa"/>
            <w:vAlign w:val="bottom"/>
            <w:vMerge w:val="restart"/>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Capacity</w:t>
            </w:r>
          </w:p>
        </w:tc>
        <w:tc>
          <w:tcPr>
            <w:tcW w:w="16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contracts of more</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Expiration</w:t>
            </w: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720" w:type="dxa"/>
            <w:vAlign w:val="bottom"/>
            <w:tcBorders>
              <w:bottom w:val="single" w:sz="8" w:color="auto"/>
            </w:tcBorders>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Year Built</w:t>
            </w:r>
          </w:p>
        </w:tc>
        <w:tc>
          <w:tcPr>
            <w:tcW w:w="120" w:type="dxa"/>
            <w:vAlign w:val="bottom"/>
          </w:tcPr>
          <w:p>
            <w:pPr>
              <w:spacing w:after="0"/>
              <w:rPr>
                <w:sz w:val="18"/>
                <w:szCs w:val="18"/>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(cbm)</w:t>
            </w:r>
          </w:p>
        </w:tc>
        <w:tc>
          <w:tcPr>
            <w:tcW w:w="120" w:type="dxa"/>
            <w:vAlign w:val="bottom"/>
          </w:tcPr>
          <w:p>
            <w:pPr>
              <w:spacing w:after="0"/>
              <w:rPr>
                <w:sz w:val="18"/>
                <w:szCs w:val="18"/>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than six months)</w:t>
            </w:r>
          </w:p>
        </w:tc>
        <w:tc>
          <w:tcPr>
            <w:tcW w:w="120" w:type="dxa"/>
            <w:vAlign w:val="bottom"/>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Propulsion</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(Firm Period)</w:t>
            </w:r>
          </w:p>
        </w:tc>
        <w:tc>
          <w:tcPr>
            <w:tcW w:w="120" w:type="dxa"/>
            <w:vAlign w:val="bottom"/>
          </w:tcPr>
          <w:p>
            <w:pPr>
              <w:spacing w:after="0"/>
              <w:rPr>
                <w:sz w:val="18"/>
                <w:szCs w:val="18"/>
                <w:color w:val="auto"/>
              </w:rPr>
            </w:pPr>
          </w:p>
        </w:tc>
        <w:tc>
          <w:tcPr>
            <w:tcW w:w="14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Optional Period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260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Methane Jane Elizabeth</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2006</w:t>
            </w:r>
          </w:p>
        </w:tc>
        <w:tc>
          <w:tcPr>
            <w:tcW w:w="1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145,000</w:t>
            </w:r>
          </w:p>
        </w:tc>
        <w:tc>
          <w:tcPr>
            <w:tcW w:w="120" w:type="dxa"/>
            <w:vAlign w:val="bottom"/>
          </w:tcPr>
          <w:p>
            <w:pPr>
              <w:spacing w:after="0"/>
              <w:rPr>
                <w:sz w:val="20"/>
                <w:szCs w:val="20"/>
                <w:color w:val="auto"/>
              </w:rPr>
            </w:pPr>
          </w:p>
        </w:tc>
        <w:tc>
          <w:tcPr>
            <w:tcW w:w="1560" w:type="dxa"/>
            <w:vAlign w:val="bottom"/>
          </w:tcPr>
          <w:p>
            <w:pPr>
              <w:jc w:val="center"/>
              <w:spacing w:after="0" w:line="240" w:lineRule="exact"/>
              <w:rPr>
                <w:sz w:val="20"/>
                <w:szCs w:val="20"/>
                <w:color w:val="auto"/>
              </w:rPr>
            </w:pPr>
            <w:r>
              <w:rPr>
                <w:rFonts w:ascii="Times New Roman" w:cs="Times New Roman" w:eastAsia="Times New Roman" w:hAnsi="Times New Roman"/>
                <w:sz w:val="16"/>
                <w:szCs w:val="16"/>
                <w:color w:val="auto"/>
                <w:w w:val="97"/>
              </w:rPr>
              <w:t xml:space="preserve">Cheniere </w:t>
            </w:r>
            <w:r>
              <w:rPr>
                <w:rFonts w:ascii="Times New Roman" w:cs="Times New Roman" w:eastAsia="Times New Roman" w:hAnsi="Times New Roman"/>
                <w:sz w:val="26"/>
                <w:szCs w:val="26"/>
                <w:color w:val="auto"/>
                <w:w w:val="97"/>
                <w:vertAlign w:val="superscript"/>
              </w:rPr>
              <w:t>(1)</w:t>
            </w:r>
          </w:p>
        </w:tc>
        <w:tc>
          <w:tcPr>
            <w:tcW w:w="120" w:type="dxa"/>
            <w:vAlign w:val="bottom"/>
          </w:tcPr>
          <w:p>
            <w:pPr>
              <w:spacing w:after="0"/>
              <w:rPr>
                <w:sz w:val="20"/>
                <w:szCs w:val="20"/>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Steam</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March 2023</w:t>
            </w:r>
          </w:p>
        </w:tc>
        <w:tc>
          <w:tcPr>
            <w:tcW w:w="1460" w:type="dxa"/>
            <w:vAlign w:val="bottom"/>
          </w:tcPr>
          <w:p>
            <w:pPr>
              <w:jc w:val="center"/>
              <w:spacing w:after="0" w:line="240" w:lineRule="exact"/>
              <w:rPr>
                <w:sz w:val="20"/>
                <w:szCs w:val="20"/>
                <w:color w:val="auto"/>
              </w:rPr>
            </w:pPr>
            <w:r>
              <w:rPr>
                <w:rFonts w:ascii="Times New Roman" w:cs="Times New Roman" w:eastAsia="Times New Roman" w:hAnsi="Times New Roman"/>
                <w:sz w:val="16"/>
                <w:szCs w:val="16"/>
                <w:color w:val="auto"/>
                <w:w w:val="95"/>
              </w:rPr>
              <w:t xml:space="preserve">2024–2025 </w:t>
            </w:r>
            <w:r>
              <w:rPr>
                <w:rFonts w:ascii="Times New Roman" w:cs="Times New Roman" w:eastAsia="Times New Roman" w:hAnsi="Times New Roman"/>
                <w:sz w:val="26"/>
                <w:szCs w:val="26"/>
                <w:color w:val="auto"/>
                <w:w w:val="95"/>
                <w:vertAlign w:val="superscript"/>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260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6"/>
                <w:szCs w:val="16"/>
                <w:i w:val="1"/>
                <w:iCs w:val="1"/>
                <w:color w:val="auto"/>
              </w:rPr>
              <w:t>GasLog Seattle</w:t>
            </w:r>
          </w:p>
        </w:tc>
        <w:tc>
          <w:tcPr>
            <w:tcW w:w="90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2013</w:t>
            </w:r>
          </w:p>
        </w:tc>
        <w:tc>
          <w:tcPr>
            <w:tcW w:w="120" w:type="dxa"/>
            <w:vAlign w:val="bottom"/>
            <w:shd w:val="clear" w:color="auto" w:fill="E5FFFF"/>
          </w:tcPr>
          <w:p>
            <w:pPr>
              <w:spacing w:after="0"/>
              <w:rPr>
                <w:sz w:val="18"/>
                <w:szCs w:val="18"/>
                <w:color w:val="auto"/>
              </w:rPr>
            </w:pPr>
          </w:p>
        </w:tc>
        <w:tc>
          <w:tcPr>
            <w:tcW w:w="158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155,000</w:t>
            </w:r>
          </w:p>
        </w:tc>
        <w:tc>
          <w:tcPr>
            <w:tcW w:w="120" w:type="dxa"/>
            <w:vAlign w:val="bottom"/>
            <w:shd w:val="clear" w:color="auto" w:fill="E5FFFF"/>
          </w:tcPr>
          <w:p>
            <w:pPr>
              <w:spacing w:after="0"/>
              <w:rPr>
                <w:sz w:val="18"/>
                <w:szCs w:val="18"/>
                <w:color w:val="auto"/>
              </w:rPr>
            </w:pPr>
          </w:p>
        </w:tc>
        <w:tc>
          <w:tcPr>
            <w:tcW w:w="1680" w:type="dxa"/>
            <w:vAlign w:val="bottom"/>
            <w:gridSpan w:val="2"/>
            <w:shd w:val="clear" w:color="auto" w:fill="E5FFFF"/>
          </w:tcPr>
          <w:p>
            <w:pPr>
              <w:jc w:val="center"/>
              <w:ind w:right="120"/>
              <w:spacing w:after="0"/>
              <w:rPr>
                <w:sz w:val="20"/>
                <w:szCs w:val="20"/>
                <w:color w:val="auto"/>
              </w:rPr>
            </w:pPr>
            <w:r>
              <w:rPr>
                <w:rFonts w:ascii="Times New Roman" w:cs="Times New Roman" w:eastAsia="Times New Roman" w:hAnsi="Times New Roman"/>
                <w:sz w:val="16"/>
                <w:szCs w:val="16"/>
                <w:color w:val="auto"/>
              </w:rPr>
              <w:t>Major Trading House</w:t>
            </w:r>
          </w:p>
        </w:tc>
        <w:tc>
          <w:tcPr>
            <w:tcW w:w="980" w:type="dxa"/>
            <w:vAlign w:val="bottom"/>
            <w:gridSpan w:val="2"/>
            <w:shd w:val="clear" w:color="auto" w:fill="E5FF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TFDE</w:t>
            </w:r>
          </w:p>
        </w:tc>
        <w:tc>
          <w:tcPr>
            <w:tcW w:w="1460" w:type="dxa"/>
            <w:vAlign w:val="bottom"/>
            <w:gridSpan w:val="2"/>
            <w:shd w:val="clear" w:color="auto" w:fill="E5FFFF"/>
          </w:tcPr>
          <w:p>
            <w:pPr>
              <w:jc w:val="center"/>
              <w:ind w:right="100"/>
              <w:spacing w:after="0"/>
              <w:rPr>
                <w:sz w:val="20"/>
                <w:szCs w:val="20"/>
                <w:color w:val="auto"/>
              </w:rPr>
            </w:pPr>
            <w:r>
              <w:rPr>
                <w:rFonts w:ascii="Times New Roman" w:cs="Times New Roman" w:eastAsia="Times New Roman" w:hAnsi="Times New Roman"/>
                <w:sz w:val="16"/>
                <w:szCs w:val="16"/>
                <w:color w:val="auto"/>
              </w:rPr>
              <w:t>March 2023</w:t>
            </w:r>
          </w:p>
        </w:tc>
        <w:tc>
          <w:tcPr>
            <w:tcW w:w="1560" w:type="dxa"/>
            <w:vAlign w:val="bottom"/>
            <w:gridSpan w:val="2"/>
            <w:shd w:val="clear" w:color="auto" w:fill="E5FF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260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GasLog Sydney</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2013</w:t>
            </w:r>
          </w:p>
        </w:tc>
        <w:tc>
          <w:tcPr>
            <w:tcW w:w="12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155,000</w:t>
            </w:r>
          </w:p>
        </w:tc>
        <w:tc>
          <w:tcPr>
            <w:tcW w:w="120" w:type="dxa"/>
            <w:vAlign w:val="bottom"/>
          </w:tcPr>
          <w:p>
            <w:pPr>
              <w:spacing w:after="0"/>
              <w:rPr>
                <w:sz w:val="21"/>
                <w:szCs w:val="21"/>
                <w:color w:val="auto"/>
              </w:rPr>
            </w:pPr>
          </w:p>
        </w:tc>
        <w:tc>
          <w:tcPr>
            <w:tcW w:w="1680" w:type="dxa"/>
            <w:vAlign w:val="bottom"/>
            <w:gridSpan w:val="2"/>
          </w:tcPr>
          <w:p>
            <w:pPr>
              <w:jc w:val="center"/>
              <w:ind w:right="120"/>
              <w:spacing w:after="0" w:line="243" w:lineRule="exact"/>
              <w:rPr>
                <w:sz w:val="20"/>
                <w:szCs w:val="20"/>
                <w:color w:val="auto"/>
              </w:rPr>
            </w:pPr>
            <w:r>
              <w:rPr>
                <w:rFonts w:ascii="Times New Roman" w:cs="Times New Roman" w:eastAsia="Times New Roman" w:hAnsi="Times New Roman"/>
                <w:sz w:val="16"/>
                <w:szCs w:val="16"/>
                <w:color w:val="auto"/>
                <w:w w:val="93"/>
              </w:rPr>
              <w:t xml:space="preserve">Naturgy </w:t>
            </w:r>
            <w:r>
              <w:rPr>
                <w:rFonts w:ascii="Times New Roman" w:cs="Times New Roman" w:eastAsia="Times New Roman" w:hAnsi="Times New Roman"/>
                <w:sz w:val="26"/>
                <w:szCs w:val="26"/>
                <w:color w:val="auto"/>
                <w:w w:val="93"/>
                <w:vertAlign w:val="superscript"/>
              </w:rPr>
              <w:t>(2)</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TFDE</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April 2023</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260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6"/>
                <w:szCs w:val="16"/>
                <w:i w:val="1"/>
                <w:iCs w:val="1"/>
                <w:color w:val="auto"/>
              </w:rPr>
              <w:t>GasLog Geneva</w:t>
            </w:r>
          </w:p>
        </w:tc>
        <w:tc>
          <w:tcPr>
            <w:tcW w:w="90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2016</w:t>
            </w:r>
          </w:p>
        </w:tc>
        <w:tc>
          <w:tcPr>
            <w:tcW w:w="120" w:type="dxa"/>
            <w:vAlign w:val="bottom"/>
            <w:shd w:val="clear" w:color="auto" w:fill="E5FFFF"/>
          </w:tcPr>
          <w:p>
            <w:pPr>
              <w:spacing w:after="0"/>
              <w:rPr>
                <w:sz w:val="21"/>
                <w:szCs w:val="21"/>
                <w:color w:val="auto"/>
              </w:rPr>
            </w:pPr>
          </w:p>
        </w:tc>
        <w:tc>
          <w:tcPr>
            <w:tcW w:w="158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174,000</w:t>
            </w:r>
          </w:p>
        </w:tc>
        <w:tc>
          <w:tcPr>
            <w:tcW w:w="120" w:type="dxa"/>
            <w:vAlign w:val="bottom"/>
            <w:shd w:val="clear" w:color="auto" w:fill="E5FFFF"/>
          </w:tcPr>
          <w:p>
            <w:pPr>
              <w:spacing w:after="0"/>
              <w:rPr>
                <w:sz w:val="21"/>
                <w:szCs w:val="21"/>
                <w:color w:val="auto"/>
              </w:rPr>
            </w:pPr>
          </w:p>
        </w:tc>
        <w:tc>
          <w:tcPr>
            <w:tcW w:w="1680" w:type="dxa"/>
            <w:vAlign w:val="bottom"/>
            <w:gridSpan w:val="2"/>
            <w:shd w:val="clear" w:color="auto" w:fill="E5FFFF"/>
          </w:tcPr>
          <w:p>
            <w:pPr>
              <w:jc w:val="center"/>
              <w:ind w:right="120"/>
              <w:spacing w:after="0" w:line="243" w:lineRule="exact"/>
              <w:rPr>
                <w:sz w:val="20"/>
                <w:szCs w:val="20"/>
                <w:color w:val="auto"/>
              </w:rPr>
            </w:pPr>
            <w:r>
              <w:rPr>
                <w:rFonts w:ascii="Times New Roman" w:cs="Times New Roman" w:eastAsia="Times New Roman" w:hAnsi="Times New Roman"/>
                <w:sz w:val="16"/>
                <w:szCs w:val="16"/>
                <w:color w:val="auto"/>
                <w:w w:val="90"/>
              </w:rPr>
              <w:t xml:space="preserve">Shell </w:t>
            </w:r>
            <w:r>
              <w:rPr>
                <w:rFonts w:ascii="Times New Roman" w:cs="Times New Roman" w:eastAsia="Times New Roman" w:hAnsi="Times New Roman"/>
                <w:sz w:val="26"/>
                <w:szCs w:val="26"/>
                <w:color w:val="auto"/>
                <w:w w:val="90"/>
                <w:vertAlign w:val="superscript"/>
              </w:rPr>
              <w:t>(3)</w:t>
            </w:r>
          </w:p>
        </w:tc>
        <w:tc>
          <w:tcPr>
            <w:tcW w:w="980" w:type="dxa"/>
            <w:vAlign w:val="bottom"/>
            <w:gridSpan w:val="2"/>
            <w:shd w:val="clear" w:color="auto" w:fill="E5FF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TFDE</w:t>
            </w:r>
          </w:p>
        </w:tc>
        <w:tc>
          <w:tcPr>
            <w:tcW w:w="1460" w:type="dxa"/>
            <w:vAlign w:val="bottom"/>
            <w:gridSpan w:val="2"/>
            <w:shd w:val="clear" w:color="auto" w:fill="E5FFFF"/>
          </w:tcPr>
          <w:p>
            <w:pPr>
              <w:jc w:val="center"/>
              <w:ind w:right="80"/>
              <w:spacing w:after="0"/>
              <w:rPr>
                <w:sz w:val="20"/>
                <w:szCs w:val="20"/>
                <w:color w:val="auto"/>
              </w:rPr>
            </w:pPr>
            <w:r>
              <w:rPr>
                <w:rFonts w:ascii="Times New Roman" w:cs="Times New Roman" w:eastAsia="Times New Roman" w:hAnsi="Times New Roman"/>
                <w:sz w:val="16"/>
                <w:szCs w:val="16"/>
                <w:color w:val="auto"/>
              </w:rPr>
              <w:t>September 2023</w:t>
            </w:r>
          </w:p>
        </w:tc>
        <w:tc>
          <w:tcPr>
            <w:tcW w:w="1460" w:type="dxa"/>
            <w:vAlign w:val="bottom"/>
            <w:shd w:val="clear" w:color="auto" w:fill="E5FFFF"/>
          </w:tcPr>
          <w:p>
            <w:pPr>
              <w:jc w:val="center"/>
              <w:spacing w:after="0" w:line="243" w:lineRule="exact"/>
              <w:rPr>
                <w:sz w:val="20"/>
                <w:szCs w:val="20"/>
                <w:color w:val="auto"/>
              </w:rPr>
            </w:pPr>
            <w:r>
              <w:rPr>
                <w:rFonts w:ascii="Times New Roman" w:cs="Times New Roman" w:eastAsia="Times New Roman" w:hAnsi="Times New Roman"/>
                <w:sz w:val="16"/>
                <w:szCs w:val="16"/>
                <w:color w:val="auto"/>
                <w:w w:val="95"/>
              </w:rPr>
              <w:t xml:space="preserve">2028–2031 </w:t>
            </w:r>
            <w:r>
              <w:rPr>
                <w:rFonts w:ascii="Times New Roman" w:cs="Times New Roman" w:eastAsia="Times New Roman" w:hAnsi="Times New Roman"/>
                <w:sz w:val="26"/>
                <w:szCs w:val="26"/>
                <w:color w:val="auto"/>
                <w:w w:val="95"/>
                <w:vertAlign w:val="superscript"/>
              </w:rPr>
              <w:t>(3)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260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Methane Rita Andrea</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2006</w:t>
            </w:r>
          </w:p>
        </w:tc>
        <w:tc>
          <w:tcPr>
            <w:tcW w:w="1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145,000</w:t>
            </w:r>
          </w:p>
        </w:tc>
        <w:tc>
          <w:tcPr>
            <w:tcW w:w="120" w:type="dxa"/>
            <w:vAlign w:val="bottom"/>
          </w:tcPr>
          <w:p>
            <w:pPr>
              <w:spacing w:after="0"/>
              <w:rPr>
                <w:sz w:val="18"/>
                <w:szCs w:val="18"/>
                <w:color w:val="auto"/>
              </w:rPr>
            </w:pP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Energy Major</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Steam</w:t>
            </w:r>
          </w:p>
        </w:tc>
        <w:tc>
          <w:tcPr>
            <w:tcW w:w="14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rPr>
              <w:t>October 2023</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c>
          <w:tcPr>
            <w:tcW w:w="260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6"/>
                <w:szCs w:val="16"/>
                <w:i w:val="1"/>
                <w:iCs w:val="1"/>
                <w:color w:val="auto"/>
              </w:rPr>
              <w:t>Methane Alison Victoria</w:t>
            </w:r>
          </w:p>
        </w:tc>
        <w:tc>
          <w:tcPr>
            <w:tcW w:w="90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2007</w:t>
            </w:r>
          </w:p>
        </w:tc>
        <w:tc>
          <w:tcPr>
            <w:tcW w:w="120" w:type="dxa"/>
            <w:vAlign w:val="bottom"/>
            <w:shd w:val="clear" w:color="auto" w:fill="E5FFFF"/>
          </w:tcPr>
          <w:p>
            <w:pPr>
              <w:spacing w:after="0"/>
              <w:rPr>
                <w:sz w:val="21"/>
                <w:szCs w:val="21"/>
                <w:color w:val="auto"/>
              </w:rPr>
            </w:pPr>
          </w:p>
        </w:tc>
        <w:tc>
          <w:tcPr>
            <w:tcW w:w="158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145,000</w:t>
            </w:r>
          </w:p>
        </w:tc>
        <w:tc>
          <w:tcPr>
            <w:tcW w:w="120" w:type="dxa"/>
            <w:vAlign w:val="bottom"/>
            <w:shd w:val="clear" w:color="auto" w:fill="E5FFFF"/>
          </w:tcPr>
          <w:p>
            <w:pPr>
              <w:spacing w:after="0"/>
              <w:rPr>
                <w:sz w:val="21"/>
                <w:szCs w:val="21"/>
                <w:color w:val="auto"/>
              </w:rPr>
            </w:pPr>
          </w:p>
        </w:tc>
        <w:tc>
          <w:tcPr>
            <w:tcW w:w="1680" w:type="dxa"/>
            <w:vAlign w:val="bottom"/>
            <w:gridSpan w:val="2"/>
            <w:shd w:val="clear" w:color="auto" w:fill="E5FFFF"/>
          </w:tcPr>
          <w:p>
            <w:pPr>
              <w:jc w:val="center"/>
              <w:ind w:right="120"/>
              <w:spacing w:after="0" w:line="247" w:lineRule="exact"/>
              <w:rPr>
                <w:sz w:val="20"/>
                <w:szCs w:val="20"/>
                <w:color w:val="auto"/>
              </w:rPr>
            </w:pPr>
            <w:r>
              <w:rPr>
                <w:rFonts w:ascii="Times New Roman" w:cs="Times New Roman" w:eastAsia="Times New Roman" w:hAnsi="Times New Roman"/>
                <w:sz w:val="16"/>
                <w:szCs w:val="16"/>
                <w:color w:val="auto"/>
                <w:w w:val="96"/>
              </w:rPr>
              <w:t xml:space="preserve">CNTIC VPower </w:t>
            </w:r>
            <w:r>
              <w:rPr>
                <w:rFonts w:ascii="Times New Roman" w:cs="Times New Roman" w:eastAsia="Times New Roman" w:hAnsi="Times New Roman"/>
                <w:sz w:val="26"/>
                <w:szCs w:val="26"/>
                <w:color w:val="auto"/>
                <w:w w:val="96"/>
                <w:vertAlign w:val="superscript"/>
              </w:rPr>
              <w:t>(4)</w:t>
            </w:r>
          </w:p>
        </w:tc>
        <w:tc>
          <w:tcPr>
            <w:tcW w:w="980" w:type="dxa"/>
            <w:vAlign w:val="bottom"/>
            <w:gridSpan w:val="2"/>
            <w:shd w:val="clear" w:color="auto" w:fill="E5FF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Steam</w:t>
            </w:r>
          </w:p>
        </w:tc>
        <w:tc>
          <w:tcPr>
            <w:tcW w:w="1460" w:type="dxa"/>
            <w:vAlign w:val="bottom"/>
            <w:gridSpan w:val="2"/>
            <w:shd w:val="clear" w:color="auto" w:fill="E5FFFF"/>
          </w:tcPr>
          <w:p>
            <w:pPr>
              <w:jc w:val="center"/>
              <w:ind w:right="100"/>
              <w:spacing w:after="0"/>
              <w:rPr>
                <w:sz w:val="20"/>
                <w:szCs w:val="20"/>
                <w:color w:val="auto"/>
              </w:rPr>
            </w:pPr>
            <w:r>
              <w:rPr>
                <w:rFonts w:ascii="Times New Roman" w:cs="Times New Roman" w:eastAsia="Times New Roman" w:hAnsi="Times New Roman"/>
                <w:sz w:val="16"/>
                <w:szCs w:val="16"/>
                <w:color w:val="auto"/>
              </w:rPr>
              <w:t>October 2023</w:t>
            </w:r>
          </w:p>
        </w:tc>
        <w:tc>
          <w:tcPr>
            <w:tcW w:w="1460" w:type="dxa"/>
            <w:vAlign w:val="bottom"/>
            <w:shd w:val="clear" w:color="auto" w:fill="E5FFFF"/>
          </w:tcPr>
          <w:p>
            <w:pPr>
              <w:jc w:val="center"/>
              <w:spacing w:after="0" w:line="247" w:lineRule="exact"/>
              <w:rPr>
                <w:sz w:val="20"/>
                <w:szCs w:val="20"/>
                <w:color w:val="auto"/>
              </w:rPr>
            </w:pPr>
            <w:r>
              <w:rPr>
                <w:rFonts w:ascii="Times New Roman" w:cs="Times New Roman" w:eastAsia="Times New Roman" w:hAnsi="Times New Roman"/>
                <w:sz w:val="16"/>
                <w:szCs w:val="16"/>
                <w:color w:val="auto"/>
                <w:w w:val="95"/>
              </w:rPr>
              <w:t xml:space="preserve">2024–2025 </w:t>
            </w:r>
            <w:r>
              <w:rPr>
                <w:rFonts w:ascii="Times New Roman" w:cs="Times New Roman" w:eastAsia="Times New Roman" w:hAnsi="Times New Roman"/>
                <w:sz w:val="26"/>
                <w:szCs w:val="26"/>
                <w:color w:val="auto"/>
                <w:w w:val="95"/>
                <w:vertAlign w:val="superscript"/>
              </w:rPr>
              <w:t>(4)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p>
        </w:tc>
        <w:tc>
          <w:tcPr>
            <w:tcW w:w="260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GasLog Gibraltar</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2016</w:t>
            </w:r>
          </w:p>
        </w:tc>
        <w:tc>
          <w:tcPr>
            <w:tcW w:w="12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174,000</w:t>
            </w:r>
          </w:p>
        </w:tc>
        <w:tc>
          <w:tcPr>
            <w:tcW w:w="120" w:type="dxa"/>
            <w:vAlign w:val="bottom"/>
          </w:tcPr>
          <w:p>
            <w:pPr>
              <w:spacing w:after="0"/>
              <w:rPr>
                <w:sz w:val="21"/>
                <w:szCs w:val="21"/>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7"/>
              </w:rPr>
              <w:t>Shell</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TFDE</w:t>
            </w:r>
          </w:p>
        </w:tc>
        <w:tc>
          <w:tcPr>
            <w:tcW w:w="14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rPr>
              <w:t>October 2023</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16"/>
                <w:szCs w:val="16"/>
                <w:color w:val="auto"/>
                <w:w w:val="95"/>
              </w:rPr>
              <w:t xml:space="preserve">2028–2031 </w:t>
            </w:r>
            <w:r>
              <w:rPr>
                <w:rFonts w:ascii="Times New Roman" w:cs="Times New Roman" w:eastAsia="Times New Roman" w:hAnsi="Times New Roman"/>
                <w:sz w:val="26"/>
                <w:szCs w:val="26"/>
                <w:color w:val="auto"/>
                <w:w w:val="95"/>
                <w:vertAlign w:val="superscript"/>
              </w:rPr>
              <w:t>(3)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c>
          <w:tcPr>
            <w:tcW w:w="260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6"/>
                <w:szCs w:val="16"/>
                <w:i w:val="1"/>
                <w:iCs w:val="1"/>
                <w:color w:val="auto"/>
              </w:rPr>
              <w:t>Solaris</w:t>
            </w:r>
          </w:p>
        </w:tc>
        <w:tc>
          <w:tcPr>
            <w:tcW w:w="90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2014</w:t>
            </w:r>
          </w:p>
        </w:tc>
        <w:tc>
          <w:tcPr>
            <w:tcW w:w="120" w:type="dxa"/>
            <w:vAlign w:val="bottom"/>
            <w:shd w:val="clear" w:color="auto" w:fill="E5FFFF"/>
          </w:tcPr>
          <w:p>
            <w:pPr>
              <w:spacing w:after="0"/>
              <w:rPr>
                <w:sz w:val="18"/>
                <w:szCs w:val="18"/>
                <w:color w:val="auto"/>
              </w:rPr>
            </w:pPr>
          </w:p>
        </w:tc>
        <w:tc>
          <w:tcPr>
            <w:tcW w:w="158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155,000</w:t>
            </w:r>
          </w:p>
        </w:tc>
        <w:tc>
          <w:tcPr>
            <w:tcW w:w="120" w:type="dxa"/>
            <w:vAlign w:val="bottom"/>
            <w:shd w:val="clear" w:color="auto" w:fill="E5FFFF"/>
          </w:tcPr>
          <w:p>
            <w:pPr>
              <w:spacing w:after="0"/>
              <w:rPr>
                <w:sz w:val="18"/>
                <w:szCs w:val="18"/>
                <w:color w:val="auto"/>
              </w:rPr>
            </w:pPr>
          </w:p>
        </w:tc>
        <w:tc>
          <w:tcPr>
            <w:tcW w:w="1680" w:type="dxa"/>
            <w:vAlign w:val="bottom"/>
            <w:gridSpan w:val="2"/>
            <w:shd w:val="clear" w:color="auto" w:fill="E5FFFF"/>
          </w:tcPr>
          <w:p>
            <w:pPr>
              <w:jc w:val="center"/>
              <w:ind w:right="120"/>
              <w:spacing w:after="0"/>
              <w:rPr>
                <w:sz w:val="20"/>
                <w:szCs w:val="20"/>
                <w:color w:val="auto"/>
              </w:rPr>
            </w:pPr>
            <w:r>
              <w:rPr>
                <w:rFonts w:ascii="Times New Roman" w:cs="Times New Roman" w:eastAsia="Times New Roman" w:hAnsi="Times New Roman"/>
                <w:sz w:val="16"/>
                <w:szCs w:val="16"/>
                <w:color w:val="auto"/>
              </w:rPr>
              <w:t>Energy Major</w:t>
            </w:r>
          </w:p>
        </w:tc>
        <w:tc>
          <w:tcPr>
            <w:tcW w:w="980" w:type="dxa"/>
            <w:vAlign w:val="bottom"/>
            <w:gridSpan w:val="2"/>
            <w:shd w:val="clear" w:color="auto" w:fill="E5FF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TFDE</w:t>
            </w:r>
          </w:p>
        </w:tc>
        <w:tc>
          <w:tcPr>
            <w:tcW w:w="1460" w:type="dxa"/>
            <w:vAlign w:val="bottom"/>
            <w:gridSpan w:val="2"/>
            <w:shd w:val="clear" w:color="auto" w:fill="E5FFFF"/>
          </w:tcPr>
          <w:p>
            <w:pPr>
              <w:jc w:val="center"/>
              <w:ind w:right="100"/>
              <w:spacing w:after="0"/>
              <w:rPr>
                <w:sz w:val="20"/>
                <w:szCs w:val="20"/>
                <w:color w:val="auto"/>
              </w:rPr>
            </w:pPr>
            <w:r>
              <w:rPr>
                <w:rFonts w:ascii="Times New Roman" w:cs="Times New Roman" w:eastAsia="Times New Roman" w:hAnsi="Times New Roman"/>
                <w:sz w:val="16"/>
                <w:szCs w:val="16"/>
                <w:color w:val="auto"/>
              </w:rPr>
              <w:t>October 2023</w:t>
            </w:r>
          </w:p>
        </w:tc>
        <w:tc>
          <w:tcPr>
            <w:tcW w:w="146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260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GasLog Santiago</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2013</w:t>
            </w:r>
          </w:p>
        </w:tc>
        <w:tc>
          <w:tcPr>
            <w:tcW w:w="12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155,000</w:t>
            </w:r>
          </w:p>
        </w:tc>
        <w:tc>
          <w:tcPr>
            <w:tcW w:w="120" w:type="dxa"/>
            <w:vAlign w:val="bottom"/>
          </w:tcPr>
          <w:p>
            <w:pPr>
              <w:spacing w:after="0"/>
              <w:rPr>
                <w:sz w:val="21"/>
                <w:szCs w:val="21"/>
                <w:color w:val="auto"/>
              </w:rPr>
            </w:pPr>
          </w:p>
        </w:tc>
        <w:tc>
          <w:tcPr>
            <w:tcW w:w="1680" w:type="dxa"/>
            <w:vAlign w:val="bottom"/>
            <w:gridSpan w:val="2"/>
          </w:tcPr>
          <w:p>
            <w:pPr>
              <w:jc w:val="center"/>
              <w:ind w:right="120"/>
              <w:spacing w:after="0" w:line="243" w:lineRule="exact"/>
              <w:rPr>
                <w:sz w:val="20"/>
                <w:szCs w:val="20"/>
                <w:color w:val="auto"/>
              </w:rPr>
            </w:pPr>
            <w:r>
              <w:rPr>
                <w:rFonts w:ascii="Times New Roman" w:cs="Times New Roman" w:eastAsia="Times New Roman" w:hAnsi="Times New Roman"/>
                <w:sz w:val="16"/>
                <w:szCs w:val="16"/>
                <w:color w:val="auto"/>
                <w:w w:val="94"/>
              </w:rPr>
              <w:t xml:space="preserve">Trafigura </w:t>
            </w:r>
            <w:r>
              <w:rPr>
                <w:rFonts w:ascii="Times New Roman" w:cs="Times New Roman" w:eastAsia="Times New Roman" w:hAnsi="Times New Roman"/>
                <w:sz w:val="26"/>
                <w:szCs w:val="26"/>
                <w:color w:val="auto"/>
                <w:w w:val="94"/>
                <w:vertAlign w:val="superscript"/>
              </w:rPr>
              <w:t>(5)</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TFDE</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December 2023</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16"/>
                <w:szCs w:val="16"/>
                <w:color w:val="auto"/>
                <w:w w:val="95"/>
              </w:rPr>
              <w:t xml:space="preserve">2024–2028 </w:t>
            </w:r>
            <w:r>
              <w:rPr>
                <w:rFonts w:ascii="Times New Roman" w:cs="Times New Roman" w:eastAsia="Times New Roman" w:hAnsi="Times New Roman"/>
                <w:sz w:val="26"/>
                <w:szCs w:val="26"/>
                <w:color w:val="auto"/>
                <w:w w:val="95"/>
                <w:vertAlign w:val="superscript"/>
              </w:rPr>
              <w:t>(5)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40" w:type="dxa"/>
            <w:vAlign w:val="bottom"/>
            <w:gridSpan w:val="3"/>
            <w:shd w:val="clear" w:color="auto" w:fill="E5FFFF"/>
          </w:tcPr>
          <w:p>
            <w:pPr>
              <w:ind w:left="40"/>
              <w:spacing w:after="0"/>
              <w:rPr>
                <w:sz w:val="20"/>
                <w:szCs w:val="20"/>
                <w:color w:val="auto"/>
              </w:rPr>
            </w:pPr>
            <w:r>
              <w:rPr>
                <w:rFonts w:ascii="Times New Roman" w:cs="Times New Roman" w:eastAsia="Times New Roman" w:hAnsi="Times New Roman"/>
                <w:sz w:val="16"/>
                <w:szCs w:val="16"/>
                <w:b w:val="1"/>
                <w:bCs w:val="1"/>
                <w:color w:val="auto"/>
              </w:rPr>
              <w:t xml:space="preserve">10 </w:t>
            </w:r>
            <w:r>
              <w:rPr>
                <w:rFonts w:ascii="Times New Roman" w:cs="Times New Roman" w:eastAsia="Times New Roman" w:hAnsi="Times New Roman"/>
                <w:sz w:val="16"/>
                <w:szCs w:val="16"/>
                <w:i w:val="1"/>
                <w:iCs w:val="1"/>
                <w:color w:val="auto"/>
              </w:rPr>
              <w:t>Methane Becki Anne</w:t>
            </w:r>
          </w:p>
        </w:tc>
        <w:tc>
          <w:tcPr>
            <w:tcW w:w="90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2010</w:t>
            </w:r>
          </w:p>
        </w:tc>
        <w:tc>
          <w:tcPr>
            <w:tcW w:w="120" w:type="dxa"/>
            <w:vAlign w:val="bottom"/>
            <w:shd w:val="clear" w:color="auto" w:fill="E5FFFF"/>
          </w:tcPr>
          <w:p>
            <w:pPr>
              <w:spacing w:after="0"/>
              <w:rPr>
                <w:sz w:val="21"/>
                <w:szCs w:val="21"/>
                <w:color w:val="auto"/>
              </w:rPr>
            </w:pPr>
          </w:p>
        </w:tc>
        <w:tc>
          <w:tcPr>
            <w:tcW w:w="158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170,000</w:t>
            </w:r>
          </w:p>
        </w:tc>
        <w:tc>
          <w:tcPr>
            <w:tcW w:w="120" w:type="dxa"/>
            <w:vAlign w:val="bottom"/>
            <w:shd w:val="clear" w:color="auto" w:fill="E5FFFF"/>
          </w:tcPr>
          <w:p>
            <w:pPr>
              <w:spacing w:after="0"/>
              <w:rPr>
                <w:sz w:val="21"/>
                <w:szCs w:val="21"/>
                <w:color w:val="auto"/>
              </w:rPr>
            </w:pPr>
          </w:p>
        </w:tc>
        <w:tc>
          <w:tcPr>
            <w:tcW w:w="1680" w:type="dxa"/>
            <w:vAlign w:val="bottom"/>
            <w:gridSpan w:val="2"/>
            <w:shd w:val="clear" w:color="auto" w:fill="E5FFFF"/>
          </w:tcPr>
          <w:p>
            <w:pPr>
              <w:jc w:val="center"/>
              <w:ind w:right="120"/>
              <w:spacing w:after="0"/>
              <w:rPr>
                <w:sz w:val="20"/>
                <w:szCs w:val="20"/>
                <w:color w:val="auto"/>
              </w:rPr>
            </w:pPr>
            <w:r>
              <w:rPr>
                <w:rFonts w:ascii="Times New Roman" w:cs="Times New Roman" w:eastAsia="Times New Roman" w:hAnsi="Times New Roman"/>
                <w:sz w:val="16"/>
                <w:szCs w:val="16"/>
                <w:color w:val="auto"/>
                <w:w w:val="97"/>
              </w:rPr>
              <w:t>Shell</w:t>
            </w:r>
          </w:p>
        </w:tc>
        <w:tc>
          <w:tcPr>
            <w:tcW w:w="980" w:type="dxa"/>
            <w:vAlign w:val="bottom"/>
            <w:gridSpan w:val="2"/>
            <w:shd w:val="clear" w:color="auto" w:fill="E5FF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TFDE</w:t>
            </w:r>
          </w:p>
        </w:tc>
        <w:tc>
          <w:tcPr>
            <w:tcW w:w="1460" w:type="dxa"/>
            <w:vAlign w:val="bottom"/>
            <w:gridSpan w:val="2"/>
            <w:shd w:val="clear" w:color="auto" w:fill="E5FFFF"/>
          </w:tcPr>
          <w:p>
            <w:pPr>
              <w:jc w:val="center"/>
              <w:ind w:right="100"/>
              <w:spacing w:after="0"/>
              <w:rPr>
                <w:sz w:val="20"/>
                <w:szCs w:val="20"/>
                <w:color w:val="auto"/>
              </w:rPr>
            </w:pPr>
            <w:r>
              <w:rPr>
                <w:rFonts w:ascii="Times New Roman" w:cs="Times New Roman" w:eastAsia="Times New Roman" w:hAnsi="Times New Roman"/>
                <w:sz w:val="16"/>
                <w:szCs w:val="16"/>
                <w:color w:val="auto"/>
              </w:rPr>
              <w:t>March 2024</w:t>
            </w:r>
          </w:p>
        </w:tc>
        <w:tc>
          <w:tcPr>
            <w:tcW w:w="1460" w:type="dxa"/>
            <w:vAlign w:val="bottom"/>
            <w:shd w:val="clear" w:color="auto" w:fill="E5FFFF"/>
          </w:tcPr>
          <w:p>
            <w:pPr>
              <w:jc w:val="center"/>
              <w:spacing w:after="0" w:line="243" w:lineRule="exact"/>
              <w:rPr>
                <w:sz w:val="20"/>
                <w:szCs w:val="20"/>
                <w:color w:val="auto"/>
              </w:rPr>
            </w:pPr>
            <w:r>
              <w:rPr>
                <w:rFonts w:ascii="Times New Roman" w:cs="Times New Roman" w:eastAsia="Times New Roman" w:hAnsi="Times New Roman"/>
                <w:sz w:val="16"/>
                <w:szCs w:val="16"/>
                <w:color w:val="auto"/>
                <w:w w:val="95"/>
              </w:rPr>
              <w:t xml:space="preserve">2027–2029 </w:t>
            </w:r>
            <w:r>
              <w:rPr>
                <w:rFonts w:ascii="Times New Roman" w:cs="Times New Roman" w:eastAsia="Times New Roman" w:hAnsi="Times New Roman"/>
                <w:sz w:val="26"/>
                <w:szCs w:val="26"/>
                <w:color w:val="auto"/>
                <w:w w:val="95"/>
                <w:vertAlign w:val="superscript"/>
              </w:rPr>
              <w:t>(6)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4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16"/>
                <w:szCs w:val="16"/>
                <w:b w:val="1"/>
                <w:bCs w:val="1"/>
                <w:color w:val="auto"/>
              </w:rPr>
              <w:t xml:space="preserve">11 </w:t>
            </w:r>
            <w:r>
              <w:rPr>
                <w:rFonts w:ascii="Times New Roman" w:cs="Times New Roman" w:eastAsia="Times New Roman" w:hAnsi="Times New Roman"/>
                <w:sz w:val="16"/>
                <w:szCs w:val="16"/>
                <w:i w:val="1"/>
                <w:iCs w:val="1"/>
                <w:color w:val="auto"/>
              </w:rPr>
              <w:t>Methane Heather Sally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26"/>
                <w:szCs w:val="26"/>
                <w:color w:val="auto"/>
                <w:vertAlign w:val="superscript"/>
              </w:rPr>
              <w:t>(7)</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2007</w:t>
            </w:r>
          </w:p>
        </w:tc>
        <w:tc>
          <w:tcPr>
            <w:tcW w:w="12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145,000</w:t>
            </w:r>
          </w:p>
        </w:tc>
        <w:tc>
          <w:tcPr>
            <w:tcW w:w="120" w:type="dxa"/>
            <w:vAlign w:val="bottom"/>
          </w:tcPr>
          <w:p>
            <w:pPr>
              <w:spacing w:after="0"/>
              <w:rPr>
                <w:sz w:val="21"/>
                <w:szCs w:val="21"/>
                <w:color w:val="auto"/>
              </w:rPr>
            </w:pPr>
          </w:p>
        </w:tc>
        <w:tc>
          <w:tcPr>
            <w:tcW w:w="1680" w:type="dxa"/>
            <w:vAlign w:val="bottom"/>
            <w:gridSpan w:val="2"/>
          </w:tcPr>
          <w:p>
            <w:pPr>
              <w:jc w:val="center"/>
              <w:ind w:right="120"/>
              <w:spacing w:after="0" w:line="243" w:lineRule="exact"/>
              <w:rPr>
                <w:sz w:val="20"/>
                <w:szCs w:val="20"/>
                <w:color w:val="auto"/>
              </w:rPr>
            </w:pPr>
            <w:r>
              <w:rPr>
                <w:rFonts w:ascii="Times New Roman" w:cs="Times New Roman" w:eastAsia="Times New Roman" w:hAnsi="Times New Roman"/>
                <w:sz w:val="16"/>
                <w:szCs w:val="16"/>
                <w:color w:val="auto"/>
                <w:w w:val="97"/>
              </w:rPr>
              <w:t xml:space="preserve">SEA Charterer </w:t>
            </w:r>
            <w:r>
              <w:rPr>
                <w:rFonts w:ascii="Times New Roman" w:cs="Times New Roman" w:eastAsia="Times New Roman" w:hAnsi="Times New Roman"/>
                <w:sz w:val="26"/>
                <w:szCs w:val="26"/>
                <w:color w:val="auto"/>
                <w:w w:val="97"/>
                <w:vertAlign w:val="superscript"/>
              </w:rPr>
              <w:t>(7)</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Steam</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July 2025</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2840" w:type="dxa"/>
            <w:vAlign w:val="bottom"/>
            <w:gridSpan w:val="3"/>
            <w:shd w:val="clear" w:color="auto" w:fill="E5FFFF"/>
          </w:tcPr>
          <w:p>
            <w:pPr>
              <w:ind w:left="40"/>
              <w:spacing w:after="0"/>
              <w:rPr>
                <w:sz w:val="20"/>
                <w:szCs w:val="20"/>
                <w:color w:val="auto"/>
              </w:rPr>
            </w:pPr>
            <w:r>
              <w:rPr>
                <w:rFonts w:ascii="Times New Roman" w:cs="Times New Roman" w:eastAsia="Times New Roman" w:hAnsi="Times New Roman"/>
                <w:sz w:val="16"/>
                <w:szCs w:val="16"/>
                <w:b w:val="1"/>
                <w:bCs w:val="1"/>
                <w:color w:val="auto"/>
              </w:rPr>
              <w:t xml:space="preserve">12 </w:t>
            </w:r>
            <w:r>
              <w:rPr>
                <w:rFonts w:ascii="Times New Roman" w:cs="Times New Roman" w:eastAsia="Times New Roman" w:hAnsi="Times New Roman"/>
                <w:sz w:val="16"/>
                <w:szCs w:val="16"/>
                <w:i w:val="1"/>
                <w:iCs w:val="1"/>
                <w:color w:val="auto"/>
              </w:rPr>
              <w:t>GasLog Greece</w:t>
            </w:r>
          </w:p>
        </w:tc>
        <w:tc>
          <w:tcPr>
            <w:tcW w:w="90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2016</w:t>
            </w:r>
          </w:p>
        </w:tc>
        <w:tc>
          <w:tcPr>
            <w:tcW w:w="120" w:type="dxa"/>
            <w:vAlign w:val="bottom"/>
            <w:shd w:val="clear" w:color="auto" w:fill="E5FFFF"/>
          </w:tcPr>
          <w:p>
            <w:pPr>
              <w:spacing w:after="0"/>
              <w:rPr>
                <w:sz w:val="21"/>
                <w:szCs w:val="21"/>
                <w:color w:val="auto"/>
              </w:rPr>
            </w:pPr>
          </w:p>
        </w:tc>
        <w:tc>
          <w:tcPr>
            <w:tcW w:w="158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174,000</w:t>
            </w:r>
          </w:p>
        </w:tc>
        <w:tc>
          <w:tcPr>
            <w:tcW w:w="120" w:type="dxa"/>
            <w:vAlign w:val="bottom"/>
            <w:shd w:val="clear" w:color="auto" w:fill="E5FFFF"/>
          </w:tcPr>
          <w:p>
            <w:pPr>
              <w:spacing w:after="0"/>
              <w:rPr>
                <w:sz w:val="21"/>
                <w:szCs w:val="21"/>
                <w:color w:val="auto"/>
              </w:rPr>
            </w:pPr>
          </w:p>
        </w:tc>
        <w:tc>
          <w:tcPr>
            <w:tcW w:w="1680" w:type="dxa"/>
            <w:vAlign w:val="bottom"/>
            <w:gridSpan w:val="2"/>
            <w:shd w:val="clear" w:color="auto" w:fill="E5FFFF"/>
          </w:tcPr>
          <w:p>
            <w:pPr>
              <w:jc w:val="center"/>
              <w:ind w:right="120"/>
              <w:spacing w:after="0"/>
              <w:rPr>
                <w:sz w:val="20"/>
                <w:szCs w:val="20"/>
                <w:color w:val="auto"/>
              </w:rPr>
            </w:pPr>
            <w:r>
              <w:rPr>
                <w:rFonts w:ascii="Times New Roman" w:cs="Times New Roman" w:eastAsia="Times New Roman" w:hAnsi="Times New Roman"/>
                <w:sz w:val="16"/>
                <w:szCs w:val="16"/>
                <w:color w:val="auto"/>
                <w:w w:val="97"/>
              </w:rPr>
              <w:t>Shell</w:t>
            </w:r>
          </w:p>
        </w:tc>
        <w:tc>
          <w:tcPr>
            <w:tcW w:w="980" w:type="dxa"/>
            <w:vAlign w:val="bottom"/>
            <w:gridSpan w:val="2"/>
            <w:shd w:val="clear" w:color="auto" w:fill="E5FF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TFDE</w:t>
            </w:r>
          </w:p>
        </w:tc>
        <w:tc>
          <w:tcPr>
            <w:tcW w:w="1460" w:type="dxa"/>
            <w:vAlign w:val="bottom"/>
            <w:gridSpan w:val="2"/>
            <w:shd w:val="clear" w:color="auto" w:fill="E5FFFF"/>
          </w:tcPr>
          <w:p>
            <w:pPr>
              <w:jc w:val="center"/>
              <w:ind w:right="100"/>
              <w:spacing w:after="0"/>
              <w:rPr>
                <w:sz w:val="20"/>
                <w:szCs w:val="20"/>
                <w:color w:val="auto"/>
              </w:rPr>
            </w:pPr>
            <w:r>
              <w:rPr>
                <w:rFonts w:ascii="Times New Roman" w:cs="Times New Roman" w:eastAsia="Times New Roman" w:hAnsi="Times New Roman"/>
                <w:sz w:val="16"/>
                <w:szCs w:val="16"/>
                <w:color w:val="auto"/>
              </w:rPr>
              <w:t>March 2026</w:t>
            </w:r>
          </w:p>
        </w:tc>
        <w:tc>
          <w:tcPr>
            <w:tcW w:w="1460" w:type="dxa"/>
            <w:vAlign w:val="bottom"/>
            <w:shd w:val="clear" w:color="auto" w:fill="E5FFFF"/>
          </w:tcPr>
          <w:p>
            <w:pPr>
              <w:jc w:val="center"/>
              <w:spacing w:after="0" w:line="243" w:lineRule="exact"/>
              <w:rPr>
                <w:sz w:val="20"/>
                <w:szCs w:val="20"/>
                <w:color w:val="auto"/>
              </w:rPr>
            </w:pPr>
            <w:r>
              <w:rPr>
                <w:rFonts w:ascii="Times New Roman" w:cs="Times New Roman" w:eastAsia="Times New Roman" w:hAnsi="Times New Roman"/>
                <w:sz w:val="16"/>
                <w:szCs w:val="16"/>
                <w:color w:val="auto"/>
                <w:w w:val="92"/>
              </w:rPr>
              <w:t xml:space="preserve">2031 </w:t>
            </w:r>
            <w:r>
              <w:rPr>
                <w:rFonts w:ascii="Times New Roman" w:cs="Times New Roman" w:eastAsia="Times New Roman" w:hAnsi="Times New Roman"/>
                <w:sz w:val="26"/>
                <w:szCs w:val="26"/>
                <w:color w:val="auto"/>
                <w:w w:val="92"/>
                <w:vertAlign w:val="superscript"/>
              </w:rPr>
              <w:t>(8)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5"/>
        </w:trPr>
        <w:tc>
          <w:tcPr>
            <w:tcW w:w="28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 xml:space="preserve">13 </w:t>
            </w:r>
            <w:r>
              <w:rPr>
                <w:rFonts w:ascii="Times New Roman" w:cs="Times New Roman" w:eastAsia="Times New Roman" w:hAnsi="Times New Roman"/>
                <w:sz w:val="16"/>
                <w:szCs w:val="16"/>
                <w:i w:val="1"/>
                <w:iCs w:val="1"/>
                <w:color w:val="auto"/>
              </w:rPr>
              <w:t>GasLog Glasgow</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2016</w:t>
            </w:r>
          </w:p>
        </w:tc>
        <w:tc>
          <w:tcPr>
            <w:tcW w:w="12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174,000</w:t>
            </w:r>
          </w:p>
        </w:tc>
        <w:tc>
          <w:tcPr>
            <w:tcW w:w="120" w:type="dxa"/>
            <w:vAlign w:val="bottom"/>
          </w:tcPr>
          <w:p>
            <w:pPr>
              <w:spacing w:after="0"/>
              <w:rPr>
                <w:sz w:val="24"/>
                <w:szCs w:val="24"/>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7"/>
              </w:rPr>
              <w:t>Shell</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TFDE</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June 2026</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2"/>
              </w:rPr>
              <w:t xml:space="preserve">2031 </w:t>
            </w:r>
            <w:r>
              <w:rPr>
                <w:rFonts w:ascii="Times New Roman" w:cs="Times New Roman" w:eastAsia="Times New Roman" w:hAnsi="Times New Roman"/>
                <w:sz w:val="26"/>
                <w:szCs w:val="26"/>
                <w:color w:val="auto"/>
                <w:w w:val="92"/>
                <w:vertAlign w:val="superscript"/>
              </w:rPr>
              <w:t>(8)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40" w:type="dxa"/>
            <w:vAlign w:val="bottom"/>
          </w:tcPr>
          <w:p>
            <w:pPr>
              <w:spacing w:after="0"/>
              <w:rPr>
                <w:sz w:val="9"/>
                <w:szCs w:val="9"/>
                <w:color w:val="auto"/>
              </w:rPr>
            </w:pPr>
          </w:p>
        </w:tc>
        <w:tc>
          <w:tcPr>
            <w:tcW w:w="24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left="340" w:right="180" w:hanging="332"/>
        <w:spacing w:after="0" w:line="261" w:lineRule="auto"/>
        <w:tabs>
          <w:tab w:leader="none" w:pos="34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vessel is chartered to Cheniere Marketing International LLP, a subsidiary of Cheniere Energy Inc. (“Cheniere”). Charterers may extend the term of the time charters by two additional periods of one year, provided that the charterer gives us advance notice of declaration. The period shown reflects the expiration of the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16" w:name="page17"/>
    <w:bookmarkEnd w:id="16"/>
    <w:p>
      <w:pPr>
        <w:ind w:left="340"/>
        <w:spacing w:after="0"/>
        <w:rPr>
          <w:sz w:val="20"/>
          <w:szCs w:val="20"/>
          <w:color w:val="auto"/>
        </w:rPr>
      </w:pPr>
      <w:r>
        <w:rPr>
          <w:rFonts w:ascii="Times New Roman" w:cs="Times New Roman" w:eastAsia="Times New Roman" w:hAnsi="Times New Roman"/>
          <w:sz w:val="14"/>
          <w:szCs w:val="14"/>
          <w:color w:val="auto"/>
        </w:rPr>
        <w:t>minimum optional period and the maximum optional period.</w:t>
      </w:r>
    </w:p>
    <w:p>
      <w:pPr>
        <w:spacing w:after="0" w:line="4"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vessel is chartered to Naturgy Aprovisionamentos S.A. (“Naturgy”).</w:t>
      </w:r>
    </w:p>
    <w:p>
      <w:pPr>
        <w:spacing w:after="0" w:line="1" w:lineRule="exact"/>
        <w:rPr>
          <w:rFonts w:ascii="Times New Roman" w:cs="Times New Roman" w:eastAsia="Times New Roman" w:hAnsi="Times New Roman"/>
          <w:sz w:val="12"/>
          <w:szCs w:val="12"/>
          <w:color w:val="auto"/>
        </w:rPr>
      </w:pPr>
    </w:p>
    <w:p>
      <w:pPr>
        <w:ind w:left="340" w:right="20" w:hanging="332"/>
        <w:spacing w:after="0" w:line="221" w:lineRule="auto"/>
        <w:tabs>
          <w:tab w:leader="none" w:pos="34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vessel is chartered to a wholly owned subsidiary of Shell plc (“Shell”). Charterer may extend the term of the time charters by two additional periods of five and three years, respectively, provided that the charterer gives us advance notice of declaration. The period shown reflects the expiration of the minimum optional period and the maximum optional period.</w:t>
      </w:r>
    </w:p>
    <w:p>
      <w:pPr>
        <w:ind w:left="340" w:right="100" w:hanging="332"/>
        <w:spacing w:after="0" w:line="221" w:lineRule="auto"/>
        <w:tabs>
          <w:tab w:leader="none" w:pos="34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vessel is chartered to CNTIC VPower Energy Ltd. (“CNTIC VPower”), an independent Chinese energy company. The charterer may extend the term of the related charter by two additional periods of one year, provided that the charterer gives us advance notice of its exercise of any extension option. The period shown reflects the expiration of the minimum optional period and the maximum optional period.</w:t>
      </w:r>
    </w:p>
    <w:p>
      <w:pPr>
        <w:ind w:left="340" w:right="160" w:hanging="332"/>
        <w:spacing w:after="0" w:line="221" w:lineRule="auto"/>
        <w:tabs>
          <w:tab w:leader="none" w:pos="34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vessel is chartered to Trafigura Maritime Logistics PTE Ltd. (“Trafigura”). Charterer may extend the term of this time charter for a period ranging from one to six years, provided that the charterer gives us advance notice of declaration. The period shown reflects the expiration of the minimum optional period and the maximum optional period.</w:t>
      </w:r>
    </w:p>
    <w:p>
      <w:pPr>
        <w:ind w:left="340" w:right="440" w:hanging="332"/>
        <w:spacing w:after="0" w:line="221" w:lineRule="auto"/>
        <w:tabs>
          <w:tab w:leader="none" w:pos="34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Charterer may extend the term of the related charter for one extension period of three or five years, provided that the charterer gives us advance notice of its exercise of any extension option. The period shown reflects the expiration of the minimum optional period and the maximum optional period.</w:t>
      </w:r>
    </w:p>
    <w:p>
      <w:pPr>
        <w:ind w:left="340" w:right="80" w:hanging="332"/>
        <w:spacing w:after="0" w:line="221" w:lineRule="auto"/>
        <w:tabs>
          <w:tab w:leader="none" w:pos="34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Partnership entered into a sale and lease-back agreement for the specific vessel in October 2022, with the transaction expected to be completed in the fourth quarter of 2022. The vessel remains on its charter to a Southeast Asian charterer (“SEA Charterer”).</w:t>
      </w:r>
    </w:p>
    <w:p>
      <w:pPr>
        <w:ind w:left="340" w:hanging="332"/>
        <w:spacing w:after="0"/>
        <w:tabs>
          <w:tab w:leader="none" w:pos="34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Charterer may extend the term of these time charters for a period of five years, provided that the charterer gives us advance notice of declaration.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8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i w:val="1"/>
                <w:iCs w:val="1"/>
                <w:color w:val="auto"/>
              </w:rPr>
              <w:t>Bareboat Vessel</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2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Cargo</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Charterer (for</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Charter</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7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LNG Carrier</w:t>
            </w:r>
          </w:p>
        </w:tc>
        <w:tc>
          <w:tcPr>
            <w:tcW w:w="120" w:type="dxa"/>
            <w:vAlign w:val="bottom"/>
            <w:vMerge w:val="restart"/>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Capacity</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contracts of more</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Expiration</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72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E5FFFF"/>
            </w:tcBorders>
            <w:vMerge w:val="continue"/>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Year Built</w:t>
            </w:r>
          </w:p>
        </w:tc>
        <w:tc>
          <w:tcPr>
            <w:tcW w:w="120" w:type="dxa"/>
            <w:vAlign w:val="bottom"/>
            <w:tcBorders>
              <w:bottom w:val="single" w:sz="8" w:color="E5FFFF"/>
            </w:tcBorders>
          </w:tcPr>
          <w:p>
            <w:pPr>
              <w:spacing w:after="0"/>
              <w:rPr>
                <w:sz w:val="18"/>
                <w:szCs w:val="18"/>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(cbm)</w:t>
            </w:r>
          </w:p>
        </w:tc>
        <w:tc>
          <w:tcPr>
            <w:tcW w:w="120" w:type="dxa"/>
            <w:vAlign w:val="bottom"/>
            <w:tcBorders>
              <w:bottom w:val="single" w:sz="8" w:color="E5FFFF"/>
            </w:tcBorders>
          </w:tcPr>
          <w:p>
            <w:pPr>
              <w:spacing w:after="0"/>
              <w:rPr>
                <w:sz w:val="18"/>
                <w:szCs w:val="18"/>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than six months)</w:t>
            </w:r>
          </w:p>
        </w:tc>
        <w:tc>
          <w:tcPr>
            <w:tcW w:w="120" w:type="dxa"/>
            <w:vAlign w:val="bottom"/>
            <w:tcBorders>
              <w:bottom w:val="single" w:sz="8" w:color="E5FFFF"/>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Propulsion</w:t>
            </w:r>
          </w:p>
        </w:tc>
        <w:tc>
          <w:tcPr>
            <w:tcW w:w="100" w:type="dxa"/>
            <w:vAlign w:val="bottom"/>
            <w:tcBorders>
              <w:bottom w:val="single" w:sz="8" w:color="E5FFFF"/>
            </w:tcBorders>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(Firm Period)</w:t>
            </w:r>
          </w:p>
        </w:tc>
        <w:tc>
          <w:tcPr>
            <w:tcW w:w="120" w:type="dxa"/>
            <w:vAlign w:val="bottom"/>
            <w:tcBorders>
              <w:bottom w:val="single" w:sz="8" w:color="E5FFFF"/>
            </w:tcBorders>
          </w:tcPr>
          <w:p>
            <w:pPr>
              <w:spacing w:after="0"/>
              <w:rPr>
                <w:sz w:val="18"/>
                <w:szCs w:val="18"/>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Optional Period</w:t>
            </w:r>
          </w:p>
        </w:tc>
        <w:tc>
          <w:tcPr>
            <w:tcW w:w="0" w:type="dxa"/>
            <w:vAlign w:val="bottom"/>
          </w:tcPr>
          <w:p>
            <w:pPr>
              <w:spacing w:after="0"/>
              <w:rPr>
                <w:sz w:val="1"/>
                <w:szCs w:val="1"/>
                <w:color w:val="auto"/>
              </w:rPr>
            </w:pPr>
          </w:p>
        </w:tc>
      </w:tr>
      <w:tr>
        <w:trPr>
          <w:trHeight w:val="239"/>
        </w:trPr>
        <w:tc>
          <w:tcPr>
            <w:tcW w:w="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2480" w:type="dxa"/>
            <w:vAlign w:val="bottom"/>
            <w:shd w:val="clear" w:color="auto" w:fill="E5FFFF"/>
          </w:tcPr>
          <w:p>
            <w:pPr>
              <w:spacing w:after="0" w:line="240" w:lineRule="exact"/>
              <w:rPr>
                <w:sz w:val="20"/>
                <w:szCs w:val="20"/>
                <w:color w:val="auto"/>
              </w:rPr>
            </w:pPr>
            <w:r>
              <w:rPr>
                <w:rFonts w:ascii="Times New Roman" w:cs="Times New Roman" w:eastAsia="Times New Roman" w:hAnsi="Times New Roman"/>
                <w:sz w:val="16"/>
                <w:szCs w:val="16"/>
                <w:i w:val="1"/>
                <w:iCs w:val="1"/>
                <w:color w:val="auto"/>
              </w:rPr>
              <w:t xml:space="preserve">GasLog Shanghai </w:t>
            </w:r>
            <w:r>
              <w:rPr>
                <w:rFonts w:ascii="Times New Roman" w:cs="Times New Roman" w:eastAsia="Times New Roman" w:hAnsi="Times New Roman"/>
                <w:sz w:val="26"/>
                <w:szCs w:val="26"/>
                <w:color w:val="auto"/>
                <w:vertAlign w:val="superscript"/>
              </w:rPr>
              <w:t>(1)</w:t>
            </w:r>
          </w:p>
        </w:tc>
        <w:tc>
          <w:tcPr>
            <w:tcW w:w="120" w:type="dxa"/>
            <w:vAlign w:val="bottom"/>
            <w:shd w:val="clear" w:color="auto" w:fill="E5FFFF"/>
          </w:tcPr>
          <w:p>
            <w:pPr>
              <w:spacing w:after="0"/>
              <w:rPr>
                <w:sz w:val="20"/>
                <w:szCs w:val="20"/>
                <w:color w:val="auto"/>
              </w:rPr>
            </w:pPr>
          </w:p>
        </w:tc>
        <w:tc>
          <w:tcPr>
            <w:tcW w:w="900" w:type="dxa"/>
            <w:vAlign w:val="bottom"/>
            <w:shd w:val="clear" w:color="auto" w:fill="E5FFFF"/>
          </w:tcPr>
          <w:p>
            <w:pPr>
              <w:jc w:val="right"/>
              <w:ind w:right="199"/>
              <w:spacing w:after="0"/>
              <w:rPr>
                <w:sz w:val="20"/>
                <w:szCs w:val="20"/>
                <w:color w:val="auto"/>
              </w:rPr>
            </w:pPr>
            <w:r>
              <w:rPr>
                <w:rFonts w:ascii="Times New Roman" w:cs="Times New Roman" w:eastAsia="Times New Roman" w:hAnsi="Times New Roman"/>
                <w:sz w:val="16"/>
                <w:szCs w:val="16"/>
                <w:color w:val="auto"/>
              </w:rPr>
              <w:t>2013</w:t>
            </w:r>
          </w:p>
        </w:tc>
        <w:tc>
          <w:tcPr>
            <w:tcW w:w="120" w:type="dxa"/>
            <w:vAlign w:val="bottom"/>
            <w:shd w:val="clear" w:color="auto" w:fill="E5FFFF"/>
          </w:tcPr>
          <w:p>
            <w:pPr>
              <w:spacing w:after="0"/>
              <w:rPr>
                <w:sz w:val="20"/>
                <w:szCs w:val="20"/>
                <w:color w:val="auto"/>
              </w:rPr>
            </w:pPr>
          </w:p>
        </w:tc>
        <w:tc>
          <w:tcPr>
            <w:tcW w:w="158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155,000</w:t>
            </w:r>
          </w:p>
        </w:tc>
        <w:tc>
          <w:tcPr>
            <w:tcW w:w="120" w:type="dxa"/>
            <w:vAlign w:val="bottom"/>
            <w:shd w:val="clear" w:color="auto" w:fill="E5FFFF"/>
          </w:tcPr>
          <w:p>
            <w:pPr>
              <w:spacing w:after="0"/>
              <w:rPr>
                <w:sz w:val="20"/>
                <w:szCs w:val="20"/>
                <w:color w:val="auto"/>
              </w:rPr>
            </w:pPr>
          </w:p>
        </w:tc>
        <w:tc>
          <w:tcPr>
            <w:tcW w:w="1680" w:type="dxa"/>
            <w:vAlign w:val="bottom"/>
            <w:gridSpan w:val="2"/>
            <w:shd w:val="clear" w:color="auto" w:fill="E5FFFF"/>
          </w:tcPr>
          <w:p>
            <w:pPr>
              <w:jc w:val="center"/>
              <w:ind w:right="120"/>
              <w:spacing w:after="0"/>
              <w:rPr>
                <w:sz w:val="20"/>
                <w:szCs w:val="20"/>
                <w:color w:val="auto"/>
              </w:rPr>
            </w:pPr>
            <w:r>
              <w:rPr>
                <w:rFonts w:ascii="Times New Roman" w:cs="Times New Roman" w:eastAsia="Times New Roman" w:hAnsi="Times New Roman"/>
                <w:sz w:val="16"/>
                <w:szCs w:val="16"/>
                <w:color w:val="auto"/>
                <w:w w:val="98"/>
              </w:rPr>
              <w:t>Gunvor</w:t>
            </w:r>
          </w:p>
        </w:tc>
        <w:tc>
          <w:tcPr>
            <w:tcW w:w="88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TFDE</w:t>
            </w:r>
          </w:p>
        </w:tc>
        <w:tc>
          <w:tcPr>
            <w:tcW w:w="100" w:type="dxa"/>
            <w:vAlign w:val="bottom"/>
            <w:shd w:val="clear" w:color="auto" w:fill="E5FFFF"/>
          </w:tcPr>
          <w:p>
            <w:pPr>
              <w:spacing w:after="0"/>
              <w:rPr>
                <w:sz w:val="20"/>
                <w:szCs w:val="20"/>
                <w:color w:val="auto"/>
              </w:rPr>
            </w:pPr>
          </w:p>
        </w:tc>
        <w:tc>
          <w:tcPr>
            <w:tcW w:w="1580" w:type="dxa"/>
            <w:vAlign w:val="bottom"/>
            <w:gridSpan w:val="2"/>
            <w:shd w:val="clear" w:color="auto" w:fill="E5FFFF"/>
          </w:tcPr>
          <w:p>
            <w:pPr>
              <w:jc w:val="center"/>
              <w:ind w:right="100"/>
              <w:spacing w:after="0"/>
              <w:rPr>
                <w:sz w:val="20"/>
                <w:szCs w:val="20"/>
                <w:color w:val="auto"/>
              </w:rPr>
            </w:pPr>
            <w:r>
              <w:rPr>
                <w:rFonts w:ascii="Times New Roman" w:cs="Times New Roman" w:eastAsia="Times New Roman" w:hAnsi="Times New Roman"/>
                <w:sz w:val="16"/>
                <w:szCs w:val="16"/>
                <w:color w:val="auto"/>
              </w:rPr>
              <w:t>November 2022</w:t>
            </w:r>
          </w:p>
        </w:tc>
        <w:tc>
          <w:tcPr>
            <w:tcW w:w="1440" w:type="dxa"/>
            <w:vAlign w:val="bottom"/>
            <w:gridSpan w:val="2"/>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240" w:type="dxa"/>
            <w:vAlign w:val="bottom"/>
            <w:shd w:val="clear" w:color="auto" w:fill="E5FFFF"/>
          </w:tcPr>
          <w:p>
            <w:pPr>
              <w:spacing w:after="0"/>
              <w:rPr>
                <w:sz w:val="21"/>
                <w:szCs w:val="21"/>
                <w:color w:val="auto"/>
              </w:rPr>
            </w:pPr>
          </w:p>
        </w:tc>
        <w:tc>
          <w:tcPr>
            <w:tcW w:w="24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9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5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680" w:type="dxa"/>
            <w:vAlign w:val="bottom"/>
            <w:gridSpan w:val="2"/>
            <w:shd w:val="clear" w:color="auto" w:fill="E5FFFF"/>
          </w:tcPr>
          <w:p>
            <w:pPr>
              <w:jc w:val="center"/>
              <w:ind w:right="120"/>
              <w:spacing w:after="0" w:line="243" w:lineRule="exact"/>
              <w:rPr>
                <w:sz w:val="20"/>
                <w:szCs w:val="20"/>
                <w:color w:val="auto"/>
              </w:rPr>
            </w:pPr>
            <w:r>
              <w:rPr>
                <w:rFonts w:ascii="Times New Roman" w:cs="Times New Roman" w:eastAsia="Times New Roman" w:hAnsi="Times New Roman"/>
                <w:sz w:val="16"/>
                <w:szCs w:val="16"/>
                <w:color w:val="auto"/>
                <w:w w:val="94"/>
              </w:rPr>
              <w:t xml:space="preserve">Woodside </w:t>
            </w:r>
            <w:r>
              <w:rPr>
                <w:rFonts w:ascii="Times New Roman" w:cs="Times New Roman" w:eastAsia="Times New Roman" w:hAnsi="Times New Roman"/>
                <w:sz w:val="26"/>
                <w:szCs w:val="26"/>
                <w:color w:val="auto"/>
                <w:w w:val="94"/>
                <w:vertAlign w:val="superscript"/>
              </w:rPr>
              <w:t>(2)</w:t>
            </w:r>
          </w:p>
        </w:tc>
        <w:tc>
          <w:tcPr>
            <w:tcW w:w="88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580" w:type="dxa"/>
            <w:vAlign w:val="bottom"/>
            <w:gridSpan w:val="2"/>
            <w:shd w:val="clear" w:color="auto" w:fill="E5FFFF"/>
          </w:tcPr>
          <w:p>
            <w:pPr>
              <w:jc w:val="center"/>
              <w:ind w:right="100"/>
              <w:spacing w:after="0" w:line="243" w:lineRule="exact"/>
              <w:rPr>
                <w:sz w:val="20"/>
                <w:szCs w:val="20"/>
                <w:color w:val="auto"/>
              </w:rPr>
            </w:pPr>
            <w:r>
              <w:rPr>
                <w:rFonts w:ascii="Times New Roman" w:cs="Times New Roman" w:eastAsia="Times New Roman" w:hAnsi="Times New Roman"/>
                <w:sz w:val="16"/>
                <w:szCs w:val="16"/>
                <w:color w:val="auto"/>
                <w:w w:val="98"/>
              </w:rPr>
              <w:t xml:space="preserve">February 2025 </w:t>
            </w:r>
            <w:r>
              <w:rPr>
                <w:rFonts w:ascii="Times New Roman" w:cs="Times New Roman" w:eastAsia="Times New Roman" w:hAnsi="Times New Roman"/>
                <w:sz w:val="26"/>
                <w:szCs w:val="26"/>
                <w:color w:val="auto"/>
                <w:w w:val="98"/>
                <w:vertAlign w:val="superscript"/>
              </w:rPr>
              <w:t>(2)</w:t>
            </w:r>
          </w:p>
        </w:tc>
        <w:tc>
          <w:tcPr>
            <w:tcW w:w="1340" w:type="dxa"/>
            <w:vAlign w:val="bottom"/>
            <w:shd w:val="clear" w:color="auto" w:fill="E5FFFF"/>
          </w:tcPr>
          <w:p>
            <w:pPr>
              <w:jc w:val="right"/>
              <w:ind w:right="339"/>
              <w:spacing w:after="0" w:line="243" w:lineRule="exact"/>
              <w:rPr>
                <w:sz w:val="20"/>
                <w:szCs w:val="20"/>
                <w:color w:val="auto"/>
              </w:rPr>
            </w:pPr>
            <w:r>
              <w:rPr>
                <w:rFonts w:ascii="Times New Roman" w:cs="Times New Roman" w:eastAsia="Times New Roman" w:hAnsi="Times New Roman"/>
                <w:sz w:val="16"/>
                <w:szCs w:val="16"/>
                <w:color w:val="auto"/>
              </w:rPr>
              <w:t xml:space="preserve">2026 </w:t>
            </w:r>
            <w:r>
              <w:rPr>
                <w:rFonts w:ascii="Times New Roman" w:cs="Times New Roman" w:eastAsia="Times New Roman" w:hAnsi="Times New Roman"/>
                <w:sz w:val="26"/>
                <w:szCs w:val="26"/>
                <w:color w:val="auto"/>
                <w:vertAlign w:val="superscript"/>
              </w:rPr>
              <w:t>(2)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40" w:right="600" w:hanging="332"/>
        <w:spacing w:after="0" w:line="233" w:lineRule="auto"/>
        <w:tabs>
          <w:tab w:leader="none" w:pos="34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In October 2021, the vessel was sold and leased back from China Development Bank Financial Leasing Co. Ltd. (“CDBL”) for a period of five years, with no repurchase option or obligation.</w:t>
      </w:r>
    </w:p>
    <w:p>
      <w:pPr>
        <w:ind w:left="340" w:right="280" w:hanging="332"/>
        <w:spacing w:after="0" w:line="239" w:lineRule="auto"/>
        <w:tabs>
          <w:tab w:leader="none" w:pos="34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vessel is expected to commence its charter with Woodside Energy Shipping Singapore Pte. Ltd. (“Woodside”) after completing its scheduled dry-docking. Charterer may extend the term of this time charter for a period of one year, provided that the charterer gives us advance notice of declaration.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Additional Vessels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Five-Year Vessel Business Opportunities</w:t>
      </w:r>
    </w:p>
    <w:p>
      <w:pPr>
        <w:spacing w:after="0" w:line="237" w:lineRule="exact"/>
        <w:rPr>
          <w:sz w:val="20"/>
          <w:szCs w:val="20"/>
          <w:color w:val="auto"/>
        </w:rPr>
      </w:pPr>
    </w:p>
    <w:p>
      <w:pPr>
        <w:ind w:firstLine="324"/>
        <w:spacing w:after="0" w:line="275" w:lineRule="auto"/>
        <w:rPr>
          <w:sz w:val="20"/>
          <w:szCs w:val="20"/>
          <w:color w:val="auto"/>
        </w:rPr>
      </w:pPr>
      <w:r>
        <w:rPr>
          <w:rFonts w:ascii="Times New Roman" w:cs="Times New Roman" w:eastAsia="Times New Roman" w:hAnsi="Times New Roman"/>
          <w:sz w:val="16"/>
          <w:szCs w:val="16"/>
          <w:color w:val="auto"/>
        </w:rPr>
        <w:t>GasLog has agreed, and has caused its controlled affiliates (other than us, our general partner and our subsidiaries) to agree, not to acquire, own, operate or charter any LNG carrier with a cargo capacity greater than 75,000 cbm engaged in oceangoing LNG transportation under a charter for five full years or more without, within 30 calendar days after the consummation of the acquisition or the commencement of the operations or charter of such a vessel, notifying us and offering us the opportunity to purchase such vessel at fair market value. We refer to these vessels, together with any related charters, as “Five-Year Vessels”.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Our results set forth below are derived from the unaudited condensed consolidated financial statements of the Partnership.</w:t>
      </w:r>
    </w:p>
    <w:p>
      <w:pPr>
        <w:spacing w:after="0" w:line="233" w:lineRule="exact"/>
        <w:rPr>
          <w:sz w:val="20"/>
          <w:szCs w:val="20"/>
          <w:color w:val="auto"/>
        </w:rPr>
      </w:pPr>
    </w:p>
    <w:p>
      <w:pPr>
        <w:ind w:left="1140" w:right="2440"/>
        <w:spacing w:after="0" w:line="422" w:lineRule="auto"/>
        <w:rPr>
          <w:sz w:val="20"/>
          <w:szCs w:val="20"/>
          <w:color w:val="auto"/>
        </w:rPr>
      </w:pPr>
      <w:r>
        <w:rPr>
          <w:rFonts w:ascii="Times New Roman" w:cs="Times New Roman" w:eastAsia="Times New Roman" w:hAnsi="Times New Roman"/>
          <w:sz w:val="16"/>
          <w:szCs w:val="16"/>
          <w:b w:val="1"/>
          <w:bCs w:val="1"/>
          <w:color w:val="auto"/>
        </w:rPr>
        <w:t xml:space="preserve">Three-month period ended September 30, 2021 compared to the three-month period ended September 30, 2022 </w:t>
      </w:r>
      <w:r>
        <w:rPr>
          <w:rFonts w:ascii="Times New Roman" w:cs="Times New Roman" w:eastAsia="Times New Roman" w:hAnsi="Times New Roman"/>
          <w:sz w:val="16"/>
          <w:szCs w:val="16"/>
          <w:b w:val="1"/>
          <w:bCs w:val="1"/>
          <w:i w:val="1"/>
          <w:iCs w:val="1"/>
          <w:color w:val="auto"/>
        </w:rPr>
        <w:t>(in thousands of U.S. dollars)</w:t>
      </w:r>
    </w:p>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212"/>
        </w:trPr>
        <w:tc>
          <w:tcPr>
            <w:tcW w:w="3960" w:type="dxa"/>
            <w:vAlign w:val="bottom"/>
          </w:tcPr>
          <w:p>
            <w:pPr>
              <w:spacing w:after="0"/>
              <w:rPr>
                <w:sz w:val="18"/>
                <w:szCs w:val="18"/>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September 30, 2021</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02"/>
        </w:trPr>
        <w:tc>
          <w:tcPr>
            <w:tcW w:w="396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color w:val="auto"/>
              </w:rPr>
              <w:t>Revenues</w:t>
            </w:r>
          </w:p>
        </w:tc>
        <w:tc>
          <w:tcPr>
            <w:tcW w:w="162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80,535</w:t>
            </w:r>
          </w:p>
        </w:tc>
        <w:tc>
          <w:tcPr>
            <w:tcW w:w="100" w:type="dxa"/>
            <w:vAlign w:val="bottom"/>
            <w:tcBorders>
              <w:top w:val="single" w:sz="8" w:color="E5FFFF"/>
            </w:tcBorders>
            <w:shd w:val="clear" w:color="auto" w:fill="E5FFFF"/>
          </w:tcPr>
          <w:p>
            <w:pPr>
              <w:spacing w:after="0"/>
              <w:rPr>
                <w:sz w:val="17"/>
                <w:szCs w:val="17"/>
                <w:color w:val="auto"/>
              </w:rPr>
            </w:pPr>
          </w:p>
        </w:tc>
        <w:tc>
          <w:tcPr>
            <w:tcW w:w="180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95,679</w:t>
            </w:r>
          </w:p>
        </w:tc>
        <w:tc>
          <w:tcPr>
            <w:tcW w:w="8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15,144</w:t>
            </w:r>
          </w:p>
        </w:tc>
        <w:tc>
          <w:tcPr>
            <w:tcW w:w="40" w:type="dxa"/>
            <w:vAlign w:val="bottom"/>
          </w:tcPr>
          <w:p>
            <w:pPr>
              <w:spacing w:after="0"/>
              <w:rPr>
                <w:sz w:val="17"/>
                <w:szCs w:val="17"/>
                <w:color w:val="auto"/>
              </w:rPr>
            </w:pPr>
          </w:p>
        </w:tc>
      </w:tr>
      <w:tr>
        <w:trPr>
          <w:trHeight w:val="210"/>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Voyage expenses and commissions</w:t>
            </w: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(1,371)</w:t>
            </w:r>
          </w:p>
        </w:tc>
        <w:tc>
          <w:tcPr>
            <w:tcW w:w="1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(1,383)</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40" w:type="dxa"/>
            <w:vAlign w:val="bottom"/>
          </w:tcPr>
          <w:p>
            <w:pPr>
              <w:spacing w:after="0"/>
              <w:rPr>
                <w:sz w:val="18"/>
                <w:szCs w:val="18"/>
                <w:color w:val="auto"/>
              </w:rPr>
            </w:pPr>
          </w:p>
        </w:tc>
      </w:tr>
      <w:tr>
        <w:trPr>
          <w:trHeight w:val="222"/>
        </w:trPr>
        <w:tc>
          <w:tcPr>
            <w:tcW w:w="396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Vessel operating costs</w:t>
            </w:r>
          </w:p>
        </w:tc>
        <w:tc>
          <w:tcPr>
            <w:tcW w:w="172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(18,555)</w:t>
            </w:r>
          </w:p>
        </w:tc>
        <w:tc>
          <w:tcPr>
            <w:tcW w:w="1880" w:type="dxa"/>
            <w:vAlign w:val="bottom"/>
            <w:gridSpan w:val="2"/>
            <w:shd w:val="clear" w:color="auto" w:fill="E5FFFF"/>
          </w:tcPr>
          <w:p>
            <w:pPr>
              <w:jc w:val="right"/>
              <w:ind w:right="40"/>
              <w:spacing w:after="0"/>
              <w:rPr>
                <w:sz w:val="20"/>
                <w:szCs w:val="20"/>
                <w:color w:val="auto"/>
              </w:rPr>
            </w:pPr>
            <w:r>
              <w:rPr>
                <w:rFonts w:ascii="Times New Roman" w:cs="Times New Roman" w:eastAsia="Times New Roman" w:hAnsi="Times New Roman"/>
                <w:sz w:val="16"/>
                <w:szCs w:val="16"/>
                <w:color w:val="auto"/>
              </w:rPr>
              <w:t>(16,744)</w:t>
            </w: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1,811</w:t>
            </w:r>
          </w:p>
        </w:tc>
        <w:tc>
          <w:tcPr>
            <w:tcW w:w="40" w:type="dxa"/>
            <w:vAlign w:val="bottom"/>
          </w:tcPr>
          <w:p>
            <w:pPr>
              <w:spacing w:after="0"/>
              <w:rPr>
                <w:sz w:val="19"/>
                <w:szCs w:val="19"/>
                <w:color w:val="auto"/>
              </w:rPr>
            </w:pPr>
          </w:p>
        </w:tc>
      </w:tr>
      <w:tr>
        <w:trPr>
          <w:trHeight w:val="210"/>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(21,281)</w:t>
            </w:r>
          </w:p>
        </w:tc>
        <w:tc>
          <w:tcPr>
            <w:tcW w:w="1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(20,696)</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40" w:type="dxa"/>
            <w:vAlign w:val="bottom"/>
          </w:tcPr>
          <w:p>
            <w:pPr>
              <w:spacing w:after="0"/>
              <w:rPr>
                <w:sz w:val="18"/>
                <w:szCs w:val="18"/>
                <w:color w:val="auto"/>
              </w:rPr>
            </w:pPr>
          </w:p>
        </w:tc>
      </w:tr>
      <w:tr>
        <w:trPr>
          <w:trHeight w:val="222"/>
        </w:trPr>
        <w:tc>
          <w:tcPr>
            <w:tcW w:w="396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72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(3,295)</w:t>
            </w:r>
          </w:p>
        </w:tc>
        <w:tc>
          <w:tcPr>
            <w:tcW w:w="1880" w:type="dxa"/>
            <w:vAlign w:val="bottom"/>
            <w:gridSpan w:val="2"/>
            <w:shd w:val="clear" w:color="auto" w:fill="E5FFFF"/>
          </w:tcPr>
          <w:p>
            <w:pPr>
              <w:jc w:val="right"/>
              <w:ind w:right="40"/>
              <w:spacing w:after="0"/>
              <w:rPr>
                <w:sz w:val="20"/>
                <w:szCs w:val="20"/>
                <w:color w:val="auto"/>
              </w:rPr>
            </w:pPr>
            <w:r>
              <w:rPr>
                <w:rFonts w:ascii="Times New Roman" w:cs="Times New Roman" w:eastAsia="Times New Roman" w:hAnsi="Times New Roman"/>
                <w:sz w:val="16"/>
                <w:szCs w:val="16"/>
                <w:color w:val="auto"/>
              </w:rPr>
              <w:t>(4,263)</w:t>
            </w: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(968</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10"/>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Loss on disposal of vessel</w:t>
            </w: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(166)</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02"/>
        </w:trPr>
        <w:tc>
          <w:tcPr>
            <w:tcW w:w="396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Profit from operations</w:t>
            </w:r>
          </w:p>
        </w:tc>
        <w:tc>
          <w:tcPr>
            <w:tcW w:w="16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36,033</w:t>
            </w:r>
          </w:p>
        </w:tc>
        <w:tc>
          <w:tcPr>
            <w:tcW w:w="100" w:type="dxa"/>
            <w:vAlign w:val="bottom"/>
            <w:tcBorders>
              <w:top w:val="single" w:sz="8" w:color="E5FFFF"/>
            </w:tcBorders>
            <w:shd w:val="clear" w:color="auto" w:fill="E5FFFF"/>
          </w:tcPr>
          <w:p>
            <w:pPr>
              <w:spacing w:after="0"/>
              <w:rPr>
                <w:sz w:val="17"/>
                <w:szCs w:val="17"/>
                <w:color w:val="auto"/>
              </w:rPr>
            </w:pPr>
          </w:p>
        </w:tc>
        <w:tc>
          <w:tcPr>
            <w:tcW w:w="18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52,427</w:t>
            </w:r>
          </w:p>
        </w:tc>
        <w:tc>
          <w:tcPr>
            <w:tcW w:w="8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16,394</w:t>
            </w:r>
          </w:p>
        </w:tc>
        <w:tc>
          <w:tcPr>
            <w:tcW w:w="40" w:type="dxa"/>
            <w:vAlign w:val="bottom"/>
          </w:tcPr>
          <w:p>
            <w:pPr>
              <w:spacing w:after="0"/>
              <w:rPr>
                <w:sz w:val="17"/>
                <w:szCs w:val="17"/>
                <w:color w:val="auto"/>
              </w:rPr>
            </w:pPr>
          </w:p>
        </w:tc>
      </w:tr>
      <w:tr>
        <w:trPr>
          <w:trHeight w:val="196"/>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Financial costs</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(9,373)</w:t>
            </w:r>
          </w:p>
        </w:tc>
        <w:tc>
          <w:tcPr>
            <w:tcW w:w="10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(13,381)</w:t>
            </w:r>
          </w:p>
        </w:tc>
        <w:tc>
          <w:tcPr>
            <w:tcW w:w="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(4,008)</w:t>
            </w:r>
          </w:p>
        </w:tc>
        <w:tc>
          <w:tcPr>
            <w:tcW w:w="40" w:type="dxa"/>
            <w:vAlign w:val="bottom"/>
          </w:tcPr>
          <w:p>
            <w:pPr>
              <w:spacing w:after="0"/>
              <w:rPr>
                <w:sz w:val="17"/>
                <w:szCs w:val="17"/>
                <w:color w:val="auto"/>
              </w:rPr>
            </w:pPr>
          </w:p>
        </w:tc>
      </w:tr>
      <w:tr>
        <w:trPr>
          <w:trHeight w:val="216"/>
        </w:trPr>
        <w:tc>
          <w:tcPr>
            <w:tcW w:w="396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Financial income</w:t>
            </w:r>
          </w:p>
        </w:tc>
        <w:tc>
          <w:tcPr>
            <w:tcW w:w="16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E5FFFF"/>
          </w:tcPr>
          <w:p>
            <w:pPr>
              <w:spacing w:after="0"/>
              <w:rPr>
                <w:sz w:val="18"/>
                <w:szCs w:val="18"/>
                <w:color w:val="auto"/>
              </w:rPr>
            </w:pPr>
          </w:p>
        </w:tc>
        <w:tc>
          <w:tcPr>
            <w:tcW w:w="18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80" w:type="dxa"/>
            <w:vAlign w:val="bottom"/>
            <w:shd w:val="clear" w:color="auto" w:fill="E5FFFF"/>
          </w:tcPr>
          <w:p>
            <w:pPr>
              <w:spacing w:after="0"/>
              <w:rPr>
                <w:sz w:val="18"/>
                <w:szCs w:val="18"/>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40" w:type="dxa"/>
            <w:vAlign w:val="bottom"/>
          </w:tcPr>
          <w:p>
            <w:pPr>
              <w:spacing w:after="0"/>
              <w:rPr>
                <w:sz w:val="18"/>
                <w:szCs w:val="18"/>
                <w:color w:val="auto"/>
              </w:rPr>
            </w:pPr>
          </w:p>
        </w:tc>
      </w:tr>
      <w:tr>
        <w:trPr>
          <w:trHeight w:val="210"/>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(Loss)/gain on derivatives</w:t>
            </w: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(182)</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2,993</w:t>
            </w:r>
          </w:p>
        </w:tc>
        <w:tc>
          <w:tcPr>
            <w:tcW w:w="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3,175</w:t>
            </w:r>
          </w:p>
        </w:tc>
        <w:tc>
          <w:tcPr>
            <w:tcW w:w="40" w:type="dxa"/>
            <w:vAlign w:val="bottom"/>
          </w:tcPr>
          <w:p>
            <w:pPr>
              <w:spacing w:after="0"/>
              <w:rPr>
                <w:sz w:val="18"/>
                <w:szCs w:val="18"/>
                <w:color w:val="auto"/>
              </w:rPr>
            </w:pPr>
          </w:p>
        </w:tc>
      </w:tr>
      <w:tr>
        <w:trPr>
          <w:trHeight w:val="226"/>
        </w:trPr>
        <w:tc>
          <w:tcPr>
            <w:tcW w:w="3960" w:type="dxa"/>
            <w:vAlign w:val="bottom"/>
            <w:tcBorders>
              <w:top w:val="single" w:sz="8" w:color="E5FFFF"/>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Profit for the period</w:t>
            </w:r>
          </w:p>
        </w:tc>
        <w:tc>
          <w:tcPr>
            <w:tcW w:w="16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26,487</w:t>
            </w:r>
          </w:p>
        </w:tc>
        <w:tc>
          <w:tcPr>
            <w:tcW w:w="100" w:type="dxa"/>
            <w:vAlign w:val="bottom"/>
            <w:tcBorders>
              <w:top w:val="single" w:sz="8" w:color="E5FFFF"/>
              <w:bottom w:val="single" w:sz="8" w:color="E5FFFF"/>
            </w:tcBorders>
            <w:shd w:val="clear" w:color="auto" w:fill="E5FFFF"/>
          </w:tcPr>
          <w:p>
            <w:pPr>
              <w:spacing w:after="0"/>
              <w:rPr>
                <w:sz w:val="19"/>
                <w:szCs w:val="19"/>
                <w:color w:val="auto"/>
              </w:rPr>
            </w:pPr>
          </w:p>
        </w:tc>
        <w:tc>
          <w:tcPr>
            <w:tcW w:w="18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42,651</w:t>
            </w:r>
          </w:p>
        </w:tc>
        <w:tc>
          <w:tcPr>
            <w:tcW w:w="80" w:type="dxa"/>
            <w:vAlign w:val="bottom"/>
            <w:tcBorders>
              <w:top w:val="single" w:sz="8" w:color="E5FFFF"/>
              <w:bottom w:val="single" w:sz="8" w:color="E5FFFF"/>
            </w:tcBorders>
            <w:shd w:val="clear" w:color="auto" w:fill="E5FFFF"/>
          </w:tcPr>
          <w:p>
            <w:pPr>
              <w:spacing w:after="0"/>
              <w:rPr>
                <w:sz w:val="19"/>
                <w:szCs w:val="19"/>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16,164</w:t>
            </w:r>
          </w:p>
        </w:tc>
        <w:tc>
          <w:tcPr>
            <w:tcW w:w="40" w:type="dxa"/>
            <w:vAlign w:val="bottom"/>
          </w:tcPr>
          <w:p>
            <w:pPr>
              <w:spacing w:after="0"/>
              <w:rPr>
                <w:sz w:val="19"/>
                <w:szCs w:val="19"/>
                <w:color w:val="auto"/>
              </w:rPr>
            </w:pPr>
          </w:p>
        </w:tc>
      </w:tr>
      <w:tr>
        <w:trPr>
          <w:trHeight w:val="20"/>
        </w:trPr>
        <w:tc>
          <w:tcPr>
            <w:tcW w:w="39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324"/>
        <w:spacing w:after="0" w:line="275" w:lineRule="auto"/>
        <w:rPr>
          <w:sz w:val="20"/>
          <w:szCs w:val="20"/>
          <w:color w:val="auto"/>
        </w:rPr>
      </w:pPr>
      <w:r>
        <w:rPr>
          <w:rFonts w:ascii="Times New Roman" w:cs="Times New Roman" w:eastAsia="Times New Roman" w:hAnsi="Times New Roman"/>
          <w:sz w:val="16"/>
          <w:szCs w:val="16"/>
          <w:color w:val="auto"/>
        </w:rPr>
        <w:t xml:space="preserve">For the three-month period ended September 30, 2021, we had an average of 15.0 vessels operating in our owned fleet having 1,321 available days, while during the three-month period ended September 30, 2022, we had an average of 14.8 vessels operating in our owned and bareboat fleet having 1,359 available days. The increase in available days is due to the scheduled dry-dockings of three of our vessels in the third quarter of 2021 (compared to nil in the same period in 2022), partially offset by a decrease of available days due to the sale of the </w:t>
      </w:r>
      <w:r>
        <w:rPr>
          <w:rFonts w:ascii="Times New Roman" w:cs="Times New Roman" w:eastAsia="Times New Roman" w:hAnsi="Times New Roman"/>
          <w:sz w:val="16"/>
          <w:szCs w:val="16"/>
          <w:i w:val="1"/>
          <w:iCs w:val="1"/>
          <w:color w:val="auto"/>
        </w:rPr>
        <w:t>Methane Shirley Elisabeth</w:t>
      </w:r>
      <w:r>
        <w:rPr>
          <w:rFonts w:ascii="Times New Roman" w:cs="Times New Roman" w:eastAsia="Times New Roman" w:hAnsi="Times New Roman"/>
          <w:sz w:val="16"/>
          <w:szCs w:val="16"/>
          <w:color w:val="auto"/>
        </w:rPr>
        <w:t xml:space="preserve"> in September 2022.</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Revenues: </w:t>
      </w:r>
      <w:r>
        <w:rPr>
          <w:rFonts w:ascii="Times New Roman" w:cs="Times New Roman" w:eastAsia="Times New Roman" w:hAnsi="Times New Roman"/>
          <w:sz w:val="16"/>
          <w:szCs w:val="16"/>
          <w:color w:val="auto"/>
        </w:rPr>
        <w:t>Revenues increased by $15.2 million, or 18.9%, from $80.5 million for the three-month period ended September 30, 2021, to</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ind w:right="80"/>
        <w:spacing w:after="0" w:line="275" w:lineRule="auto"/>
        <w:rPr>
          <w:sz w:val="20"/>
          <w:szCs w:val="20"/>
          <w:color w:val="auto"/>
        </w:rPr>
      </w:pPr>
      <w:r>
        <w:rPr>
          <w:rFonts w:ascii="Times New Roman" w:cs="Times New Roman" w:eastAsia="Times New Roman" w:hAnsi="Times New Roman"/>
          <w:sz w:val="16"/>
          <w:szCs w:val="16"/>
          <w:color w:val="auto"/>
        </w:rPr>
        <w:t>$95.7 million for the same period in 2022. The increase is mainly attributable to a net increase in revenues from our vessels operating in the spot market in the third quarter of 2022, in line with the improvement of the LNG shipping spot and term markets, combined with an increase in revenues resulting from the 59 off-hire days due to the scheduled dry-dockings of three of our vessels in the third quarter of 2021 (compared to nil in the same period in 2022). The average daily hire rate increased from $60,965 for the three-month period ended September 30, 2021, to $70,979 for the three-month period ended September 30, 2022.</w:t>
      </w:r>
    </w:p>
    <w:p>
      <w:pPr>
        <w:spacing w:after="0" w:line="179" w:lineRule="exact"/>
        <w:rPr>
          <w:sz w:val="20"/>
          <w:szCs w:val="20"/>
          <w:color w:val="auto"/>
        </w:rPr>
      </w:pPr>
    </w:p>
    <w:p>
      <w:pPr>
        <w:ind w:firstLine="324"/>
        <w:spacing w:after="0" w:line="272" w:lineRule="auto"/>
        <w:rPr>
          <w:sz w:val="20"/>
          <w:szCs w:val="20"/>
          <w:color w:val="auto"/>
        </w:rPr>
      </w:pPr>
      <w:r>
        <w:rPr>
          <w:rFonts w:ascii="Times New Roman" w:cs="Times New Roman" w:eastAsia="Times New Roman" w:hAnsi="Times New Roman"/>
          <w:sz w:val="16"/>
          <w:szCs w:val="16"/>
          <w:b w:val="1"/>
          <w:bCs w:val="1"/>
          <w:i w:val="1"/>
          <w:iCs w:val="1"/>
          <w:color w:val="auto"/>
        </w:rPr>
        <w:t xml:space="preserve">Vessel Operating Costs: </w:t>
      </w:r>
      <w:r>
        <w:rPr>
          <w:rFonts w:ascii="Times New Roman" w:cs="Times New Roman" w:eastAsia="Times New Roman" w:hAnsi="Times New Roman"/>
          <w:sz w:val="16"/>
          <w:szCs w:val="16"/>
          <w:color w:val="auto"/>
        </w:rPr>
        <w:t>Vessel operating costs decreased by $1.9 million, or 10.2%, from $18.6 million for the three-month period ended September 30, 2021, to $16.7</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million for the same period in 2022. The decrease in vessel operating costs is mainly attributable to a decrease of $1.2 million in technical maintenance expenses and a decrease of $0.7 million in crew costs. Both decreases were largely related to the favorable movement of the EUR/USD exchange rate in the three months ended September 30, 2022 compared to the same period in 2021, partially offset by an increase in operating costs from inflationary pressures, as well as due to the in-house management of the </w:t>
      </w:r>
      <w:r>
        <w:rPr>
          <w:rFonts w:ascii="Times New Roman" w:cs="Times New Roman" w:eastAsia="Times New Roman" w:hAnsi="Times New Roman"/>
          <w:sz w:val="16"/>
          <w:szCs w:val="16"/>
          <w:i w:val="1"/>
          <w:iCs w:val="1"/>
          <w:color w:val="auto"/>
        </w:rPr>
        <w:t>Solaris</w:t>
      </w:r>
      <w:r>
        <w:rPr>
          <w:rFonts w:ascii="Times New Roman" w:cs="Times New Roman" w:eastAsia="Times New Roman" w:hAnsi="Times New Roman"/>
          <w:sz w:val="16"/>
          <w:szCs w:val="16"/>
          <w:color w:val="auto"/>
        </w:rPr>
        <w:t xml:space="preserve"> (after her redelivery into our managed fleet on April 6, 2022). As a result, daily operating costs per vessel decreased from $14,406 per day for the three-month period ended September 30, 2021, to $12,276 per day for the three-month period ended September 30, 2022.</w:t>
      </w:r>
    </w:p>
    <w:p>
      <w:pPr>
        <w:spacing w:after="0" w:line="180" w:lineRule="exact"/>
        <w:rPr>
          <w:sz w:val="20"/>
          <w:szCs w:val="20"/>
          <w:color w:val="auto"/>
        </w:rPr>
      </w:pPr>
    </w:p>
    <w:p>
      <w:pPr>
        <w:ind w:firstLine="324"/>
        <w:spacing w:after="0" w:line="274" w:lineRule="auto"/>
        <w:rPr>
          <w:sz w:val="20"/>
          <w:szCs w:val="20"/>
          <w:color w:val="auto"/>
        </w:rPr>
      </w:pPr>
      <w:r>
        <w:rPr>
          <w:rFonts w:ascii="Times New Roman" w:cs="Times New Roman" w:eastAsia="Times New Roman" w:hAnsi="Times New Roman"/>
          <w:sz w:val="16"/>
          <w:szCs w:val="16"/>
          <w:b w:val="1"/>
          <w:bCs w:val="1"/>
          <w:i w:val="1"/>
          <w:iCs w:val="1"/>
          <w:color w:val="auto"/>
        </w:rPr>
        <w:t xml:space="preserve">General and Administrative Expenses: </w:t>
      </w:r>
      <w:r>
        <w:rPr>
          <w:rFonts w:ascii="Times New Roman" w:cs="Times New Roman" w:eastAsia="Times New Roman" w:hAnsi="Times New Roman"/>
          <w:sz w:val="16"/>
          <w:szCs w:val="16"/>
          <w:color w:val="auto"/>
        </w:rPr>
        <w:t>General and administrative expenses increased by $1.0 million, or 30.3%, from $3.3 million for the three-month period ended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September 30, 2021, to $4.3 million for the same period in 2022. The increase in general and administrative expenses is attributable to the increase in administrative services fees for our fleet, effective January 1, 2022, in connection with the increase in the annual fee per vessel payable to GasLog compared to prior year (approximately $0.3 million per vessel per year). As a result, daily general and administrative expenses increased from $2,388 per vessel ownership day for the three-month period ended September 30, 2021, to $3,127 per vessel ownership day for the three-month period ended September 30, 2022.</w:t>
      </w:r>
    </w:p>
    <w:p>
      <w:pPr>
        <w:spacing w:after="0" w:line="178" w:lineRule="exact"/>
        <w:rPr>
          <w:sz w:val="20"/>
          <w:szCs w:val="20"/>
          <w:color w:val="auto"/>
        </w:rPr>
      </w:pPr>
    </w:p>
    <w:p>
      <w:pPr>
        <w:ind w:right="60" w:firstLine="324"/>
        <w:spacing w:after="0" w:line="272" w:lineRule="auto"/>
        <w:rPr>
          <w:sz w:val="20"/>
          <w:szCs w:val="20"/>
          <w:color w:val="auto"/>
        </w:rPr>
      </w:pPr>
      <w:r>
        <w:rPr>
          <w:rFonts w:ascii="Times New Roman" w:cs="Times New Roman" w:eastAsia="Times New Roman" w:hAnsi="Times New Roman"/>
          <w:sz w:val="16"/>
          <w:szCs w:val="16"/>
          <w:b w:val="1"/>
          <w:bCs w:val="1"/>
          <w:i w:val="1"/>
          <w:iCs w:val="1"/>
          <w:color w:val="auto"/>
        </w:rPr>
        <w:t xml:space="preserve">Financial Costs: </w:t>
      </w:r>
      <w:r>
        <w:rPr>
          <w:rFonts w:ascii="Times New Roman" w:cs="Times New Roman" w:eastAsia="Times New Roman" w:hAnsi="Times New Roman"/>
          <w:sz w:val="16"/>
          <w:szCs w:val="16"/>
          <w:color w:val="auto"/>
        </w:rPr>
        <w:t>Financial costs increased by $4.0 million, or 42.6%, from $9.4 million for the three-month period ended September 30, 2021, to $13.4 million for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same period in 2022. The increase in financial costs is mainly attributable to an increase of $3.9 million in interest expense on loans, mainly due to an increase in the London Interbank Offered Rate (“LIBOR”) rates in the three months ended September 30, 2022 as compared to the same period in 2021. During the three-month period ended September 30, 2021, we had an average of $1,232.9 million of bank borrowings outstanding under our credit facilities with a weighted average interest rate of 2.4%, compared to an average of $1,025.9 million of bank borrowings outstanding under our credit facilities with a weighted average interest rate of 4.3% during the three-month period ended September 30, 2022.</w:t>
      </w:r>
    </w:p>
    <w:p>
      <w:pPr>
        <w:spacing w:after="0" w:line="180" w:lineRule="exact"/>
        <w:rPr>
          <w:sz w:val="20"/>
          <w:szCs w:val="20"/>
          <w:color w:val="auto"/>
        </w:rPr>
      </w:pPr>
    </w:p>
    <w:p>
      <w:pPr>
        <w:ind w:right="100" w:firstLine="324"/>
        <w:spacing w:after="0" w:line="277" w:lineRule="auto"/>
        <w:rPr>
          <w:sz w:val="20"/>
          <w:szCs w:val="20"/>
          <w:color w:val="auto"/>
        </w:rPr>
      </w:pPr>
      <w:r>
        <w:rPr>
          <w:rFonts w:ascii="Times New Roman" w:cs="Times New Roman" w:eastAsia="Times New Roman" w:hAnsi="Times New Roman"/>
          <w:sz w:val="16"/>
          <w:szCs w:val="16"/>
          <w:b w:val="1"/>
          <w:bCs w:val="1"/>
          <w:i w:val="1"/>
          <w:iCs w:val="1"/>
          <w:color w:val="auto"/>
        </w:rPr>
        <w:t xml:space="preserve">(Loss)/gain on Derivatives: </w:t>
      </w:r>
      <w:r>
        <w:rPr>
          <w:rFonts w:ascii="Times New Roman" w:cs="Times New Roman" w:eastAsia="Times New Roman" w:hAnsi="Times New Roman"/>
          <w:sz w:val="16"/>
          <w:szCs w:val="16"/>
          <w:color w:val="auto"/>
        </w:rPr>
        <w:t>Loss on derivatives decreased by $3.2 million, from a loss of $0.2 million for the three-month period ended September 30, 2021, to a gain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of $3.0 million for the same period in 2022. The decrease is attributable to a decrease of $1.7 million in realized loss on interest rate swaps and a $1.5 million increase in unrealized gain from the mark-to-market valuation of interest rate swaps, which were carried at fair value through profit or loss, mainly due to changes in the forward LIBOR curve.</w:t>
      </w:r>
    </w:p>
    <w:p>
      <w:pPr>
        <w:spacing w:after="0" w:line="177" w:lineRule="exact"/>
        <w:rPr>
          <w:sz w:val="20"/>
          <w:szCs w:val="20"/>
          <w:color w:val="auto"/>
        </w:rPr>
      </w:pPr>
    </w:p>
    <w:p>
      <w:pPr>
        <w:ind w:right="260" w:firstLine="324"/>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 xml:space="preserve">Profit for the Period: </w:t>
      </w:r>
      <w:r>
        <w:rPr>
          <w:rFonts w:ascii="Times New Roman" w:cs="Times New Roman" w:eastAsia="Times New Roman" w:hAnsi="Times New Roman"/>
          <w:sz w:val="16"/>
          <w:szCs w:val="16"/>
          <w:color w:val="auto"/>
        </w:rPr>
        <w:t>Profit for the period increased by $16.2 million, or 61.1%, from $26.5 million for the three-month period ended September 30, 2021, to $42.7</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million for the same period in 2022, as a result of the aforementioned factors.</w:t>
      </w:r>
    </w:p>
    <w:p>
      <w:pPr>
        <w:spacing w:after="0" w:line="158" w:lineRule="exact"/>
        <w:rPr>
          <w:sz w:val="20"/>
          <w:szCs w:val="20"/>
          <w:color w:val="auto"/>
        </w:rPr>
      </w:pPr>
    </w:p>
    <w:p>
      <w:pPr>
        <w:ind w:left="1140" w:right="2580"/>
        <w:spacing w:after="0" w:line="422" w:lineRule="auto"/>
        <w:rPr>
          <w:sz w:val="20"/>
          <w:szCs w:val="20"/>
          <w:color w:val="auto"/>
        </w:rPr>
      </w:pPr>
      <w:r>
        <w:rPr>
          <w:rFonts w:ascii="Times New Roman" w:cs="Times New Roman" w:eastAsia="Times New Roman" w:hAnsi="Times New Roman"/>
          <w:sz w:val="16"/>
          <w:szCs w:val="16"/>
          <w:b w:val="1"/>
          <w:bCs w:val="1"/>
          <w:color w:val="auto"/>
        </w:rPr>
        <w:t xml:space="preserve">Nine-month period ended September 30, 2021 compared to the nine-month period ended September 30, 2022 </w:t>
      </w:r>
      <w:r>
        <w:rPr>
          <w:rFonts w:ascii="Times New Roman" w:cs="Times New Roman" w:eastAsia="Times New Roman" w:hAnsi="Times New Roman"/>
          <w:sz w:val="16"/>
          <w:szCs w:val="16"/>
          <w:b w:val="1"/>
          <w:bCs w:val="1"/>
          <w:i w:val="1"/>
          <w:iCs w:val="1"/>
          <w:color w:val="auto"/>
        </w:rPr>
        <w:t>(in thousands of U.S. dollars)</w:t>
      </w:r>
    </w:p>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212"/>
        </w:trPr>
        <w:tc>
          <w:tcPr>
            <w:tcW w:w="3960" w:type="dxa"/>
            <w:vAlign w:val="bottom"/>
          </w:tcPr>
          <w:p>
            <w:pPr>
              <w:spacing w:after="0"/>
              <w:rPr>
                <w:sz w:val="18"/>
                <w:szCs w:val="18"/>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September 30, 2021</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02"/>
        </w:trPr>
        <w:tc>
          <w:tcPr>
            <w:tcW w:w="396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color w:val="auto"/>
              </w:rPr>
              <w:t>Revenues</w:t>
            </w:r>
          </w:p>
        </w:tc>
        <w:tc>
          <w:tcPr>
            <w:tcW w:w="162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237,975</w:t>
            </w:r>
          </w:p>
        </w:tc>
        <w:tc>
          <w:tcPr>
            <w:tcW w:w="100" w:type="dxa"/>
            <w:vAlign w:val="bottom"/>
            <w:tcBorders>
              <w:top w:val="single" w:sz="8" w:color="E5FFFF"/>
            </w:tcBorders>
            <w:shd w:val="clear" w:color="auto" w:fill="E5FFFF"/>
          </w:tcPr>
          <w:p>
            <w:pPr>
              <w:spacing w:after="0"/>
              <w:rPr>
                <w:sz w:val="17"/>
                <w:szCs w:val="17"/>
                <w:color w:val="auto"/>
              </w:rPr>
            </w:pPr>
          </w:p>
        </w:tc>
        <w:tc>
          <w:tcPr>
            <w:tcW w:w="180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266,060</w:t>
            </w:r>
          </w:p>
        </w:tc>
        <w:tc>
          <w:tcPr>
            <w:tcW w:w="8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28,085</w:t>
            </w:r>
          </w:p>
        </w:tc>
        <w:tc>
          <w:tcPr>
            <w:tcW w:w="40" w:type="dxa"/>
            <w:vAlign w:val="bottom"/>
          </w:tcPr>
          <w:p>
            <w:pPr>
              <w:spacing w:after="0"/>
              <w:rPr>
                <w:sz w:val="17"/>
                <w:szCs w:val="17"/>
                <w:color w:val="auto"/>
              </w:rPr>
            </w:pPr>
          </w:p>
        </w:tc>
      </w:tr>
      <w:tr>
        <w:trPr>
          <w:trHeight w:val="210"/>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Voyage expenses and commissions</w:t>
            </w: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(5,302)</w:t>
            </w:r>
          </w:p>
        </w:tc>
        <w:tc>
          <w:tcPr>
            <w:tcW w:w="1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(5,016)</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40" w:type="dxa"/>
            <w:vAlign w:val="bottom"/>
          </w:tcPr>
          <w:p>
            <w:pPr>
              <w:spacing w:after="0"/>
              <w:rPr>
                <w:sz w:val="18"/>
                <w:szCs w:val="18"/>
                <w:color w:val="auto"/>
              </w:rPr>
            </w:pPr>
          </w:p>
        </w:tc>
      </w:tr>
      <w:tr>
        <w:trPr>
          <w:trHeight w:val="222"/>
        </w:trPr>
        <w:tc>
          <w:tcPr>
            <w:tcW w:w="396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Vessel operating costs</w:t>
            </w:r>
          </w:p>
        </w:tc>
        <w:tc>
          <w:tcPr>
            <w:tcW w:w="172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(56,406)</w:t>
            </w:r>
          </w:p>
        </w:tc>
        <w:tc>
          <w:tcPr>
            <w:tcW w:w="1880" w:type="dxa"/>
            <w:vAlign w:val="bottom"/>
            <w:gridSpan w:val="2"/>
            <w:shd w:val="clear" w:color="auto" w:fill="E5FFFF"/>
          </w:tcPr>
          <w:p>
            <w:pPr>
              <w:jc w:val="right"/>
              <w:ind w:right="40"/>
              <w:spacing w:after="0"/>
              <w:rPr>
                <w:sz w:val="20"/>
                <w:szCs w:val="20"/>
                <w:color w:val="auto"/>
              </w:rPr>
            </w:pPr>
            <w:r>
              <w:rPr>
                <w:rFonts w:ascii="Times New Roman" w:cs="Times New Roman" w:eastAsia="Times New Roman" w:hAnsi="Times New Roman"/>
                <w:sz w:val="16"/>
                <w:szCs w:val="16"/>
                <w:color w:val="auto"/>
              </w:rPr>
              <w:t>(54,365)</w:t>
            </w: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2,041</w:t>
            </w:r>
          </w:p>
        </w:tc>
        <w:tc>
          <w:tcPr>
            <w:tcW w:w="40" w:type="dxa"/>
            <w:vAlign w:val="bottom"/>
          </w:tcPr>
          <w:p>
            <w:pPr>
              <w:spacing w:after="0"/>
              <w:rPr>
                <w:sz w:val="19"/>
                <w:szCs w:val="19"/>
                <w:color w:val="auto"/>
              </w:rPr>
            </w:pPr>
          </w:p>
        </w:tc>
      </w:tr>
      <w:tr>
        <w:trPr>
          <w:trHeight w:val="210"/>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(62,765)</w:t>
            </w:r>
          </w:p>
        </w:tc>
        <w:tc>
          <w:tcPr>
            <w:tcW w:w="1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(64,907)</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(2,142</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22"/>
        </w:trPr>
        <w:tc>
          <w:tcPr>
            <w:tcW w:w="396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72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(9,854)</w:t>
            </w:r>
          </w:p>
        </w:tc>
        <w:tc>
          <w:tcPr>
            <w:tcW w:w="1880" w:type="dxa"/>
            <w:vAlign w:val="bottom"/>
            <w:gridSpan w:val="2"/>
            <w:shd w:val="clear" w:color="auto" w:fill="E5FFFF"/>
          </w:tcPr>
          <w:p>
            <w:pPr>
              <w:jc w:val="right"/>
              <w:ind w:right="40"/>
              <w:spacing w:after="0"/>
              <w:rPr>
                <w:sz w:val="20"/>
                <w:szCs w:val="20"/>
                <w:color w:val="auto"/>
              </w:rPr>
            </w:pPr>
            <w:r>
              <w:rPr>
                <w:rFonts w:ascii="Times New Roman" w:cs="Times New Roman" w:eastAsia="Times New Roman" w:hAnsi="Times New Roman"/>
                <w:sz w:val="16"/>
                <w:szCs w:val="16"/>
                <w:color w:val="auto"/>
              </w:rPr>
              <w:t>(13,334)</w:t>
            </w: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(3,480</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10"/>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Loss on disposal of vessel</w:t>
            </w: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(166)</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19"/>
        </w:trPr>
        <w:tc>
          <w:tcPr>
            <w:tcW w:w="396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Impairment loss on vessels</w:t>
            </w:r>
          </w:p>
        </w:tc>
        <w:tc>
          <w:tcPr>
            <w:tcW w:w="16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5FFFF"/>
          </w:tcPr>
          <w:p>
            <w:pPr>
              <w:spacing w:after="0"/>
              <w:rPr>
                <w:sz w:val="19"/>
                <w:szCs w:val="19"/>
                <w:color w:val="auto"/>
              </w:rPr>
            </w:pPr>
          </w:p>
        </w:tc>
        <w:tc>
          <w:tcPr>
            <w:tcW w:w="1880" w:type="dxa"/>
            <w:vAlign w:val="bottom"/>
            <w:gridSpan w:val="2"/>
            <w:shd w:val="clear" w:color="auto" w:fill="E5FFFF"/>
          </w:tcPr>
          <w:p>
            <w:pPr>
              <w:jc w:val="right"/>
              <w:ind w:right="40"/>
              <w:spacing w:after="0"/>
              <w:rPr>
                <w:sz w:val="20"/>
                <w:szCs w:val="20"/>
                <w:color w:val="auto"/>
              </w:rPr>
            </w:pPr>
            <w:r>
              <w:rPr>
                <w:rFonts w:ascii="Times New Roman" w:cs="Times New Roman" w:eastAsia="Times New Roman" w:hAnsi="Times New Roman"/>
                <w:sz w:val="16"/>
                <w:szCs w:val="16"/>
                <w:color w:val="auto"/>
              </w:rPr>
              <w:t>(28,027)</w:t>
            </w: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(28,027</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396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3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Profit from operations</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103,648</w:t>
            </w:r>
          </w:p>
        </w:tc>
        <w:tc>
          <w:tcPr>
            <w:tcW w:w="10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100,245</w:t>
            </w:r>
          </w:p>
        </w:tc>
        <w:tc>
          <w:tcPr>
            <w:tcW w:w="8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(3,403)</w:t>
            </w:r>
          </w:p>
        </w:tc>
      </w:tr>
      <w:tr>
        <w:trPr>
          <w:trHeight w:val="196"/>
        </w:trPr>
        <w:tc>
          <w:tcPr>
            <w:tcW w:w="396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color w:val="auto"/>
              </w:rPr>
              <w:t>Financial costs</w:t>
            </w:r>
          </w:p>
        </w:tc>
        <w:tc>
          <w:tcPr>
            <w:tcW w:w="162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(27,904)</w:t>
            </w:r>
          </w:p>
        </w:tc>
        <w:tc>
          <w:tcPr>
            <w:tcW w:w="100" w:type="dxa"/>
            <w:vAlign w:val="bottom"/>
            <w:tcBorders>
              <w:top w:val="single" w:sz="8" w:color="E5FFFF"/>
            </w:tcBorders>
            <w:shd w:val="clear" w:color="auto" w:fill="E5FFFF"/>
          </w:tcPr>
          <w:p>
            <w:pPr>
              <w:spacing w:after="0"/>
              <w:rPr>
                <w:sz w:val="17"/>
                <w:szCs w:val="17"/>
                <w:color w:val="auto"/>
              </w:rPr>
            </w:pPr>
          </w:p>
        </w:tc>
        <w:tc>
          <w:tcPr>
            <w:tcW w:w="180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(31,940)</w:t>
            </w:r>
          </w:p>
        </w:tc>
        <w:tc>
          <w:tcPr>
            <w:tcW w:w="8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(4,036)</w:t>
            </w:r>
          </w:p>
        </w:tc>
        <w:tc>
          <w:tcPr>
            <w:tcW w:w="40" w:type="dxa"/>
            <w:vAlign w:val="bottom"/>
          </w:tcPr>
          <w:p>
            <w:pPr>
              <w:spacing w:after="0"/>
              <w:rPr>
                <w:sz w:val="17"/>
                <w:szCs w:val="17"/>
                <w:color w:val="auto"/>
              </w:rPr>
            </w:pPr>
          </w:p>
        </w:tc>
      </w:tr>
      <w:tr>
        <w:trPr>
          <w:trHeight w:val="210"/>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Financial income</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w:t>
            </w:r>
          </w:p>
        </w:tc>
        <w:tc>
          <w:tcPr>
            <w:tcW w:w="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w:t>
            </w:r>
          </w:p>
        </w:tc>
        <w:tc>
          <w:tcPr>
            <w:tcW w:w="40" w:type="dxa"/>
            <w:vAlign w:val="bottom"/>
          </w:tcPr>
          <w:p>
            <w:pPr>
              <w:spacing w:after="0"/>
              <w:rPr>
                <w:sz w:val="18"/>
                <w:szCs w:val="18"/>
                <w:color w:val="auto"/>
              </w:rPr>
            </w:pPr>
          </w:p>
        </w:tc>
      </w:tr>
      <w:tr>
        <w:trPr>
          <w:trHeight w:val="222"/>
        </w:trPr>
        <w:tc>
          <w:tcPr>
            <w:tcW w:w="396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Gain on derivatives</w:t>
            </w:r>
          </w:p>
        </w:tc>
        <w:tc>
          <w:tcPr>
            <w:tcW w:w="162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100" w:type="dxa"/>
            <w:vAlign w:val="bottom"/>
            <w:shd w:val="clear" w:color="auto" w:fill="E5FFFF"/>
          </w:tcPr>
          <w:p>
            <w:pPr>
              <w:spacing w:after="0"/>
              <w:rPr>
                <w:sz w:val="19"/>
                <w:szCs w:val="19"/>
                <w:color w:val="auto"/>
              </w:rPr>
            </w:pPr>
          </w:p>
        </w:tc>
        <w:tc>
          <w:tcPr>
            <w:tcW w:w="180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9,216</w:t>
            </w:r>
          </w:p>
        </w:tc>
        <w:tc>
          <w:tcPr>
            <w:tcW w:w="80" w:type="dxa"/>
            <w:vAlign w:val="bottom"/>
            <w:shd w:val="clear" w:color="auto" w:fill="E5FFFF"/>
          </w:tcPr>
          <w:p>
            <w:pPr>
              <w:spacing w:after="0"/>
              <w:rPr>
                <w:sz w:val="19"/>
                <w:szCs w:val="19"/>
                <w:color w:val="auto"/>
              </w:rPr>
            </w:pPr>
          </w:p>
        </w:tc>
        <w:tc>
          <w:tcPr>
            <w:tcW w:w="13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8,482</w:t>
            </w:r>
          </w:p>
        </w:tc>
        <w:tc>
          <w:tcPr>
            <w:tcW w:w="40" w:type="dxa"/>
            <w:vAlign w:val="bottom"/>
          </w:tcPr>
          <w:p>
            <w:pPr>
              <w:spacing w:after="0"/>
              <w:rPr>
                <w:sz w:val="19"/>
                <w:szCs w:val="19"/>
                <w:color w:val="auto"/>
              </w:rPr>
            </w:pPr>
          </w:p>
        </w:tc>
      </w:tr>
      <w:tr>
        <w:trPr>
          <w:trHeight w:val="220"/>
        </w:trPr>
        <w:tc>
          <w:tcPr>
            <w:tcW w:w="3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Profit for the period</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76,510</w:t>
            </w:r>
          </w:p>
        </w:tc>
        <w:tc>
          <w:tcPr>
            <w:tcW w:w="100" w:type="dxa"/>
            <w:vAlign w:val="bottom"/>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78,393</w:t>
            </w:r>
          </w:p>
        </w:tc>
        <w:tc>
          <w:tcPr>
            <w:tcW w:w="8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1,883</w:t>
            </w:r>
          </w:p>
        </w:tc>
        <w:tc>
          <w:tcPr>
            <w:tcW w:w="40" w:type="dxa"/>
            <w:vAlign w:val="bottom"/>
          </w:tcPr>
          <w:p>
            <w:pPr>
              <w:spacing w:after="0"/>
              <w:rPr>
                <w:sz w:val="19"/>
                <w:szCs w:val="19"/>
                <w:color w:val="auto"/>
              </w:rPr>
            </w:pPr>
          </w:p>
        </w:tc>
      </w:tr>
      <w:tr>
        <w:trPr>
          <w:trHeight w:val="20"/>
        </w:trPr>
        <w:tc>
          <w:tcPr>
            <w:tcW w:w="39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firstLine="324"/>
        <w:spacing w:after="0" w:line="275" w:lineRule="auto"/>
        <w:rPr>
          <w:sz w:val="20"/>
          <w:szCs w:val="20"/>
          <w:color w:val="auto"/>
        </w:rPr>
      </w:pPr>
      <w:r>
        <w:rPr>
          <w:rFonts w:ascii="Times New Roman" w:cs="Times New Roman" w:eastAsia="Times New Roman" w:hAnsi="Times New Roman"/>
          <w:sz w:val="16"/>
          <w:szCs w:val="16"/>
          <w:color w:val="auto"/>
        </w:rPr>
        <w:t xml:space="preserve">For the nine-month period ended September 30, 2021, we had an average of 15.0 vessels operating in our owned fleet having 3,940 available days, while during the nine-month period ended September 30, 2022, we had an average of 14.9 vessels operating in our owned and bareboat fleet having 4,074 available days. The increase in available days is mainly due to the scheduled dry-dockings of five of our vessels in the first nine months of 2021 (compared to nil in the same period in 2022), partially offset by a decrease of available days due to the sale of the </w:t>
      </w:r>
      <w:r>
        <w:rPr>
          <w:rFonts w:ascii="Times New Roman" w:cs="Times New Roman" w:eastAsia="Times New Roman" w:hAnsi="Times New Roman"/>
          <w:sz w:val="16"/>
          <w:szCs w:val="16"/>
          <w:i w:val="1"/>
          <w:iCs w:val="1"/>
          <w:color w:val="auto"/>
        </w:rPr>
        <w:t>Methane Shirley Elisabeth</w:t>
      </w:r>
      <w:r>
        <w:rPr>
          <w:rFonts w:ascii="Times New Roman" w:cs="Times New Roman" w:eastAsia="Times New Roman" w:hAnsi="Times New Roman"/>
          <w:sz w:val="16"/>
          <w:szCs w:val="16"/>
          <w:color w:val="auto"/>
        </w:rPr>
        <w:t xml:space="preserve"> in September 2022.</w:t>
      </w:r>
    </w:p>
    <w:p>
      <w:pPr>
        <w:spacing w:after="0" w:line="179" w:lineRule="exact"/>
        <w:rPr>
          <w:sz w:val="20"/>
          <w:szCs w:val="20"/>
          <w:color w:val="auto"/>
        </w:rPr>
      </w:pPr>
    </w:p>
    <w:p>
      <w:pPr>
        <w:ind w:right="40" w:firstLine="324"/>
        <w:spacing w:after="0" w:line="274" w:lineRule="auto"/>
        <w:rPr>
          <w:sz w:val="20"/>
          <w:szCs w:val="20"/>
          <w:color w:val="auto"/>
        </w:rPr>
      </w:pPr>
      <w:r>
        <w:rPr>
          <w:rFonts w:ascii="Times New Roman" w:cs="Times New Roman" w:eastAsia="Times New Roman" w:hAnsi="Times New Roman"/>
          <w:sz w:val="16"/>
          <w:szCs w:val="16"/>
          <w:b w:val="1"/>
          <w:bCs w:val="1"/>
          <w:i w:val="1"/>
          <w:iCs w:val="1"/>
          <w:color w:val="auto"/>
        </w:rPr>
        <w:t xml:space="preserve">Revenues: </w:t>
      </w:r>
      <w:r>
        <w:rPr>
          <w:rFonts w:ascii="Times New Roman" w:cs="Times New Roman" w:eastAsia="Times New Roman" w:hAnsi="Times New Roman"/>
          <w:sz w:val="16"/>
          <w:szCs w:val="16"/>
          <w:color w:val="auto"/>
        </w:rPr>
        <w:t>Revenues increased by $28.1 million, or 11.8%, from $238.0 million for the nine-month period ended September 30, 2021, to $266.1 million for the same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period in 2022. The increase is mainly attributable to a net increase in revenues from our vessels operating in the spot market in the first nine months of 2022, in line with the improvement of the LNG shipping spot and term markets, combined with an increase in revenues resulting from the 155 off-hire days due to the scheduled dry-dockings of five of our vessels in the first nine months of 2021 (compared to nil in the same period in 2022). The average daily hire rate increased from $61,683 for the nine-month period ended September 30, 2021, to $66,003 for the nine-month period ended September 30, 2022.</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9" w:right="359" w:bottom="1440" w:gutter="0" w:footer="0" w:header="0"/>
        </w:sectPr>
      </w:pPr>
    </w:p>
    <w:bookmarkStart w:id="18" w:name="page19"/>
    <w:bookmarkEnd w:id="18"/>
    <w:p>
      <w:pPr>
        <w:ind w:right="60" w:firstLine="324"/>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 xml:space="preserve">Vessel Operating Costs: </w:t>
      </w:r>
      <w:r>
        <w:rPr>
          <w:rFonts w:ascii="Times New Roman" w:cs="Times New Roman" w:eastAsia="Times New Roman" w:hAnsi="Times New Roman"/>
          <w:sz w:val="16"/>
          <w:szCs w:val="16"/>
          <w:color w:val="auto"/>
        </w:rPr>
        <w:t>Vessel operating costs decreased by $2.0 million, or 3.5%, from $56.4 million for the nine-month period ended September 30, 2021, to $54.4</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million for the same period in 2022. The decrease in vessel operating costs is mainly attributable to a decrease of $3.5 million in technical maintenance expenses, primarily in connection with the dry-dockings of five of our vessels in 2021 (compared to nil in the same period in 2022) and the favorable movement of the EUR/USD exchange rate in the nine months ended September 30, 2022 compared to the same period in 2021. This decrease was partially offset by an increase of $1.9 million in crew costs, largely related to incremental costs following our COVID-19 enhanced protocols in 2022, crew extension bonuses to support our seafarers, travelling and extended quarantine days for seafarers prior to embarkation, inflationary pressures, as well as due to the in-house management of the </w:t>
      </w:r>
      <w:r>
        <w:rPr>
          <w:rFonts w:ascii="Times New Roman" w:cs="Times New Roman" w:eastAsia="Times New Roman" w:hAnsi="Times New Roman"/>
          <w:sz w:val="16"/>
          <w:szCs w:val="16"/>
          <w:i w:val="1"/>
          <w:iCs w:val="1"/>
          <w:color w:val="auto"/>
        </w:rPr>
        <w:t>Solaris</w:t>
      </w:r>
      <w:r>
        <w:rPr>
          <w:rFonts w:ascii="Times New Roman" w:cs="Times New Roman" w:eastAsia="Times New Roman" w:hAnsi="Times New Roman"/>
          <w:sz w:val="16"/>
          <w:szCs w:val="16"/>
          <w:color w:val="auto"/>
        </w:rPr>
        <w:t xml:space="preserve"> (after her redelivery into our managed fleet on April 6, 2022). As a result, daily operating costs per vessel decreased from $14,758 per day for the nine-month period ended September 30, 2021, to $13,646 per day for the nine-month period ended September 30, 2022.</w:t>
      </w:r>
    </w:p>
    <w:p>
      <w:pPr>
        <w:spacing w:after="0" w:line="186" w:lineRule="exact"/>
        <w:rPr>
          <w:sz w:val="20"/>
          <w:szCs w:val="20"/>
          <w:color w:val="auto"/>
        </w:rPr>
      </w:pPr>
    </w:p>
    <w:p>
      <w:pPr>
        <w:ind w:firstLine="324"/>
        <w:spacing w:after="0" w:line="274" w:lineRule="auto"/>
        <w:rPr>
          <w:sz w:val="20"/>
          <w:szCs w:val="20"/>
          <w:color w:val="auto"/>
        </w:rPr>
      </w:pPr>
      <w:r>
        <w:rPr>
          <w:rFonts w:ascii="Times New Roman" w:cs="Times New Roman" w:eastAsia="Times New Roman" w:hAnsi="Times New Roman"/>
          <w:sz w:val="16"/>
          <w:szCs w:val="16"/>
          <w:b w:val="1"/>
          <w:bCs w:val="1"/>
          <w:i w:val="1"/>
          <w:iCs w:val="1"/>
          <w:color w:val="auto"/>
        </w:rPr>
        <w:t xml:space="preserve">General and Administrative Expenses: </w:t>
      </w:r>
      <w:r>
        <w:rPr>
          <w:rFonts w:ascii="Times New Roman" w:cs="Times New Roman" w:eastAsia="Times New Roman" w:hAnsi="Times New Roman"/>
          <w:sz w:val="16"/>
          <w:szCs w:val="16"/>
          <w:color w:val="auto"/>
        </w:rPr>
        <w:t>General and administrative expenses increased by $3.4 million, or 34.3%, from $9.9 million for the nine-month period ended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September 30, 2021, to $13.3 million for the same period in 2022. The increase in general and administrative expenses is mainly attributable to the increase in administrative services fees for our fleet, effective January 1, 2022, in connection with the increase in the annual fee per vessel payable to GasLog compared to prior year (approximately $0.3 million per vessel per year). As a result, daily general and administrative expenses increased from $2,406 per vessel ownership day for the nine-month period ended September 30, 2021, to $3,269 per vessel ownership day for the nine-month period ended September 30, 2022.</w:t>
      </w:r>
    </w:p>
    <w:p>
      <w:pPr>
        <w:spacing w:after="0" w:line="178" w:lineRule="exact"/>
        <w:rPr>
          <w:sz w:val="20"/>
          <w:szCs w:val="20"/>
          <w:color w:val="auto"/>
        </w:rPr>
      </w:pPr>
    </w:p>
    <w:p>
      <w:pPr>
        <w:ind w:right="160" w:firstLine="324"/>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 xml:space="preserve">Impairment Loss on Vessels: </w:t>
      </w:r>
      <w:r>
        <w:rPr>
          <w:rFonts w:ascii="Times New Roman" w:cs="Times New Roman" w:eastAsia="Times New Roman" w:hAnsi="Times New Roman"/>
          <w:sz w:val="16"/>
          <w:szCs w:val="16"/>
          <w:color w:val="auto"/>
        </w:rPr>
        <w:t>Impairment loss on vessels was $28.0 million for the nine-month period ended September 30, 2022 and nil for the same period in 2021.</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impairment loss was recognized as of June 30, 2022 pursuant to the reclassification of two of our Steam vessels as held for sale and remeasurement of their carrying amounts.</w:t>
      </w:r>
    </w:p>
    <w:p>
      <w:pPr>
        <w:spacing w:after="0" w:line="173" w:lineRule="exact"/>
        <w:rPr>
          <w:sz w:val="20"/>
          <w:szCs w:val="20"/>
          <w:color w:val="auto"/>
        </w:rPr>
      </w:pPr>
    </w:p>
    <w:p>
      <w:pPr>
        <w:ind w:right="40" w:firstLine="324"/>
        <w:spacing w:after="0" w:line="272" w:lineRule="auto"/>
        <w:rPr>
          <w:sz w:val="20"/>
          <w:szCs w:val="20"/>
          <w:color w:val="auto"/>
        </w:rPr>
      </w:pPr>
      <w:r>
        <w:rPr>
          <w:rFonts w:ascii="Times New Roman" w:cs="Times New Roman" w:eastAsia="Times New Roman" w:hAnsi="Times New Roman"/>
          <w:sz w:val="16"/>
          <w:szCs w:val="16"/>
          <w:b w:val="1"/>
          <w:bCs w:val="1"/>
          <w:i w:val="1"/>
          <w:iCs w:val="1"/>
          <w:color w:val="auto"/>
        </w:rPr>
        <w:t xml:space="preserve">Financial Costs: </w:t>
      </w:r>
      <w:r>
        <w:rPr>
          <w:rFonts w:ascii="Times New Roman" w:cs="Times New Roman" w:eastAsia="Times New Roman" w:hAnsi="Times New Roman"/>
          <w:sz w:val="16"/>
          <w:szCs w:val="16"/>
          <w:color w:val="auto"/>
        </w:rPr>
        <w:t>Financial costs increased by $4.0 million, or 14.3%, from $27.9 million for the nine-month period ended September 30, 2021, to $31.9 million for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same period in 2022. The increase in financial costs is mainly attributable to an increase of $3.4 million in interest expense on loans, primarily due to an increase in the LIBOR rates in the nine months ended September 30, 2022, as compared to the same period in 2021, and an increase of $1.2 million in interest expense on leases, pursuant to the sale and lease-back of the </w:t>
      </w:r>
      <w:r>
        <w:rPr>
          <w:rFonts w:ascii="Times New Roman" w:cs="Times New Roman" w:eastAsia="Times New Roman" w:hAnsi="Times New Roman"/>
          <w:sz w:val="16"/>
          <w:szCs w:val="16"/>
          <w:i w:val="1"/>
          <w:iCs w:val="1"/>
          <w:color w:val="auto"/>
        </w:rPr>
        <w:t>GasLog Shanghai</w:t>
      </w:r>
      <w:r>
        <w:rPr>
          <w:rFonts w:ascii="Times New Roman" w:cs="Times New Roman" w:eastAsia="Times New Roman" w:hAnsi="Times New Roman"/>
          <w:sz w:val="16"/>
          <w:szCs w:val="16"/>
          <w:color w:val="auto"/>
        </w:rPr>
        <w:t xml:space="preserve"> in October 2021. During the nine-month period ended September 30, 2021, we had an average of $1,260.4 million of bank borrowings outstanding under our credit facilities with a weighted average interest rate of 2.4%, compared to an average of $1,055.6 million of bank borrowings outstanding under our credit facilities with a weighted average interest rate of 3.3% during the nine-month period ended September 30, 2022.</w:t>
      </w:r>
    </w:p>
    <w:p>
      <w:pPr>
        <w:spacing w:after="0" w:line="180" w:lineRule="exact"/>
        <w:rPr>
          <w:sz w:val="20"/>
          <w:szCs w:val="20"/>
          <w:color w:val="auto"/>
        </w:rPr>
      </w:pPr>
    </w:p>
    <w:p>
      <w:pPr>
        <w:ind w:right="20" w:firstLine="324"/>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 xml:space="preserve">Gain on Derivatives: </w:t>
      </w:r>
      <w:r>
        <w:rPr>
          <w:rFonts w:ascii="Times New Roman" w:cs="Times New Roman" w:eastAsia="Times New Roman" w:hAnsi="Times New Roman"/>
          <w:sz w:val="16"/>
          <w:szCs w:val="16"/>
          <w:color w:val="auto"/>
        </w:rPr>
        <w:t>Gain on derivatives increased by $8.5 million, from $0.7 million for the nine-month period ended September 30, 2021, to $9.2 million for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same period in 2022. The increase is attributable to a $5.2 million increase in unrealized gain from the mark-to-market valuation of interest rate swaps, which were carried at fair value through profit or loss, mainly due to changes in the forward LIBOR curve, and a decrease of $3.3 million in realized loss on interest rate swaps.</w:t>
      </w:r>
    </w:p>
    <w:p>
      <w:pPr>
        <w:spacing w:after="0" w:line="173" w:lineRule="exact"/>
        <w:rPr>
          <w:sz w:val="20"/>
          <w:szCs w:val="20"/>
          <w:color w:val="auto"/>
        </w:rPr>
      </w:pPr>
    </w:p>
    <w:p>
      <w:pPr>
        <w:ind w:right="480" w:firstLine="324"/>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 xml:space="preserve">Profit for the Period: </w:t>
      </w:r>
      <w:r>
        <w:rPr>
          <w:rFonts w:ascii="Times New Roman" w:cs="Times New Roman" w:eastAsia="Times New Roman" w:hAnsi="Times New Roman"/>
          <w:sz w:val="16"/>
          <w:szCs w:val="16"/>
          <w:color w:val="auto"/>
        </w:rPr>
        <w:t>Profit for the period increased by $1.9 million, or 2.5%, from $76.5 million for the nine-month period ended September 30, 2021, to $78.4</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million for the same period in 2022, as a result of the aforementioned factors.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237" w:lineRule="exact"/>
        <w:rPr>
          <w:sz w:val="20"/>
          <w:szCs w:val="20"/>
          <w:color w:val="auto"/>
        </w:rPr>
      </w:pPr>
    </w:p>
    <w:p>
      <w:pPr>
        <w:ind w:right="120" w:firstLine="648"/>
        <w:spacing w:after="0" w:line="272" w:lineRule="auto"/>
        <w:rPr>
          <w:sz w:val="20"/>
          <w:szCs w:val="20"/>
          <w:color w:val="auto"/>
        </w:rPr>
      </w:pPr>
      <w:r>
        <w:rPr>
          <w:rFonts w:ascii="Times New Roman" w:cs="Times New Roman" w:eastAsia="Times New Roman" w:hAnsi="Times New Roman"/>
          <w:sz w:val="16"/>
          <w:szCs w:val="16"/>
          <w:color w:val="auto"/>
        </w:rPr>
        <w:t>We operate in a capital-intensive industry and we expect to finance the purchase of any additional vessels or other capital expenditures through a combination of borrowings from commercial banks, cash generated from operations and lease and equity financings, if any. In addition to paying distributions and potentially repurchasing common and preference units, our other liquidity requirements relate to paying our operating and general and administrative expenses, servicing our debt, funding investments, funding working capital and maintaining cash reserves against fluctuations in operating cash flows. Our funding and treasury activities are intended to maximize investment returns while maintaining appropriate liquidity and complying with our financial covenants under our debt facilities.</w:t>
      </w:r>
    </w:p>
    <w:p>
      <w:pPr>
        <w:spacing w:after="0" w:line="186" w:lineRule="exact"/>
        <w:rPr>
          <w:sz w:val="20"/>
          <w:szCs w:val="20"/>
          <w:color w:val="auto"/>
        </w:rPr>
      </w:pPr>
    </w:p>
    <w:p>
      <w:pPr>
        <w:ind w:right="80" w:firstLine="648"/>
        <w:spacing w:after="0" w:line="271" w:lineRule="auto"/>
        <w:rPr>
          <w:sz w:val="20"/>
          <w:szCs w:val="20"/>
          <w:color w:val="auto"/>
        </w:rPr>
      </w:pPr>
      <w:r>
        <w:rPr>
          <w:rFonts w:ascii="Times New Roman" w:cs="Times New Roman" w:eastAsia="Times New Roman" w:hAnsi="Times New Roman"/>
          <w:sz w:val="16"/>
          <w:szCs w:val="16"/>
          <w:color w:val="auto"/>
        </w:rPr>
        <w:t>In the three months ended September 30, 2022, under the Partnership’s preference unit repurchase programme established in March 2021, GasLog Partners repurchased and cancelled 233,179 8.625% Series A Cumulative Redeemable Perpetual Fixed to Floating Rate Preference Units (the “Series A Preference Units”), 198,746 8.200% Series B Cumulative Redeemable Perpetual Fixed to Floating Rate Preference Units (the “Series B Preference Units”) and 178,544 8.500% Series C Cumulative Redeemable Perpetual Fixed to Floating Rate Preference Units (the “Series C Preference Units”). The aggregate amount paid in the third quarter of 2022 was $20.0 million, including commissions and an amount of $4.7 million relating to 90,841 Series A Preference Units, 70,000 Series B Preference Units and 27,000 Series C Preference Units, which were repurchased during the third quarter of 2022 and cancelled post quarter-end, on October 3, 2022.</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Partnership did not issue any common units during the third quarter of 2022 under the ATM Common Equity Offering Programme.</w:t>
      </w:r>
    </w:p>
    <w:p>
      <w:pPr>
        <w:spacing w:after="0" w:line="235" w:lineRule="exact"/>
        <w:rPr>
          <w:sz w:val="20"/>
          <w:szCs w:val="20"/>
          <w:color w:val="auto"/>
        </w:rPr>
      </w:pPr>
    </w:p>
    <w:p>
      <w:pPr>
        <w:ind w:right="100" w:firstLine="648"/>
        <w:spacing w:after="0" w:line="281" w:lineRule="auto"/>
        <w:rPr>
          <w:sz w:val="20"/>
          <w:szCs w:val="20"/>
          <w:color w:val="auto"/>
        </w:rPr>
      </w:pPr>
      <w:r>
        <w:rPr>
          <w:rFonts w:ascii="Times New Roman" w:cs="Times New Roman" w:eastAsia="Times New Roman" w:hAnsi="Times New Roman"/>
          <w:sz w:val="16"/>
          <w:szCs w:val="16"/>
          <w:color w:val="auto"/>
        </w:rPr>
        <w:t>As of September 30, 2022, we had $139.0 million of cash and cash equivalents, out of which $44.5 million was held in current accounts and $94.5 million was held in time deposits with an original duration of less than three months. An additional amount of $25.0 million of time deposits with an original duration greater than three months was classified under short-term cash deposits.</w:t>
      </w:r>
    </w:p>
    <w:p>
      <w:pPr>
        <w:spacing w:after="0" w:line="177" w:lineRule="exact"/>
        <w:rPr>
          <w:sz w:val="20"/>
          <w:szCs w:val="20"/>
          <w:color w:val="auto"/>
        </w:rPr>
      </w:pPr>
    </w:p>
    <w:p>
      <w:pPr>
        <w:ind w:right="140" w:firstLine="648"/>
        <w:spacing w:after="0" w:line="275" w:lineRule="auto"/>
        <w:rPr>
          <w:sz w:val="20"/>
          <w:szCs w:val="20"/>
          <w:color w:val="auto"/>
        </w:rPr>
      </w:pPr>
      <w:r>
        <w:rPr>
          <w:rFonts w:ascii="Times New Roman" w:cs="Times New Roman" w:eastAsia="Times New Roman" w:hAnsi="Times New Roman"/>
          <w:sz w:val="16"/>
          <w:szCs w:val="16"/>
          <w:color w:val="auto"/>
        </w:rPr>
        <w:t xml:space="preserve">As of September 30, 2022, we had an aggregate of $970.8 million of borrowings outstanding under our credit facilities, of which $122.9 million was repayable within one year. Current bank borrowings include an amount of $32.6 million with respect to the associated debt of the Steam vessel </w:t>
      </w:r>
      <w:r>
        <w:rPr>
          <w:rFonts w:ascii="Times New Roman" w:cs="Times New Roman" w:eastAsia="Times New Roman" w:hAnsi="Times New Roman"/>
          <w:sz w:val="16"/>
          <w:szCs w:val="16"/>
          <w:i w:val="1"/>
          <w:iCs w:val="1"/>
          <w:color w:val="auto"/>
        </w:rPr>
        <w:t>Methane Heather Sally</w:t>
      </w:r>
      <w:r>
        <w:rPr>
          <w:rFonts w:ascii="Times New Roman" w:cs="Times New Roman" w:eastAsia="Times New Roman" w:hAnsi="Times New Roman"/>
          <w:sz w:val="16"/>
          <w:szCs w:val="16"/>
          <w:color w:val="auto"/>
        </w:rPr>
        <w:t xml:space="preserve">, classified as held for sale as of September 30, 2022. As of September 30, 2022, we also had an aggregate of $48.2 million of lease liabilities mainly related to the sale and lease-back of the </w:t>
      </w:r>
      <w:r>
        <w:rPr>
          <w:rFonts w:ascii="Times New Roman" w:cs="Times New Roman" w:eastAsia="Times New Roman" w:hAnsi="Times New Roman"/>
          <w:sz w:val="16"/>
          <w:szCs w:val="16"/>
          <w:i w:val="1"/>
          <w:iCs w:val="1"/>
          <w:color w:val="auto"/>
        </w:rPr>
        <w:t>GasLog Shanghai</w:t>
      </w:r>
      <w:r>
        <w:rPr>
          <w:rFonts w:ascii="Times New Roman" w:cs="Times New Roman" w:eastAsia="Times New Roman" w:hAnsi="Times New Roman"/>
          <w:sz w:val="16"/>
          <w:szCs w:val="16"/>
          <w:color w:val="auto"/>
        </w:rPr>
        <w:t>, of which $10.5 million was payable within one year.</w:t>
      </w:r>
    </w:p>
    <w:p>
      <w:pPr>
        <w:spacing w:after="0" w:line="183" w:lineRule="exact"/>
        <w:rPr>
          <w:sz w:val="20"/>
          <w:szCs w:val="20"/>
          <w:color w:val="auto"/>
        </w:rPr>
      </w:pPr>
    </w:p>
    <w:p>
      <w:pPr>
        <w:ind w:right="260" w:firstLine="648"/>
        <w:spacing w:after="0" w:line="298" w:lineRule="auto"/>
        <w:rPr>
          <w:sz w:val="20"/>
          <w:szCs w:val="20"/>
          <w:color w:val="auto"/>
        </w:rPr>
      </w:pPr>
      <w:r>
        <w:rPr>
          <w:rFonts w:ascii="Times New Roman" w:cs="Times New Roman" w:eastAsia="Times New Roman" w:hAnsi="Times New Roman"/>
          <w:sz w:val="16"/>
          <w:szCs w:val="16"/>
          <w:color w:val="auto"/>
        </w:rPr>
        <w:t>As of September 30, 2022, the Partnership had in place four interest rate swap agreements at a notional value of $133.3 million in aggregate, maturing between 2024 and 2025. As a result of its hedging agreements, the Partnership had hedged 13.6% of its floating interest rate exposure on</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color w:val="auto"/>
        </w:rPr>
        <w:t>its outstanding debt (excluding the lease liability) as of September 30, 2022, at a weighted average interest rate of approximately 3.1% (excluding margin).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Working Capital Position</w:t>
      </w:r>
    </w:p>
    <w:p>
      <w:pPr>
        <w:spacing w:after="0" w:line="237" w:lineRule="exact"/>
        <w:rPr>
          <w:sz w:val="20"/>
          <w:szCs w:val="20"/>
          <w:color w:val="auto"/>
        </w:rPr>
      </w:pPr>
    </w:p>
    <w:p>
      <w:pPr>
        <w:ind w:right="360" w:firstLine="324"/>
        <w:spacing w:after="0" w:line="298" w:lineRule="auto"/>
        <w:rPr>
          <w:sz w:val="20"/>
          <w:szCs w:val="20"/>
          <w:color w:val="auto"/>
        </w:rPr>
      </w:pPr>
      <w:r>
        <w:rPr>
          <w:rFonts w:ascii="Times New Roman" w:cs="Times New Roman" w:eastAsia="Times New Roman" w:hAnsi="Times New Roman"/>
          <w:sz w:val="16"/>
          <w:szCs w:val="16"/>
          <w:color w:val="auto"/>
        </w:rPr>
        <w:t>As of September 30, 2022, our current assets totaled $251.3 million and current liabilities totaled $194.9 million, resulting in a positive working capital position of $56.4 million.</w:t>
      </w:r>
    </w:p>
    <w:p>
      <w:pPr>
        <w:spacing w:after="0" w:line="164" w:lineRule="exact"/>
        <w:rPr>
          <w:sz w:val="20"/>
          <w:szCs w:val="20"/>
          <w:color w:val="auto"/>
        </w:rPr>
      </w:pPr>
    </w:p>
    <w:p>
      <w:pPr>
        <w:ind w:right="80" w:firstLine="324"/>
        <w:spacing w:after="0" w:line="298" w:lineRule="auto"/>
        <w:rPr>
          <w:sz w:val="20"/>
          <w:szCs w:val="20"/>
          <w:color w:val="auto"/>
        </w:rPr>
      </w:pPr>
      <w:r>
        <w:rPr>
          <w:rFonts w:ascii="Times New Roman" w:cs="Times New Roman" w:eastAsia="Times New Roman" w:hAnsi="Times New Roman"/>
          <w:sz w:val="16"/>
          <w:szCs w:val="16"/>
          <w:color w:val="auto"/>
        </w:rPr>
        <w:t>We believe that our current resources, cash from operations and existing debt facilities will be sufficient to meet our working capital requirements and comply with our banking covenants for at least twelve months from the date of this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Cash Flows</w:t>
      </w:r>
    </w:p>
    <w:p>
      <w:pPr>
        <w:spacing w:after="0" w:line="23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Nine-month period ended September 30, 2021 compared to the nine-month period ended September 30, 2022</w:t>
      </w: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following table summarizes our net cash flows from operating, investing and financing activities for the periods indicated:</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39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 of U.S. dollars)</w:t>
            </w:r>
          </w:p>
        </w:tc>
        <w:tc>
          <w:tcPr>
            <w:tcW w:w="3600" w:type="dxa"/>
            <w:vAlign w:val="bottom"/>
            <w:gridSpan w:val="4"/>
          </w:tcPr>
          <w:p>
            <w:pPr>
              <w:jc w:val="right"/>
              <w:ind w:right="118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960" w:type="dxa"/>
            <w:vAlign w:val="bottom"/>
          </w:tcPr>
          <w:p>
            <w:pPr>
              <w:spacing w:after="0"/>
              <w:rPr>
                <w:sz w:val="18"/>
                <w:szCs w:val="18"/>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September 30, 2021</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38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02"/>
        </w:trPr>
        <w:tc>
          <w:tcPr>
            <w:tcW w:w="396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62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174,576</w:t>
            </w:r>
          </w:p>
        </w:tc>
        <w:tc>
          <w:tcPr>
            <w:tcW w:w="100" w:type="dxa"/>
            <w:vAlign w:val="bottom"/>
            <w:tcBorders>
              <w:top w:val="single" w:sz="8" w:color="E5FFFF"/>
            </w:tcBorders>
            <w:shd w:val="clear" w:color="auto" w:fill="E5FFFF"/>
          </w:tcPr>
          <w:p>
            <w:pPr>
              <w:spacing w:after="0"/>
              <w:rPr>
                <w:sz w:val="17"/>
                <w:szCs w:val="17"/>
                <w:color w:val="auto"/>
              </w:rPr>
            </w:pPr>
          </w:p>
        </w:tc>
        <w:tc>
          <w:tcPr>
            <w:tcW w:w="180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185,716</w:t>
            </w:r>
          </w:p>
        </w:tc>
        <w:tc>
          <w:tcPr>
            <w:tcW w:w="8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11,140</w:t>
            </w:r>
          </w:p>
        </w:tc>
        <w:tc>
          <w:tcPr>
            <w:tcW w:w="40" w:type="dxa"/>
            <w:vAlign w:val="bottom"/>
          </w:tcPr>
          <w:p>
            <w:pPr>
              <w:spacing w:after="0"/>
              <w:rPr>
                <w:sz w:val="17"/>
                <w:szCs w:val="17"/>
                <w:color w:val="auto"/>
              </w:rPr>
            </w:pPr>
          </w:p>
        </w:tc>
      </w:tr>
      <w:tr>
        <w:trPr>
          <w:trHeight w:val="210"/>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in)/provided by investing activities</w:t>
            </w: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(15,387)</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27,454</w:t>
            </w:r>
          </w:p>
        </w:tc>
        <w:tc>
          <w:tcPr>
            <w:tcW w:w="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42,841</w:t>
            </w:r>
          </w:p>
        </w:tc>
        <w:tc>
          <w:tcPr>
            <w:tcW w:w="40" w:type="dxa"/>
            <w:vAlign w:val="bottom"/>
          </w:tcPr>
          <w:p>
            <w:pPr>
              <w:spacing w:after="0"/>
              <w:rPr>
                <w:sz w:val="18"/>
                <w:szCs w:val="18"/>
                <w:color w:val="auto"/>
              </w:rPr>
            </w:pPr>
          </w:p>
        </w:tc>
      </w:tr>
      <w:tr>
        <w:trPr>
          <w:trHeight w:val="222"/>
        </w:trPr>
        <w:tc>
          <w:tcPr>
            <w:tcW w:w="396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72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(152,717)</w:t>
            </w:r>
          </w:p>
        </w:tc>
        <w:tc>
          <w:tcPr>
            <w:tcW w:w="1880" w:type="dxa"/>
            <w:vAlign w:val="bottom"/>
            <w:gridSpan w:val="2"/>
            <w:shd w:val="clear" w:color="auto" w:fill="E5FFFF"/>
          </w:tcPr>
          <w:p>
            <w:pPr>
              <w:jc w:val="right"/>
              <w:ind w:right="40"/>
              <w:spacing w:after="0"/>
              <w:rPr>
                <w:sz w:val="20"/>
                <w:szCs w:val="20"/>
                <w:color w:val="auto"/>
              </w:rPr>
            </w:pPr>
            <w:r>
              <w:rPr>
                <w:rFonts w:ascii="Times New Roman" w:cs="Times New Roman" w:eastAsia="Times New Roman" w:hAnsi="Times New Roman"/>
                <w:sz w:val="16"/>
                <w:szCs w:val="16"/>
                <w:color w:val="auto"/>
              </w:rPr>
              <w:t>(219,744)</w:t>
            </w: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(67,027)</w:t>
            </w:r>
          </w:p>
        </w:tc>
        <w:tc>
          <w:tcPr>
            <w:tcW w:w="40" w:type="dxa"/>
            <w:vAlign w:val="bottom"/>
          </w:tcPr>
          <w:p>
            <w:pPr>
              <w:spacing w:after="0"/>
              <w:rPr>
                <w:sz w:val="19"/>
                <w:szCs w:val="19"/>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Cash provided by Operating Activities:</w:t>
      </w:r>
    </w:p>
    <w:p>
      <w:pPr>
        <w:spacing w:after="0" w:line="239" w:lineRule="exact"/>
        <w:rPr>
          <w:sz w:val="20"/>
          <w:szCs w:val="20"/>
          <w:color w:val="auto"/>
        </w:rPr>
      </w:pPr>
    </w:p>
    <w:p>
      <w:pPr>
        <w:ind w:right="80" w:firstLine="324"/>
        <w:spacing w:after="0" w:line="275" w:lineRule="auto"/>
        <w:rPr>
          <w:sz w:val="20"/>
          <w:szCs w:val="20"/>
          <w:color w:val="auto"/>
        </w:rPr>
      </w:pPr>
      <w:r>
        <w:rPr>
          <w:rFonts w:ascii="Times New Roman" w:cs="Times New Roman" w:eastAsia="Times New Roman" w:hAnsi="Times New Roman"/>
          <w:sz w:val="16"/>
          <w:szCs w:val="16"/>
          <w:color w:val="auto"/>
        </w:rPr>
        <w:t>Net cash provided by operating activities increased by $11.1 million, from $174.6 million in the nine-month period ended September 30, 2021, to $185.7 million in the nine-month period ended September 30, 2022. The increase of $11.1 million is mainly attributable to an increase in revenues of $28.1 million, partially offset by a $16.1 million movement in working capital accounts (mainly influenced by movements of trade and other receivables) and a net decrease of $1.1 million in voyage expenses and commissions, vessel operating costs and general and administrative expenses.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Cash (used in)/provided by Investing Activities:</w:t>
      </w:r>
    </w:p>
    <w:p>
      <w:pPr>
        <w:spacing w:after="0" w:line="239" w:lineRule="exact"/>
        <w:rPr>
          <w:sz w:val="20"/>
          <w:szCs w:val="20"/>
          <w:color w:val="auto"/>
        </w:rPr>
      </w:pPr>
    </w:p>
    <w:p>
      <w:pPr>
        <w:ind w:right="240" w:firstLine="324"/>
        <w:spacing w:after="0" w:line="275" w:lineRule="auto"/>
        <w:rPr>
          <w:sz w:val="20"/>
          <w:szCs w:val="20"/>
          <w:color w:val="auto"/>
        </w:rPr>
      </w:pPr>
      <w:r>
        <w:rPr>
          <w:rFonts w:ascii="Times New Roman" w:cs="Times New Roman" w:eastAsia="Times New Roman" w:hAnsi="Times New Roman"/>
          <w:sz w:val="16"/>
          <w:szCs w:val="16"/>
          <w:color w:val="auto"/>
        </w:rPr>
        <w:t xml:space="preserve">Net cash used in investing activities decreased by $42.9 million, from net cash used in investing activities of $15.4 million in the nine-month period ended September 30, 2021, to net cash provided by investing activities of $27.5 million in the nine-month period ended September 30, 2022. The decrease of $42.9 million is mainly attributable to the net proceeds from the sale of the </w:t>
      </w:r>
      <w:r>
        <w:rPr>
          <w:rFonts w:ascii="Times New Roman" w:cs="Times New Roman" w:eastAsia="Times New Roman" w:hAnsi="Times New Roman"/>
          <w:sz w:val="16"/>
          <w:szCs w:val="16"/>
          <w:i w:val="1"/>
          <w:iCs w:val="1"/>
          <w:color w:val="auto"/>
        </w:rPr>
        <w:t>Methane Shirley Elisabeth</w:t>
      </w:r>
      <w:r>
        <w:rPr>
          <w:rFonts w:ascii="Times New Roman" w:cs="Times New Roman" w:eastAsia="Times New Roman" w:hAnsi="Times New Roman"/>
          <w:sz w:val="16"/>
          <w:szCs w:val="16"/>
          <w:color w:val="auto"/>
        </w:rPr>
        <w:t xml:space="preserve"> of $53.6 million in 2022 and a decrease of cash used in payments for tangible fixed assets of $13.8 million, partially offset by an increase in net cash used in short-term cash deposits of $25.0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Cash used in Financing Activities:</w:t>
      </w:r>
    </w:p>
    <w:p>
      <w:pPr>
        <w:spacing w:after="0" w:line="239" w:lineRule="exact"/>
        <w:rPr>
          <w:sz w:val="20"/>
          <w:szCs w:val="20"/>
          <w:color w:val="auto"/>
        </w:rPr>
      </w:pPr>
    </w:p>
    <w:p>
      <w:pPr>
        <w:ind w:firstLine="324"/>
        <w:spacing w:after="0" w:line="275" w:lineRule="auto"/>
        <w:rPr>
          <w:sz w:val="20"/>
          <w:szCs w:val="20"/>
          <w:color w:val="auto"/>
        </w:rPr>
      </w:pPr>
      <w:r>
        <w:rPr>
          <w:rFonts w:ascii="Times New Roman" w:cs="Times New Roman" w:eastAsia="Times New Roman" w:hAnsi="Times New Roman"/>
          <w:sz w:val="16"/>
          <w:szCs w:val="16"/>
          <w:color w:val="auto"/>
        </w:rPr>
        <w:t>Net cash used in financing activities increased by $67.0 million, from $152.7 million in the nine-month period ended September 30, 2021, to $219.7 million in the nine-month period ended September 30, 2022. The increase of $67.0 million is attributable to an increase of $27.5 million in bank loan repayments, an increase of $26.4 million in cash used for repurchases of preference units, a decrease in proceeds from issuance of common and general partner units of $10.2 million and an increase of $7.5 million in lease payments (principal elements), partially offset by a decrease of $2.9 million in interest paid and a decrease of $1.7 million in paid distributions.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Contracted Charter Revenues</w:t>
      </w: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following table summarizes GasLog Partners’ contracted charter revenues and vessel utilization for the periods ending December 31, 2022 and 2023:</w:t>
      </w:r>
    </w:p>
    <w:p>
      <w:pPr>
        <w:spacing w:after="0" w:line="233" w:lineRule="exact"/>
        <w:rPr>
          <w:sz w:val="20"/>
          <w:szCs w:val="20"/>
          <w:color w:val="auto"/>
        </w:rPr>
      </w:pPr>
    </w:p>
    <w:tbl>
      <w:tblPr>
        <w:tblLayout w:type="fixed"/>
        <w:tblInd w:w="860" w:type="dxa"/>
        <w:tblCellMar>
          <w:top w:w="0" w:type="dxa"/>
          <w:left w:w="0" w:type="dxa"/>
          <w:bottom w:w="0" w:type="dxa"/>
          <w:right w:w="0" w:type="dxa"/>
        </w:tblCellMar>
      </w:tblPr>
      <w:tr>
        <w:trPr>
          <w:trHeight w:val="203"/>
        </w:trPr>
        <w:tc>
          <w:tcPr>
            <w:tcW w:w="5840" w:type="dxa"/>
            <w:vAlign w:val="bottom"/>
            <w:vMerge w:val="restart"/>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(in millions of U.S. dollars, except days and percentages)</w:t>
            </w:r>
          </w:p>
        </w:tc>
        <w:tc>
          <w:tcPr>
            <w:tcW w:w="220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October – December</w:t>
            </w: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840" w:type="dxa"/>
            <w:vAlign w:val="bottom"/>
            <w:tcBorders>
              <w:bottom w:val="single" w:sz="8" w:color="E5FFFF"/>
            </w:tcBorders>
            <w:vMerge w:val="continue"/>
          </w:tcPr>
          <w:p>
            <w:pPr>
              <w:spacing w:after="0"/>
              <w:rPr>
                <w:sz w:val="18"/>
                <w:szCs w:val="18"/>
                <w:color w:val="auto"/>
              </w:rPr>
            </w:pPr>
          </w:p>
        </w:tc>
        <w:tc>
          <w:tcPr>
            <w:tcW w:w="22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5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0" w:type="dxa"/>
            <w:vAlign w:val="bottom"/>
          </w:tcPr>
          <w:p>
            <w:pPr>
              <w:spacing w:after="0"/>
              <w:rPr>
                <w:sz w:val="1"/>
                <w:szCs w:val="1"/>
                <w:color w:val="auto"/>
              </w:rPr>
            </w:pPr>
          </w:p>
        </w:tc>
      </w:tr>
      <w:tr>
        <w:trPr>
          <w:trHeight w:val="226"/>
        </w:trPr>
        <w:tc>
          <w:tcPr>
            <w:tcW w:w="5840" w:type="dxa"/>
            <w:vAlign w:val="bottom"/>
            <w:shd w:val="clear" w:color="auto" w:fill="E5FFFF"/>
          </w:tcPr>
          <w:p>
            <w:pPr>
              <w:ind w:left="80"/>
              <w:spacing w:after="0" w:line="226" w:lineRule="exact"/>
              <w:rPr>
                <w:sz w:val="20"/>
                <w:szCs w:val="20"/>
                <w:color w:val="auto"/>
              </w:rPr>
            </w:pPr>
            <w:r>
              <w:rPr>
                <w:rFonts w:ascii="Times New Roman" w:cs="Times New Roman" w:eastAsia="Times New Roman" w:hAnsi="Times New Roman"/>
                <w:sz w:val="16"/>
                <w:szCs w:val="16"/>
                <w:color w:val="auto"/>
              </w:rPr>
              <w:t>Contracted time charter revenues</w:t>
            </w:r>
            <w:r>
              <w:rPr>
                <w:rFonts w:ascii="Times New Roman" w:cs="Times New Roman" w:eastAsia="Times New Roman" w:hAnsi="Times New Roman"/>
                <w:sz w:val="26"/>
                <w:szCs w:val="26"/>
                <w:color w:val="auto"/>
                <w:vertAlign w:val="superscript"/>
              </w:rPr>
              <w:t>(1)(2)(3)(4)</w:t>
            </w:r>
          </w:p>
        </w:tc>
        <w:tc>
          <w:tcPr>
            <w:tcW w:w="2200" w:type="dxa"/>
            <w:vAlign w:val="bottom"/>
            <w:shd w:val="clear" w:color="auto" w:fill="E5FFFF"/>
          </w:tcPr>
          <w:p>
            <w:pPr>
              <w:jc w:val="center"/>
              <w:ind w:right="59"/>
              <w:spacing w:after="0"/>
              <w:rPr>
                <w:sz w:val="20"/>
                <w:szCs w:val="20"/>
                <w:color w:val="auto"/>
              </w:rPr>
            </w:pPr>
            <w:r>
              <w:rPr>
                <w:rFonts w:ascii="Times New Roman" w:cs="Times New Roman" w:eastAsia="Times New Roman" w:hAnsi="Times New Roman"/>
                <w:sz w:val="16"/>
                <w:szCs w:val="16"/>
                <w:color w:val="auto"/>
              </w:rPr>
              <w:t>$96.9</w:t>
            </w:r>
          </w:p>
        </w:tc>
        <w:tc>
          <w:tcPr>
            <w:tcW w:w="1500" w:type="dxa"/>
            <w:vAlign w:val="bottom"/>
            <w:shd w:val="clear" w:color="auto" w:fill="E5FFFF"/>
          </w:tcPr>
          <w:p>
            <w:pPr>
              <w:jc w:val="center"/>
              <w:ind w:right="59"/>
              <w:spacing w:after="0"/>
              <w:rPr>
                <w:sz w:val="20"/>
                <w:szCs w:val="20"/>
                <w:color w:val="auto"/>
              </w:rPr>
            </w:pPr>
            <w:r>
              <w:rPr>
                <w:rFonts w:ascii="Times New Roman" w:cs="Times New Roman" w:eastAsia="Times New Roman" w:hAnsi="Times New Roman"/>
                <w:sz w:val="16"/>
                <w:szCs w:val="16"/>
                <w:color w:val="auto"/>
                <w:w w:val="99"/>
              </w:rPr>
              <w:t>$270.6</w:t>
            </w:r>
          </w:p>
        </w:tc>
        <w:tc>
          <w:tcPr>
            <w:tcW w:w="0" w:type="dxa"/>
            <w:vAlign w:val="bottom"/>
          </w:tcPr>
          <w:p>
            <w:pPr>
              <w:spacing w:after="0"/>
              <w:rPr>
                <w:sz w:val="1"/>
                <w:szCs w:val="1"/>
                <w:color w:val="auto"/>
              </w:rPr>
            </w:pPr>
          </w:p>
        </w:tc>
      </w:tr>
      <w:tr>
        <w:trPr>
          <w:trHeight w:val="270"/>
        </w:trPr>
        <w:tc>
          <w:tcPr>
            <w:tcW w:w="5840" w:type="dxa"/>
            <w:vAlign w:val="bottom"/>
          </w:tcPr>
          <w:p>
            <w:pPr>
              <w:ind w:left="80"/>
              <w:spacing w:after="0" w:line="270" w:lineRule="exact"/>
              <w:rPr>
                <w:sz w:val="20"/>
                <w:szCs w:val="20"/>
                <w:color w:val="auto"/>
              </w:rPr>
            </w:pPr>
            <w:r>
              <w:rPr>
                <w:rFonts w:ascii="Times New Roman" w:cs="Times New Roman" w:eastAsia="Times New Roman" w:hAnsi="Times New Roman"/>
                <w:sz w:val="16"/>
                <w:szCs w:val="16"/>
                <w:color w:val="auto"/>
              </w:rPr>
              <w:t>Total contracted days</w:t>
            </w:r>
            <w:r>
              <w:rPr>
                <w:rFonts w:ascii="Times New Roman" w:cs="Times New Roman" w:eastAsia="Times New Roman" w:hAnsi="Times New Roman"/>
                <w:sz w:val="26"/>
                <w:szCs w:val="26"/>
                <w:color w:val="auto"/>
                <w:vertAlign w:val="superscript"/>
              </w:rPr>
              <w:t>(1)(2)</w:t>
            </w:r>
          </w:p>
        </w:tc>
        <w:tc>
          <w:tcPr>
            <w:tcW w:w="220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1,257</w:t>
            </w:r>
          </w:p>
        </w:tc>
        <w:tc>
          <w:tcPr>
            <w:tcW w:w="150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9"/>
              </w:rPr>
              <w:t>3,451</w:t>
            </w:r>
          </w:p>
        </w:tc>
        <w:tc>
          <w:tcPr>
            <w:tcW w:w="0" w:type="dxa"/>
            <w:vAlign w:val="bottom"/>
          </w:tcPr>
          <w:p>
            <w:pPr>
              <w:spacing w:after="0"/>
              <w:rPr>
                <w:sz w:val="1"/>
                <w:szCs w:val="1"/>
                <w:color w:val="auto"/>
              </w:rPr>
            </w:pPr>
          </w:p>
        </w:tc>
      </w:tr>
      <w:tr>
        <w:trPr>
          <w:trHeight w:val="243"/>
        </w:trPr>
        <w:tc>
          <w:tcPr>
            <w:tcW w:w="5840" w:type="dxa"/>
            <w:vAlign w:val="bottom"/>
            <w:shd w:val="clear" w:color="auto" w:fill="E5FFFF"/>
          </w:tcPr>
          <w:p>
            <w:pPr>
              <w:ind w:left="80"/>
              <w:spacing w:after="0" w:line="243" w:lineRule="exact"/>
              <w:rPr>
                <w:sz w:val="20"/>
                <w:szCs w:val="20"/>
                <w:color w:val="auto"/>
              </w:rPr>
            </w:pPr>
            <w:r>
              <w:rPr>
                <w:rFonts w:ascii="Times New Roman" w:cs="Times New Roman" w:eastAsia="Times New Roman" w:hAnsi="Times New Roman"/>
                <w:sz w:val="16"/>
                <w:szCs w:val="16"/>
                <w:color w:val="auto"/>
              </w:rPr>
              <w:t>Total available days</w:t>
            </w:r>
            <w:r>
              <w:rPr>
                <w:rFonts w:ascii="Times New Roman" w:cs="Times New Roman" w:eastAsia="Times New Roman" w:hAnsi="Times New Roman"/>
                <w:sz w:val="26"/>
                <w:szCs w:val="26"/>
                <w:color w:val="auto"/>
                <w:vertAlign w:val="superscript"/>
              </w:rPr>
              <w:t>(5)</w:t>
            </w:r>
          </w:p>
        </w:tc>
        <w:tc>
          <w:tcPr>
            <w:tcW w:w="2200" w:type="dxa"/>
            <w:vAlign w:val="bottom"/>
            <w:shd w:val="clear" w:color="auto" w:fill="E5FFFF"/>
          </w:tcPr>
          <w:p>
            <w:pPr>
              <w:jc w:val="center"/>
              <w:ind w:right="59"/>
              <w:spacing w:after="0"/>
              <w:rPr>
                <w:sz w:val="20"/>
                <w:szCs w:val="20"/>
                <w:color w:val="auto"/>
              </w:rPr>
            </w:pPr>
            <w:r>
              <w:rPr>
                <w:rFonts w:ascii="Times New Roman" w:cs="Times New Roman" w:eastAsia="Times New Roman" w:hAnsi="Times New Roman"/>
                <w:sz w:val="16"/>
                <w:szCs w:val="16"/>
                <w:color w:val="auto"/>
              </w:rPr>
              <w:t>1,288</w:t>
            </w:r>
          </w:p>
        </w:tc>
        <w:tc>
          <w:tcPr>
            <w:tcW w:w="1500" w:type="dxa"/>
            <w:vAlign w:val="bottom"/>
            <w:shd w:val="clear" w:color="auto" w:fill="E5FFFF"/>
          </w:tcPr>
          <w:p>
            <w:pPr>
              <w:jc w:val="center"/>
              <w:ind w:right="59"/>
              <w:spacing w:after="0"/>
              <w:rPr>
                <w:sz w:val="20"/>
                <w:szCs w:val="20"/>
                <w:color w:val="auto"/>
              </w:rPr>
            </w:pPr>
            <w:r>
              <w:rPr>
                <w:rFonts w:ascii="Times New Roman" w:cs="Times New Roman" w:eastAsia="Times New Roman" w:hAnsi="Times New Roman"/>
                <w:sz w:val="16"/>
                <w:szCs w:val="16"/>
                <w:color w:val="auto"/>
                <w:w w:val="99"/>
              </w:rPr>
              <w:t>4,990</w:t>
            </w:r>
          </w:p>
        </w:tc>
        <w:tc>
          <w:tcPr>
            <w:tcW w:w="0" w:type="dxa"/>
            <w:vAlign w:val="bottom"/>
          </w:tcPr>
          <w:p>
            <w:pPr>
              <w:spacing w:after="0"/>
              <w:rPr>
                <w:sz w:val="1"/>
                <w:szCs w:val="1"/>
                <w:color w:val="auto"/>
              </w:rPr>
            </w:pPr>
          </w:p>
        </w:tc>
      </w:tr>
      <w:tr>
        <w:trPr>
          <w:trHeight w:val="243"/>
        </w:trPr>
        <w:tc>
          <w:tcPr>
            <w:tcW w:w="5840" w:type="dxa"/>
            <w:vAlign w:val="bottom"/>
          </w:tcPr>
          <w:p>
            <w:pPr>
              <w:ind w:left="80"/>
              <w:spacing w:after="0" w:line="243" w:lineRule="exact"/>
              <w:rPr>
                <w:sz w:val="20"/>
                <w:szCs w:val="20"/>
                <w:color w:val="auto"/>
              </w:rPr>
            </w:pPr>
            <w:r>
              <w:rPr>
                <w:rFonts w:ascii="Times New Roman" w:cs="Times New Roman" w:eastAsia="Times New Roman" w:hAnsi="Times New Roman"/>
                <w:sz w:val="16"/>
                <w:szCs w:val="16"/>
                <w:color w:val="auto"/>
              </w:rPr>
              <w:t>Total unfixed days</w:t>
            </w:r>
            <w:r>
              <w:rPr>
                <w:rFonts w:ascii="Times New Roman" w:cs="Times New Roman" w:eastAsia="Times New Roman" w:hAnsi="Times New Roman"/>
                <w:sz w:val="26"/>
                <w:szCs w:val="26"/>
                <w:color w:val="auto"/>
                <w:vertAlign w:val="superscript"/>
              </w:rPr>
              <w:t>(6)</w:t>
            </w:r>
          </w:p>
        </w:tc>
        <w:tc>
          <w:tcPr>
            <w:tcW w:w="220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31</w:t>
            </w:r>
          </w:p>
        </w:tc>
        <w:tc>
          <w:tcPr>
            <w:tcW w:w="150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9"/>
              </w:rPr>
              <w:t>1,539</w:t>
            </w:r>
          </w:p>
        </w:tc>
        <w:tc>
          <w:tcPr>
            <w:tcW w:w="0" w:type="dxa"/>
            <w:vAlign w:val="bottom"/>
          </w:tcPr>
          <w:p>
            <w:pPr>
              <w:spacing w:after="0"/>
              <w:rPr>
                <w:sz w:val="1"/>
                <w:szCs w:val="1"/>
                <w:color w:val="auto"/>
              </w:rPr>
            </w:pPr>
          </w:p>
        </w:tc>
      </w:tr>
      <w:tr>
        <w:trPr>
          <w:trHeight w:val="203"/>
        </w:trPr>
        <w:tc>
          <w:tcPr>
            <w:tcW w:w="5840" w:type="dxa"/>
            <w:vAlign w:val="bottom"/>
            <w:shd w:val="clear" w:color="auto" w:fill="E5FFFF"/>
          </w:tcPr>
          <w:p>
            <w:pPr>
              <w:ind w:left="80"/>
              <w:spacing w:after="0"/>
              <w:rPr>
                <w:sz w:val="20"/>
                <w:szCs w:val="20"/>
                <w:color w:val="auto"/>
              </w:rPr>
            </w:pPr>
            <w:r>
              <w:rPr>
                <w:rFonts w:ascii="Times New Roman" w:cs="Times New Roman" w:eastAsia="Times New Roman" w:hAnsi="Times New Roman"/>
                <w:sz w:val="16"/>
                <w:szCs w:val="16"/>
                <w:color w:val="auto"/>
              </w:rPr>
              <w:t>Percentage of total contracted days/ total available days</w:t>
            </w:r>
          </w:p>
        </w:tc>
        <w:tc>
          <w:tcPr>
            <w:tcW w:w="2200" w:type="dxa"/>
            <w:vAlign w:val="bottom"/>
            <w:shd w:val="clear" w:color="auto" w:fill="E5FFFF"/>
          </w:tcPr>
          <w:p>
            <w:pPr>
              <w:jc w:val="center"/>
              <w:ind w:right="59"/>
              <w:spacing w:after="0"/>
              <w:rPr>
                <w:sz w:val="20"/>
                <w:szCs w:val="20"/>
                <w:color w:val="auto"/>
              </w:rPr>
            </w:pPr>
            <w:r>
              <w:rPr>
                <w:rFonts w:ascii="Times New Roman" w:cs="Times New Roman" w:eastAsia="Times New Roman" w:hAnsi="Times New Roman"/>
                <w:sz w:val="16"/>
                <w:szCs w:val="16"/>
                <w:color w:val="auto"/>
              </w:rPr>
              <w:t>97.6%</w:t>
            </w:r>
          </w:p>
        </w:tc>
        <w:tc>
          <w:tcPr>
            <w:tcW w:w="1500" w:type="dxa"/>
            <w:vAlign w:val="bottom"/>
            <w:shd w:val="clear" w:color="auto" w:fill="E5FFFF"/>
          </w:tcPr>
          <w:p>
            <w:pPr>
              <w:jc w:val="center"/>
              <w:ind w:right="39"/>
              <w:spacing w:after="0"/>
              <w:rPr>
                <w:sz w:val="20"/>
                <w:szCs w:val="20"/>
                <w:color w:val="auto"/>
              </w:rPr>
            </w:pPr>
            <w:r>
              <w:rPr>
                <w:rFonts w:ascii="Times New Roman" w:cs="Times New Roman" w:eastAsia="Times New Roman" w:hAnsi="Times New Roman"/>
                <w:sz w:val="16"/>
                <w:szCs w:val="16"/>
                <w:color w:val="auto"/>
              </w:rPr>
              <w:t>69.2%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280"/>
        <w:spacing w:after="0" w:line="298" w:lineRule="auto"/>
        <w:rPr>
          <w:sz w:val="20"/>
          <w:szCs w:val="20"/>
          <w:color w:val="auto"/>
        </w:rPr>
      </w:pPr>
      <w:r>
        <w:rPr>
          <w:rFonts w:ascii="Times New Roman" w:cs="Times New Roman" w:eastAsia="Times New Roman" w:hAnsi="Times New Roman"/>
          <w:sz w:val="16"/>
          <w:szCs w:val="16"/>
          <w:color w:val="auto"/>
        </w:rPr>
        <w:t>After giving effect to the charter parties signed from October 1, 2022 until October 27, 2022, contracted time charter revenues increased to $299.4 million for 2023, while the percentage of total contracted days to total available days for 2023 increased to 75.9%.</w:t>
      </w:r>
    </w:p>
    <w:p>
      <w:pPr>
        <w:spacing w:after="0" w:line="169"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Contracted days are calculated taking into account the firm period charter expiration and expected market conditions as of September 30, 2022.</w:t>
      </w:r>
    </w:p>
    <w:p>
      <w:pPr>
        <w:spacing w:after="0" w:line="17" w:lineRule="exact"/>
        <w:rPr>
          <w:rFonts w:ascii="Times New Roman" w:cs="Times New Roman" w:eastAsia="Times New Roman" w:hAnsi="Times New Roman"/>
          <w:sz w:val="12"/>
          <w:szCs w:val="12"/>
          <w:color w:val="auto"/>
        </w:rPr>
      </w:pPr>
    </w:p>
    <w:p>
      <w:pPr>
        <w:ind w:left="340" w:right="100" w:hanging="332"/>
        <w:spacing w:after="0" w:line="221" w:lineRule="auto"/>
        <w:tabs>
          <w:tab w:leader="none" w:pos="34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Our ships are scheduled to undergo dry-docking once every five years. Revenue calculations assume 365 revenue days per ship per annum, with 30 off-hire days when each ship undergoes scheduled dry-docking.</w:t>
      </w:r>
    </w:p>
    <w:p>
      <w:pPr>
        <w:ind w:left="340" w:right="200" w:hanging="332"/>
        <w:spacing w:after="0" w:line="239" w:lineRule="auto"/>
        <w:tabs>
          <w:tab w:leader="none" w:pos="34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For time charters that include a variable rate of hire within an agreed range during the charter period, revenue calculations are based on the agreed minimum rate of hire for the respective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-498475</wp:posOffset>
            </wp:positionV>
            <wp:extent cx="5657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20" w:name="page21"/>
    <w:bookmarkEnd w:id="20"/>
    <w:p>
      <w:pPr>
        <w:ind w:left="340" w:hanging="332"/>
        <w:spacing w:after="0"/>
        <w:tabs>
          <w:tab w:leader="none" w:pos="34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Revenue calculations assume no exercise of any option to extend the terms of the charters.</w:t>
      </w:r>
    </w:p>
    <w:p>
      <w:pPr>
        <w:spacing w:after="0" w:line="17" w:lineRule="exact"/>
        <w:rPr>
          <w:rFonts w:ascii="Times New Roman" w:cs="Times New Roman" w:eastAsia="Times New Roman" w:hAnsi="Times New Roman"/>
          <w:sz w:val="12"/>
          <w:szCs w:val="12"/>
          <w:color w:val="auto"/>
        </w:rPr>
      </w:pPr>
    </w:p>
    <w:p>
      <w:pPr>
        <w:ind w:left="340" w:hanging="332"/>
        <w:spacing w:after="0"/>
        <w:tabs>
          <w:tab w:leader="none" w:pos="34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Available days represent total calendar days after deducting 30 off-hire days when the ship undergoes scheduled dry-docking.</w:t>
      </w:r>
    </w:p>
    <w:p>
      <w:pPr>
        <w:spacing w:after="0" w:line="1" w:lineRule="exact"/>
        <w:rPr>
          <w:rFonts w:ascii="Times New Roman" w:cs="Times New Roman" w:eastAsia="Times New Roman" w:hAnsi="Times New Roman"/>
          <w:sz w:val="12"/>
          <w:szCs w:val="12"/>
          <w:color w:val="auto"/>
        </w:rPr>
      </w:pPr>
    </w:p>
    <w:p>
      <w:pPr>
        <w:ind w:left="340" w:hanging="332"/>
        <w:spacing w:after="0"/>
        <w:tabs>
          <w:tab w:leader="none" w:pos="34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Represents available days for the ships after the expiration of the existing charters (assuming charterers do not exercise any option to extend the terms of the charters).</w:t>
      </w:r>
    </w:p>
    <w:p>
      <w:pPr>
        <w:spacing w:after="0" w:line="210"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6"/>
          <w:szCs w:val="16"/>
          <w:color w:val="auto"/>
        </w:rPr>
        <w:t>The table above provides information about our contracted charter revenues and ship utilization based on contracts in effect for the 14 LNG carriers in our fleet as of September 30, 2022 and through December 31, 2023 (including one vessel sold and leased back under a bareboat charter in October 2021). The table reflects only our contracted charter revenues for the ships in our owned and bareboat fleet for which we have secured time charters, and it does not reflect the costs or expenses we will incur in fulfilling our obligations under the charters. In particular, the table does not reflect time charter revenues from any additional ships we may acquire in the future, nor does it reflect the options under our time charters that permit our charterers to extend the time charter terms for successive multi-year periods at comparable charter hire rates. If exercised, the options to extend the terms of our existing charters would result in an increase in the number of contracted days and the contracted revenue for our fleet in the future. Although the contracted charter revenues are based on contracted charter hire rate provisions, they reflect certain assumptions, including assumptions relating to future ship operating costs. We consider the assumptions to be reasonable as of the date of this report, but if these assumptions prove to be incorrect, our actual time charter revenues could differ from those reflected in the table. Furthermore, any contract is subject to various risks, including non-performance by the counterparties or an early termination of the contract pursuant to its terms. If the charterers are unable or unwilling to make charter payments to us, or if we agree to renegotiate charter terms at the request of a charterer or if contracts are prematurely terminated for any reason, we would be exposed to prevailing market conditions at the time and our results of operations and financial condition may be materially adversely affected. Please see the disclosure under the heading “Risk Factors” in our Annual Report on Form 20-F filed with the SEC on March 1, 2022. For these reasons, the contracted charter revenue information presented above is not fact and should not be relied upon as being necessarily indicative of future results and readers are cautioned not to place undue reliance on this information. Neither the Partnership’s independent auditors nor any other independent accountants, have compiled, examined or performed any procedures with respect to the information presented in the table, nor have they expressed any opinion or any other form of assurance on such information or its achievability, and assume no responsibility for, and disclaim any association with, the information in the table.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12"/>
        </w:trPr>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w w:val="99"/>
              </w:rPr>
              <w:t>Exhibit 99.3</w:t>
            </w:r>
          </w:p>
        </w:tc>
      </w:tr>
      <w:tr>
        <w:trPr>
          <w:trHeight w:val="418"/>
        </w:trPr>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5900" w:type="dxa"/>
            <w:vAlign w:val="bottom"/>
            <w:gridSpan w:val="5"/>
          </w:tcPr>
          <w:p>
            <w:pPr>
              <w:ind w:left="320"/>
              <w:spacing w:after="0"/>
              <w:rPr>
                <w:sz w:val="20"/>
                <w:szCs w:val="20"/>
                <w:color w:val="auto"/>
              </w:rPr>
            </w:pPr>
            <w:r>
              <w:rPr>
                <w:rFonts w:ascii="Times New Roman" w:cs="Times New Roman" w:eastAsia="Times New Roman" w:hAnsi="Times New Roman"/>
                <w:sz w:val="16"/>
                <w:szCs w:val="16"/>
                <w:b w:val="1"/>
                <w:bCs w:val="1"/>
                <w:color w:val="auto"/>
              </w:rPr>
              <w:t>GASLOG PARTNERS LP</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760" w:type="dxa"/>
            <w:vAlign w:val="bottom"/>
            <w:gridSpan w:val="6"/>
          </w:tcPr>
          <w:p>
            <w:pPr>
              <w:ind w:left="2760"/>
              <w:spacing w:after="0"/>
              <w:rPr>
                <w:sz w:val="20"/>
                <w:szCs w:val="20"/>
                <w:color w:val="auto"/>
              </w:rPr>
            </w:pPr>
            <w:r>
              <w:rPr>
                <w:rFonts w:ascii="Times New Roman" w:cs="Times New Roman" w:eastAsia="Times New Roman" w:hAnsi="Times New Roman"/>
                <w:sz w:val="16"/>
                <w:szCs w:val="16"/>
                <w:b w:val="1"/>
                <w:bCs w:val="1"/>
                <w:color w:val="auto"/>
              </w:rPr>
              <w:t>INDEX TO UNAUDITED CONDENSED CONSOLIDATED FINANCIAL STATEMENTS</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3"/>
          </w:tcPr>
          <w:p>
            <w:pPr>
              <w:ind w:left="46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181"/>
        </w:trPr>
        <w:tc>
          <w:tcPr>
            <w:tcW w:w="7620" w:type="dxa"/>
            <w:vAlign w:val="bottom"/>
            <w:tcBorders>
              <w:bottom w:val="single" w:sz="8" w:color="0000EE"/>
            </w:tcBorders>
            <w:gridSpan w:val="5"/>
          </w:tcPr>
          <w:p>
            <w:pPr>
              <w:spacing w:after="0" w:line="181" w:lineRule="exact"/>
              <w:rPr>
                <w:sz w:val="20"/>
                <w:szCs w:val="20"/>
                <w:color w:val="auto"/>
              </w:rPr>
            </w:pPr>
            <w:r>
              <w:rPr>
                <w:rFonts w:ascii="Times New Roman" w:cs="Times New Roman" w:eastAsia="Times New Roman" w:hAnsi="Times New Roman"/>
                <w:sz w:val="16"/>
                <w:szCs w:val="16"/>
                <w:color w:val="0000EE"/>
              </w:rPr>
              <w:t>Unaudited condensed consolidated statements of financial position as of December 31, 2021 and September 30, 2022</w:t>
            </w:r>
          </w:p>
        </w:tc>
        <w:tc>
          <w:tcPr>
            <w:tcW w:w="2660" w:type="dxa"/>
            <w:vAlign w:val="bottom"/>
            <w:gridSpan w:val="3"/>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Borders>
              <w:bottom w:val="single" w:sz="8" w:color="0000EE"/>
            </w:tcBorders>
          </w:tcPr>
          <w:p>
            <w:pPr>
              <w:spacing w:after="0" w:line="181" w:lineRule="exact"/>
              <w:rPr>
                <w:sz w:val="20"/>
                <w:szCs w:val="20"/>
                <w:color w:val="auto"/>
              </w:rPr>
            </w:pPr>
            <w:r>
              <w:rPr>
                <w:rFonts w:ascii="Times New Roman" w:cs="Times New Roman" w:eastAsia="Times New Roman" w:hAnsi="Times New Roman"/>
                <w:sz w:val="16"/>
                <w:szCs w:val="16"/>
                <w:color w:val="0000EE"/>
                <w:w w:val="98"/>
              </w:rPr>
              <w:t>F-2</w:t>
            </w:r>
          </w:p>
        </w:tc>
        <w:tc>
          <w:tcPr>
            <w:tcW w:w="100" w:type="dxa"/>
            <w:vAlign w:val="bottom"/>
          </w:tcPr>
          <w:p>
            <w:pPr>
              <w:spacing w:after="0"/>
              <w:rPr>
                <w:sz w:val="15"/>
                <w:szCs w:val="15"/>
                <w:color w:val="auto"/>
              </w:rPr>
            </w:pPr>
          </w:p>
        </w:tc>
      </w:tr>
      <w:tr>
        <w:trPr>
          <w:trHeight w:val="183"/>
        </w:trPr>
        <w:tc>
          <w:tcPr>
            <w:tcW w:w="10280" w:type="dxa"/>
            <w:vAlign w:val="bottom"/>
            <w:gridSpan w:val="8"/>
          </w:tcPr>
          <w:p>
            <w:pPr>
              <w:spacing w:after="0" w:line="183" w:lineRule="exact"/>
              <w:rPr>
                <w:sz w:val="20"/>
                <w:szCs w:val="20"/>
                <w:color w:val="auto"/>
              </w:rPr>
            </w:pPr>
            <w:r>
              <w:rPr>
                <w:rFonts w:ascii="Times New Roman" w:cs="Times New Roman" w:eastAsia="Times New Roman" w:hAnsi="Times New Roman"/>
                <w:sz w:val="16"/>
                <w:szCs w:val="16"/>
                <w:color w:val="0000EE"/>
              </w:rPr>
              <w:t>Unaudited condensed consolidated statements of profit or loss and total comprehensive income for the three and nine months ended September 30, 2021 and</w:t>
            </w: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200" w:type="dxa"/>
            <w:vAlign w:val="bottom"/>
            <w:tcBorders>
              <w:top w:val="single" w:sz="8" w:color="0000EE"/>
            </w:tcBorders>
          </w:tcPr>
          <w:p>
            <w:pPr>
              <w:spacing w:after="0"/>
              <w:rPr>
                <w:sz w:val="15"/>
                <w:szCs w:val="15"/>
                <w:color w:val="auto"/>
              </w:rPr>
            </w:pPr>
          </w:p>
        </w:tc>
        <w:tc>
          <w:tcPr>
            <w:tcW w:w="320" w:type="dxa"/>
            <w:vAlign w:val="bottom"/>
            <w:tcBorders>
              <w:top w:val="single" w:sz="8" w:color="0000EE"/>
              <w:bottom w:val="single" w:sz="8" w:color="0000EE"/>
            </w:tcBorders>
          </w:tcPr>
          <w:p>
            <w:pPr>
              <w:jc w:val="right"/>
              <w:spacing w:after="0" w:line="183" w:lineRule="exact"/>
              <w:rPr>
                <w:sz w:val="20"/>
                <w:szCs w:val="20"/>
                <w:color w:val="auto"/>
              </w:rPr>
            </w:pPr>
            <w:r>
              <w:rPr>
                <w:rFonts w:ascii="Times New Roman" w:cs="Times New Roman" w:eastAsia="Times New Roman" w:hAnsi="Times New Roman"/>
                <w:sz w:val="16"/>
                <w:szCs w:val="16"/>
                <w:color w:val="0000EE"/>
                <w:w w:val="93"/>
              </w:rPr>
              <w:t>2022</w:t>
            </w:r>
          </w:p>
        </w:tc>
        <w:tc>
          <w:tcPr>
            <w:tcW w:w="3860" w:type="dxa"/>
            <w:vAlign w:val="bottom"/>
            <w:tcBorders>
              <w:top w:val="single" w:sz="8" w:color="0000EE"/>
            </w:tcBorders>
          </w:tcPr>
          <w:p>
            <w:pPr>
              <w:spacing w:after="0"/>
              <w:rPr>
                <w:sz w:val="15"/>
                <w:szCs w:val="15"/>
                <w:color w:val="auto"/>
              </w:rPr>
            </w:pPr>
          </w:p>
        </w:tc>
        <w:tc>
          <w:tcPr>
            <w:tcW w:w="32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040" w:type="dxa"/>
            <w:vAlign w:val="bottom"/>
            <w:tcBorders>
              <w:top w:val="single" w:sz="8" w:color="0000EE"/>
            </w:tcBorders>
          </w:tcPr>
          <w:p>
            <w:pPr>
              <w:spacing w:after="0"/>
              <w:rPr>
                <w:sz w:val="15"/>
                <w:szCs w:val="15"/>
                <w:color w:val="auto"/>
              </w:rPr>
            </w:pPr>
          </w:p>
        </w:tc>
        <w:tc>
          <w:tcPr>
            <w:tcW w:w="1500" w:type="dxa"/>
            <w:vAlign w:val="bottom"/>
            <w:tcBorders>
              <w:top w:val="single" w:sz="8" w:color="0000EE"/>
            </w:tcBorders>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Borders>
              <w:bottom w:val="single" w:sz="8" w:color="0000EE"/>
            </w:tcBorders>
          </w:tcPr>
          <w:p>
            <w:pPr>
              <w:spacing w:after="0" w:line="183" w:lineRule="exact"/>
              <w:rPr>
                <w:sz w:val="20"/>
                <w:szCs w:val="20"/>
                <w:color w:val="auto"/>
              </w:rPr>
            </w:pPr>
            <w:r>
              <w:rPr>
                <w:rFonts w:ascii="Times New Roman" w:cs="Times New Roman" w:eastAsia="Times New Roman" w:hAnsi="Times New Roman"/>
                <w:sz w:val="16"/>
                <w:szCs w:val="16"/>
                <w:color w:val="0000EE"/>
                <w:w w:val="98"/>
              </w:rPr>
              <w:t>F-3</w:t>
            </w:r>
          </w:p>
        </w:tc>
        <w:tc>
          <w:tcPr>
            <w:tcW w:w="100" w:type="dxa"/>
            <w:vAlign w:val="bottom"/>
          </w:tcPr>
          <w:p>
            <w:pPr>
              <w:spacing w:after="0"/>
              <w:rPr>
                <w:sz w:val="15"/>
                <w:szCs w:val="15"/>
                <w:color w:val="auto"/>
              </w:rPr>
            </w:pPr>
          </w:p>
        </w:tc>
      </w:tr>
      <w:tr>
        <w:trPr>
          <w:trHeight w:val="196"/>
        </w:trPr>
        <w:tc>
          <w:tcPr>
            <w:tcW w:w="10280" w:type="dxa"/>
            <w:vAlign w:val="bottom"/>
            <w:gridSpan w:val="8"/>
          </w:tcPr>
          <w:p>
            <w:pPr>
              <w:spacing w:after="0"/>
              <w:rPr>
                <w:sz w:val="20"/>
                <w:szCs w:val="20"/>
                <w:color w:val="auto"/>
              </w:rPr>
            </w:pPr>
            <w:r>
              <w:rPr>
                <w:rFonts w:ascii="Times New Roman" w:cs="Times New Roman" w:eastAsia="Times New Roman" w:hAnsi="Times New Roman"/>
                <w:sz w:val="16"/>
                <w:szCs w:val="16"/>
                <w:color w:val="0000EE"/>
              </w:rPr>
              <w:t>Unaudited condensed consolidated statements of changes in partners’ equity for the nine months ended September 30, 2021 and 2022</w:t>
            </w:r>
          </w:p>
        </w:tc>
        <w:tc>
          <w:tcPr>
            <w:tcW w:w="620" w:type="dxa"/>
            <w:vAlign w:val="bottom"/>
          </w:tcPr>
          <w:p>
            <w:pPr>
              <w:spacing w:after="0"/>
              <w:rPr>
                <w:sz w:val="17"/>
                <w:szCs w:val="17"/>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6"/>
                <w:szCs w:val="16"/>
                <w:color w:val="0000EE"/>
              </w:rPr>
              <w:t>F-4</w:t>
            </w:r>
          </w:p>
        </w:tc>
      </w:tr>
      <w:tr>
        <w:trPr>
          <w:trHeight w:val="196"/>
        </w:trPr>
        <w:tc>
          <w:tcPr>
            <w:tcW w:w="866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6"/>
                <w:szCs w:val="16"/>
                <w:color w:val="0000EE"/>
              </w:rPr>
              <w:t>Unaudited condensed consolidated statements of cash flows for the nine months ended September 30, 2021 and 2022</w:t>
            </w:r>
          </w:p>
        </w:tc>
        <w:tc>
          <w:tcPr>
            <w:tcW w:w="1620" w:type="dxa"/>
            <w:vAlign w:val="bottom"/>
            <w:gridSpan w:val="2"/>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6"/>
                <w:szCs w:val="16"/>
                <w:color w:val="0000EE"/>
                <w:w w:val="98"/>
              </w:rPr>
              <w:t>F-5</w:t>
            </w:r>
          </w:p>
        </w:tc>
        <w:tc>
          <w:tcPr>
            <w:tcW w:w="100" w:type="dxa"/>
            <w:vAlign w:val="bottom"/>
          </w:tcPr>
          <w:p>
            <w:pPr>
              <w:spacing w:after="0"/>
              <w:rPr>
                <w:sz w:val="17"/>
                <w:szCs w:val="17"/>
                <w:color w:val="auto"/>
              </w:rPr>
            </w:pPr>
          </w:p>
        </w:tc>
      </w:tr>
      <w:tr>
        <w:trPr>
          <w:trHeight w:val="196"/>
        </w:trPr>
        <w:tc>
          <w:tcPr>
            <w:tcW w:w="760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6"/>
                <w:szCs w:val="16"/>
                <w:color w:val="0000EE"/>
              </w:rPr>
              <w:t>Notes to the unaudited condensed consolidated financial statements</w:t>
            </w:r>
          </w:p>
        </w:tc>
        <w:tc>
          <w:tcPr>
            <w:tcW w:w="2680" w:type="dxa"/>
            <w:vAlign w:val="bottom"/>
            <w:gridSpan w:val="4"/>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6"/>
                <w:szCs w:val="16"/>
                <w:color w:val="0000EE"/>
                <w:w w:val="98"/>
              </w:rPr>
              <w:t>F-6</w:t>
            </w:r>
          </w:p>
        </w:tc>
        <w:tc>
          <w:tcPr>
            <w:tcW w:w="100" w:type="dxa"/>
            <w:vAlign w:val="bottom"/>
          </w:tcPr>
          <w:p>
            <w:pPr>
              <w:spacing w:after="0"/>
              <w:rPr>
                <w:sz w:val="17"/>
                <w:szCs w:val="17"/>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60" w:type="dxa"/>
            <w:vAlign w:val="bottom"/>
            <w:shd w:val="clear" w:color="auto" w:fill="0000EE"/>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12"/>
        </w:trPr>
        <w:tc>
          <w:tcPr>
            <w:tcW w:w="7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GasLog Partners LP</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7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financial position</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 of December 31, 2021 and September 30, 2022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(All amounts expressed in thousands of U.S. Dollars, except unit data)</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7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3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5"/>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Note</w:t>
            </w:r>
          </w:p>
        </w:tc>
        <w:tc>
          <w:tcPr>
            <w:tcW w:w="13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134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12"/>
        </w:trPr>
        <w:tc>
          <w:tcPr>
            <w:tcW w:w="7880" w:type="dxa"/>
            <w:vAlign w:val="bottom"/>
            <w:tcBorders>
              <w:top w:val="single" w:sz="8" w:color="E9FFFF"/>
            </w:tcBorders>
            <w:shd w:val="clear" w:color="auto" w:fill="E9FF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tcBorders>
              <w:top w:val="single" w:sz="8" w:color="E5FFFF"/>
            </w:tcBorders>
            <w:shd w:val="clear" w:color="auto" w:fill="E5FFFF"/>
          </w:tcPr>
          <w:p>
            <w:pPr>
              <w:spacing w:after="0"/>
              <w:rPr>
                <w:sz w:val="18"/>
                <w:szCs w:val="18"/>
                <w:color w:val="auto"/>
              </w:rPr>
            </w:pPr>
          </w:p>
        </w:tc>
        <w:tc>
          <w:tcPr>
            <w:tcW w:w="340" w:type="dxa"/>
            <w:vAlign w:val="bottom"/>
            <w:tcBorders>
              <w:top w:val="single" w:sz="8" w:color="auto"/>
            </w:tcBorders>
            <w:shd w:val="clear" w:color="auto" w:fill="E5FFFF"/>
          </w:tcPr>
          <w:p>
            <w:pPr>
              <w:spacing w:after="0"/>
              <w:rPr>
                <w:sz w:val="18"/>
                <w:szCs w:val="18"/>
                <w:color w:val="auto"/>
              </w:rPr>
            </w:pPr>
          </w:p>
        </w:tc>
        <w:tc>
          <w:tcPr>
            <w:tcW w:w="120" w:type="dxa"/>
            <w:vAlign w:val="bottom"/>
            <w:tcBorders>
              <w:top w:val="single" w:sz="8" w:color="E5FFFF"/>
            </w:tcBorders>
            <w:shd w:val="clear" w:color="auto" w:fill="E5FFFF"/>
          </w:tcPr>
          <w:p>
            <w:pPr>
              <w:spacing w:after="0"/>
              <w:rPr>
                <w:sz w:val="18"/>
                <w:szCs w:val="18"/>
                <w:color w:val="auto"/>
              </w:rPr>
            </w:pPr>
          </w:p>
        </w:tc>
        <w:tc>
          <w:tcPr>
            <w:tcW w:w="134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E5FFFF"/>
            </w:tcBorders>
            <w:shd w:val="clear" w:color="auto" w:fill="E5FFFF"/>
          </w:tcPr>
          <w:p>
            <w:pPr>
              <w:spacing w:after="0"/>
              <w:rPr>
                <w:sz w:val="18"/>
                <w:szCs w:val="18"/>
                <w:color w:val="auto"/>
              </w:rPr>
            </w:pPr>
          </w:p>
        </w:tc>
        <w:tc>
          <w:tcPr>
            <w:tcW w:w="1340" w:type="dxa"/>
            <w:vAlign w:val="bottom"/>
            <w:tcBorders>
              <w:top w:val="single" w:sz="8" w:color="auto"/>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8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120" w:type="dxa"/>
            <w:vAlign w:val="bottom"/>
            <w:shd w:val="clear" w:color="auto" w:fill="E5FFFF"/>
          </w:tcPr>
          <w:p>
            <w:pPr>
              <w:spacing w:after="0"/>
              <w:rPr>
                <w:sz w:val="19"/>
                <w:szCs w:val="19"/>
                <w:color w:val="auto"/>
              </w:rPr>
            </w:pPr>
          </w:p>
        </w:tc>
        <w:tc>
          <w:tcPr>
            <w:tcW w:w="34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210"/>
        </w:trPr>
        <w:tc>
          <w:tcPr>
            <w:tcW w:w="7880" w:type="dxa"/>
            <w:vAlign w:val="bottom"/>
          </w:tcPr>
          <w:p>
            <w:pPr>
              <w:spacing w:after="0"/>
              <w:rPr>
                <w:sz w:val="20"/>
                <w:szCs w:val="20"/>
                <w:color w:val="auto"/>
              </w:rPr>
            </w:pPr>
            <w:r>
              <w:rPr>
                <w:rFonts w:ascii="Times New Roman" w:cs="Times New Roman" w:eastAsia="Times New Roman" w:hAnsi="Times New Roman"/>
                <w:sz w:val="16"/>
                <w:szCs w:val="16"/>
                <w:color w:val="auto"/>
              </w:rPr>
              <w:t>Derivative financial instruments – non-current portion</w:t>
            </w:r>
          </w:p>
        </w:tc>
        <w:tc>
          <w:tcPr>
            <w:tcW w:w="46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12</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1,616</w:t>
            </w:r>
          </w:p>
        </w:tc>
        <w:tc>
          <w:tcPr>
            <w:tcW w:w="0" w:type="dxa"/>
            <w:vAlign w:val="bottom"/>
          </w:tcPr>
          <w:p>
            <w:pPr>
              <w:spacing w:after="0"/>
              <w:rPr>
                <w:sz w:val="1"/>
                <w:szCs w:val="1"/>
                <w:color w:val="auto"/>
              </w:rPr>
            </w:pPr>
          </w:p>
        </w:tc>
      </w:tr>
      <w:tr>
        <w:trPr>
          <w:trHeight w:val="222"/>
        </w:trPr>
        <w:tc>
          <w:tcPr>
            <w:tcW w:w="78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Tangible fixed assets</w:t>
            </w:r>
          </w:p>
        </w:tc>
        <w:tc>
          <w:tcPr>
            <w:tcW w:w="460" w:type="dxa"/>
            <w:vAlign w:val="bottom"/>
            <w:gridSpan w:val="2"/>
            <w:shd w:val="clear" w:color="auto" w:fill="E5FFFF"/>
          </w:tcPr>
          <w:p>
            <w:pPr>
              <w:jc w:val="center"/>
              <w:ind w:left="19"/>
              <w:spacing w:after="0"/>
              <w:rPr>
                <w:sz w:val="20"/>
                <w:szCs w:val="20"/>
                <w:color w:val="auto"/>
              </w:rPr>
            </w:pPr>
            <w:r>
              <w:rPr>
                <w:rFonts w:ascii="Times New Roman" w:cs="Times New Roman" w:eastAsia="Times New Roman" w:hAnsi="Times New Roman"/>
                <w:sz w:val="16"/>
                <w:szCs w:val="16"/>
                <w:color w:val="auto"/>
                <w:w w:val="99"/>
              </w:rPr>
              <w:t>4</w:t>
            </w:r>
          </w:p>
        </w:tc>
        <w:tc>
          <w:tcPr>
            <w:tcW w:w="12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1,888,583</w:t>
            </w:r>
          </w:p>
        </w:tc>
        <w:tc>
          <w:tcPr>
            <w:tcW w:w="10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1,696,055</w:t>
            </w:r>
          </w:p>
        </w:tc>
        <w:tc>
          <w:tcPr>
            <w:tcW w:w="0" w:type="dxa"/>
            <w:vAlign w:val="bottom"/>
          </w:tcPr>
          <w:p>
            <w:pPr>
              <w:spacing w:after="0"/>
              <w:rPr>
                <w:sz w:val="1"/>
                <w:szCs w:val="1"/>
                <w:color w:val="auto"/>
              </w:rPr>
            </w:pPr>
          </w:p>
        </w:tc>
      </w:tr>
      <w:tr>
        <w:trPr>
          <w:trHeight w:val="210"/>
        </w:trPr>
        <w:tc>
          <w:tcPr>
            <w:tcW w:w="788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color w:val="auto"/>
              </w:rPr>
              <w:t>Right-of-use assets</w:t>
            </w:r>
          </w:p>
        </w:tc>
        <w:tc>
          <w:tcPr>
            <w:tcW w:w="460" w:type="dxa"/>
            <w:vAlign w:val="bottom"/>
            <w:tcBorders>
              <w:bottom w:val="single" w:sz="8" w:color="E5FFFF"/>
            </w:tcBorders>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5</w:t>
            </w:r>
          </w:p>
        </w:tc>
        <w:tc>
          <w:tcPr>
            <w:tcW w:w="120" w:type="dxa"/>
            <w:vAlign w:val="bottom"/>
            <w:tcBorders>
              <w:bottom w:val="single" w:sz="8" w:color="E5FFFF"/>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81,996</w:t>
            </w:r>
          </w:p>
        </w:tc>
        <w:tc>
          <w:tcPr>
            <w:tcW w:w="100" w:type="dxa"/>
            <w:vAlign w:val="bottom"/>
            <w:tcBorders>
              <w:bottom w:val="single" w:sz="8" w:color="E5FFFF"/>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69,192</w:t>
            </w:r>
          </w:p>
        </w:tc>
        <w:tc>
          <w:tcPr>
            <w:tcW w:w="0" w:type="dxa"/>
            <w:vAlign w:val="bottom"/>
          </w:tcPr>
          <w:p>
            <w:pPr>
              <w:spacing w:after="0"/>
              <w:rPr>
                <w:sz w:val="1"/>
                <w:szCs w:val="1"/>
                <w:color w:val="auto"/>
              </w:rPr>
            </w:pPr>
          </w:p>
        </w:tc>
      </w:tr>
      <w:tr>
        <w:trPr>
          <w:trHeight w:val="202"/>
        </w:trPr>
        <w:tc>
          <w:tcPr>
            <w:tcW w:w="78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Total non-current assets</w:t>
            </w:r>
          </w:p>
        </w:tc>
        <w:tc>
          <w:tcPr>
            <w:tcW w:w="12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3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1,970,623</w:t>
            </w:r>
          </w:p>
        </w:tc>
        <w:tc>
          <w:tcPr>
            <w:tcW w:w="100" w:type="dxa"/>
            <w:vAlign w:val="bottom"/>
            <w:shd w:val="clear" w:color="auto" w:fill="E5FFFF"/>
          </w:tcPr>
          <w:p>
            <w:pPr>
              <w:spacing w:after="0"/>
              <w:rPr>
                <w:sz w:val="17"/>
                <w:szCs w:val="17"/>
                <w:color w:val="auto"/>
              </w:rPr>
            </w:pPr>
          </w:p>
        </w:tc>
        <w:tc>
          <w:tcPr>
            <w:tcW w:w="13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1,766,972</w:t>
            </w:r>
          </w:p>
        </w:tc>
        <w:tc>
          <w:tcPr>
            <w:tcW w:w="0" w:type="dxa"/>
            <w:vAlign w:val="bottom"/>
          </w:tcPr>
          <w:p>
            <w:pPr>
              <w:spacing w:after="0"/>
              <w:rPr>
                <w:sz w:val="1"/>
                <w:szCs w:val="1"/>
                <w:color w:val="auto"/>
              </w:rPr>
            </w:pPr>
          </w:p>
        </w:tc>
      </w:tr>
      <w:tr>
        <w:trPr>
          <w:trHeight w:val="204"/>
        </w:trPr>
        <w:tc>
          <w:tcPr>
            <w:tcW w:w="7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8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Vessel held for sale</w:t>
            </w:r>
          </w:p>
        </w:tc>
        <w:tc>
          <w:tcPr>
            <w:tcW w:w="460" w:type="dxa"/>
            <w:vAlign w:val="bottom"/>
            <w:gridSpan w:val="2"/>
            <w:shd w:val="clear" w:color="auto" w:fill="E5FFFF"/>
          </w:tcPr>
          <w:p>
            <w:pPr>
              <w:jc w:val="center"/>
              <w:ind w:left="19"/>
              <w:spacing w:after="0"/>
              <w:rPr>
                <w:sz w:val="20"/>
                <w:szCs w:val="20"/>
                <w:color w:val="auto"/>
              </w:rPr>
            </w:pPr>
            <w:r>
              <w:rPr>
                <w:rFonts w:ascii="Times New Roman" w:cs="Times New Roman" w:eastAsia="Times New Roman" w:hAnsi="Times New Roman"/>
                <w:sz w:val="16"/>
                <w:szCs w:val="16"/>
                <w:color w:val="auto"/>
                <w:w w:val="99"/>
              </w:rPr>
              <w:t>4</w:t>
            </w:r>
          </w:p>
        </w:tc>
        <w:tc>
          <w:tcPr>
            <w:tcW w:w="120" w:type="dxa"/>
            <w:vAlign w:val="bottom"/>
            <w:shd w:val="clear" w:color="auto" w:fill="E5FFFF"/>
          </w:tcPr>
          <w:p>
            <w:pPr>
              <w:spacing w:after="0"/>
              <w:rPr>
                <w:sz w:val="19"/>
                <w:szCs w:val="19"/>
                <w:color w:val="auto"/>
              </w:rPr>
            </w:pPr>
          </w:p>
        </w:tc>
        <w:tc>
          <w:tcPr>
            <w:tcW w:w="14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60,760</w:t>
            </w:r>
          </w:p>
        </w:tc>
        <w:tc>
          <w:tcPr>
            <w:tcW w:w="0" w:type="dxa"/>
            <w:vAlign w:val="bottom"/>
          </w:tcPr>
          <w:p>
            <w:pPr>
              <w:spacing w:after="0"/>
              <w:rPr>
                <w:sz w:val="1"/>
                <w:szCs w:val="1"/>
                <w:color w:val="auto"/>
              </w:rPr>
            </w:pPr>
          </w:p>
        </w:tc>
      </w:tr>
      <w:tr>
        <w:trPr>
          <w:trHeight w:val="210"/>
        </w:trPr>
        <w:tc>
          <w:tcPr>
            <w:tcW w:w="7880" w:type="dxa"/>
            <w:vAlign w:val="bottom"/>
          </w:tcPr>
          <w:p>
            <w:pPr>
              <w:spacing w:after="0"/>
              <w:rPr>
                <w:sz w:val="20"/>
                <w:szCs w:val="20"/>
                <w:color w:val="auto"/>
              </w:rPr>
            </w:pPr>
            <w:r>
              <w:rPr>
                <w:rFonts w:ascii="Times New Roman" w:cs="Times New Roman" w:eastAsia="Times New Roman" w:hAnsi="Times New Roman"/>
                <w:sz w:val="16"/>
                <w:szCs w:val="16"/>
                <w:color w:val="auto"/>
              </w:rPr>
              <w:t>Trade and other receivables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11,156</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20,278</w:t>
            </w:r>
          </w:p>
        </w:tc>
        <w:tc>
          <w:tcPr>
            <w:tcW w:w="0" w:type="dxa"/>
            <w:vAlign w:val="bottom"/>
          </w:tcPr>
          <w:p>
            <w:pPr>
              <w:spacing w:after="0"/>
              <w:rPr>
                <w:sz w:val="1"/>
                <w:szCs w:val="1"/>
                <w:color w:val="auto"/>
              </w:rPr>
            </w:pPr>
          </w:p>
        </w:tc>
      </w:tr>
      <w:tr>
        <w:trPr>
          <w:trHeight w:val="222"/>
        </w:trPr>
        <w:tc>
          <w:tcPr>
            <w:tcW w:w="78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Inventories</w:t>
            </w:r>
          </w:p>
        </w:tc>
        <w:tc>
          <w:tcPr>
            <w:tcW w:w="120" w:type="dxa"/>
            <w:vAlign w:val="bottom"/>
            <w:shd w:val="clear" w:color="auto" w:fill="E5FFFF"/>
          </w:tcPr>
          <w:p>
            <w:pPr>
              <w:spacing w:after="0"/>
              <w:rPr>
                <w:sz w:val="19"/>
                <w:szCs w:val="19"/>
                <w:color w:val="auto"/>
              </w:rPr>
            </w:pPr>
          </w:p>
        </w:tc>
        <w:tc>
          <w:tcPr>
            <w:tcW w:w="34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2,991</w:t>
            </w:r>
          </w:p>
        </w:tc>
        <w:tc>
          <w:tcPr>
            <w:tcW w:w="10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3,075</w:t>
            </w:r>
          </w:p>
        </w:tc>
        <w:tc>
          <w:tcPr>
            <w:tcW w:w="0" w:type="dxa"/>
            <w:vAlign w:val="bottom"/>
          </w:tcPr>
          <w:p>
            <w:pPr>
              <w:spacing w:after="0"/>
              <w:rPr>
                <w:sz w:val="1"/>
                <w:szCs w:val="1"/>
                <w:color w:val="auto"/>
              </w:rPr>
            </w:pPr>
          </w:p>
        </w:tc>
      </w:tr>
      <w:tr>
        <w:trPr>
          <w:trHeight w:val="210"/>
        </w:trPr>
        <w:tc>
          <w:tcPr>
            <w:tcW w:w="7880" w:type="dxa"/>
            <w:vAlign w:val="bottom"/>
          </w:tcPr>
          <w:p>
            <w:pPr>
              <w:spacing w:after="0"/>
              <w:rPr>
                <w:sz w:val="20"/>
                <w:szCs w:val="20"/>
                <w:color w:val="auto"/>
              </w:rPr>
            </w:pPr>
            <w:r>
              <w:rPr>
                <w:rFonts w:ascii="Times New Roman" w:cs="Times New Roman" w:eastAsia="Times New Roman" w:hAnsi="Times New Roman"/>
                <w:sz w:val="16"/>
                <w:szCs w:val="16"/>
                <w:color w:val="auto"/>
              </w:rPr>
              <w:t>Prepayments and other current assets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1,433</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1,490</w:t>
            </w:r>
          </w:p>
        </w:tc>
        <w:tc>
          <w:tcPr>
            <w:tcW w:w="0" w:type="dxa"/>
            <w:vAlign w:val="bottom"/>
          </w:tcPr>
          <w:p>
            <w:pPr>
              <w:spacing w:after="0"/>
              <w:rPr>
                <w:sz w:val="1"/>
                <w:szCs w:val="1"/>
                <w:color w:val="auto"/>
              </w:rPr>
            </w:pPr>
          </w:p>
        </w:tc>
      </w:tr>
      <w:tr>
        <w:trPr>
          <w:trHeight w:val="222"/>
        </w:trPr>
        <w:tc>
          <w:tcPr>
            <w:tcW w:w="78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Derivative financial instruments – current portion</w:t>
            </w:r>
          </w:p>
        </w:tc>
        <w:tc>
          <w:tcPr>
            <w:tcW w:w="460" w:type="dxa"/>
            <w:vAlign w:val="bottom"/>
            <w:gridSpan w:val="2"/>
            <w:shd w:val="clear" w:color="auto" w:fill="E5FFFF"/>
          </w:tcPr>
          <w:p>
            <w:pPr>
              <w:jc w:val="center"/>
              <w:ind w:left="19"/>
              <w:spacing w:after="0"/>
              <w:rPr>
                <w:sz w:val="20"/>
                <w:szCs w:val="20"/>
                <w:color w:val="auto"/>
              </w:rPr>
            </w:pPr>
            <w:r>
              <w:rPr>
                <w:rFonts w:ascii="Times New Roman" w:cs="Times New Roman" w:eastAsia="Times New Roman" w:hAnsi="Times New Roman"/>
                <w:sz w:val="16"/>
                <w:szCs w:val="16"/>
                <w:color w:val="auto"/>
                <w:w w:val="99"/>
              </w:rPr>
              <w:t>12</w:t>
            </w:r>
          </w:p>
        </w:tc>
        <w:tc>
          <w:tcPr>
            <w:tcW w:w="120" w:type="dxa"/>
            <w:vAlign w:val="bottom"/>
            <w:shd w:val="clear" w:color="auto" w:fill="E5FFFF"/>
          </w:tcPr>
          <w:p>
            <w:pPr>
              <w:spacing w:after="0"/>
              <w:rPr>
                <w:sz w:val="19"/>
                <w:szCs w:val="19"/>
                <w:color w:val="auto"/>
              </w:rPr>
            </w:pPr>
          </w:p>
        </w:tc>
        <w:tc>
          <w:tcPr>
            <w:tcW w:w="14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1,718</w:t>
            </w:r>
          </w:p>
        </w:tc>
        <w:tc>
          <w:tcPr>
            <w:tcW w:w="0" w:type="dxa"/>
            <w:vAlign w:val="bottom"/>
          </w:tcPr>
          <w:p>
            <w:pPr>
              <w:spacing w:after="0"/>
              <w:rPr>
                <w:sz w:val="1"/>
                <w:szCs w:val="1"/>
                <w:color w:val="auto"/>
              </w:rPr>
            </w:pPr>
          </w:p>
        </w:tc>
      </w:tr>
      <w:tr>
        <w:trPr>
          <w:trHeight w:val="210"/>
        </w:trPr>
        <w:tc>
          <w:tcPr>
            <w:tcW w:w="7880" w:type="dxa"/>
            <w:vAlign w:val="bottom"/>
          </w:tcPr>
          <w:p>
            <w:pPr>
              <w:spacing w:after="0"/>
              <w:rPr>
                <w:sz w:val="20"/>
                <w:szCs w:val="20"/>
                <w:color w:val="auto"/>
              </w:rPr>
            </w:pPr>
            <w:r>
              <w:rPr>
                <w:rFonts w:ascii="Times New Roman" w:cs="Times New Roman" w:eastAsia="Times New Roman" w:hAnsi="Times New Roman"/>
                <w:sz w:val="16"/>
                <w:szCs w:val="16"/>
                <w:color w:val="auto"/>
              </w:rPr>
              <w:t>Short-term cash deposits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0" w:type="dxa"/>
            <w:vAlign w:val="bottom"/>
          </w:tcPr>
          <w:p>
            <w:pPr>
              <w:spacing w:after="0"/>
              <w:rPr>
                <w:sz w:val="1"/>
                <w:szCs w:val="1"/>
                <w:color w:val="auto"/>
              </w:rPr>
            </w:pPr>
          </w:p>
        </w:tc>
      </w:tr>
      <w:tr>
        <w:trPr>
          <w:trHeight w:val="222"/>
        </w:trPr>
        <w:tc>
          <w:tcPr>
            <w:tcW w:w="78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0" w:type="dxa"/>
            <w:vAlign w:val="bottom"/>
            <w:shd w:val="clear" w:color="auto" w:fill="E5FFFF"/>
          </w:tcPr>
          <w:p>
            <w:pPr>
              <w:spacing w:after="0"/>
              <w:rPr>
                <w:sz w:val="19"/>
                <w:szCs w:val="19"/>
                <w:color w:val="auto"/>
              </w:rPr>
            </w:pPr>
          </w:p>
        </w:tc>
        <w:tc>
          <w:tcPr>
            <w:tcW w:w="34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13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145,530</w:t>
            </w:r>
          </w:p>
        </w:tc>
        <w:tc>
          <w:tcPr>
            <w:tcW w:w="100" w:type="dxa"/>
            <w:vAlign w:val="bottom"/>
            <w:shd w:val="clear" w:color="auto" w:fill="E5FFFF"/>
          </w:tcPr>
          <w:p>
            <w:pPr>
              <w:spacing w:after="0"/>
              <w:rPr>
                <w:sz w:val="19"/>
                <w:szCs w:val="19"/>
                <w:color w:val="auto"/>
              </w:rPr>
            </w:pPr>
          </w:p>
        </w:tc>
        <w:tc>
          <w:tcPr>
            <w:tcW w:w="13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138,956</w:t>
            </w:r>
          </w:p>
        </w:tc>
        <w:tc>
          <w:tcPr>
            <w:tcW w:w="0" w:type="dxa"/>
            <w:vAlign w:val="bottom"/>
          </w:tcPr>
          <w:p>
            <w:pPr>
              <w:spacing w:after="0"/>
              <w:rPr>
                <w:sz w:val="1"/>
                <w:szCs w:val="1"/>
                <w:color w:val="auto"/>
              </w:rPr>
            </w:pPr>
          </w:p>
        </w:tc>
      </w:tr>
      <w:tr>
        <w:trPr>
          <w:trHeight w:val="196"/>
        </w:trPr>
        <w:tc>
          <w:tcPr>
            <w:tcW w:w="788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20" w:type="dxa"/>
            <w:vAlign w:val="bottom"/>
            <w:tcBorders>
              <w:bottom w:val="single" w:sz="8" w:color="E5FFFF"/>
            </w:tcBorders>
          </w:tcPr>
          <w:p>
            <w:pPr>
              <w:spacing w:after="0"/>
              <w:rPr>
                <w:sz w:val="17"/>
                <w:szCs w:val="17"/>
                <w:color w:val="auto"/>
              </w:rPr>
            </w:pPr>
          </w:p>
        </w:tc>
        <w:tc>
          <w:tcPr>
            <w:tcW w:w="340" w:type="dxa"/>
            <w:vAlign w:val="bottom"/>
            <w:tcBorders>
              <w:bottom w:val="single" w:sz="8" w:color="E5FFFF"/>
            </w:tcBorders>
          </w:tcPr>
          <w:p>
            <w:pPr>
              <w:spacing w:after="0"/>
              <w:rPr>
                <w:sz w:val="17"/>
                <w:szCs w:val="17"/>
                <w:color w:val="auto"/>
              </w:rPr>
            </w:pPr>
          </w:p>
        </w:tc>
        <w:tc>
          <w:tcPr>
            <w:tcW w:w="120" w:type="dxa"/>
            <w:vAlign w:val="bottom"/>
            <w:tcBorders>
              <w:bottom w:val="single" w:sz="8" w:color="E5FFFF"/>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161,110</w:t>
            </w:r>
          </w:p>
        </w:tc>
        <w:tc>
          <w:tcPr>
            <w:tcW w:w="100" w:type="dxa"/>
            <w:vAlign w:val="bottom"/>
            <w:tcBorders>
              <w:bottom w:val="single" w:sz="8" w:color="E5FFFF"/>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251,277</w:t>
            </w:r>
          </w:p>
        </w:tc>
        <w:tc>
          <w:tcPr>
            <w:tcW w:w="0" w:type="dxa"/>
            <w:vAlign w:val="bottom"/>
          </w:tcPr>
          <w:p>
            <w:pPr>
              <w:spacing w:after="0"/>
              <w:rPr>
                <w:sz w:val="1"/>
                <w:szCs w:val="1"/>
                <w:color w:val="auto"/>
              </w:rPr>
            </w:pPr>
          </w:p>
        </w:tc>
      </w:tr>
      <w:tr>
        <w:trPr>
          <w:trHeight w:val="196"/>
        </w:trPr>
        <w:tc>
          <w:tcPr>
            <w:tcW w:w="7880" w:type="dxa"/>
            <w:vAlign w:val="bottom"/>
            <w:tcBorders>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20" w:type="dxa"/>
            <w:vAlign w:val="bottom"/>
            <w:tcBorders>
              <w:bottom w:val="single" w:sz="8" w:color="E5FFFF"/>
            </w:tcBorders>
            <w:shd w:val="clear" w:color="auto" w:fill="E5FFFF"/>
          </w:tcPr>
          <w:p>
            <w:pPr>
              <w:spacing w:after="0"/>
              <w:rPr>
                <w:sz w:val="17"/>
                <w:szCs w:val="17"/>
                <w:color w:val="auto"/>
              </w:rPr>
            </w:pPr>
          </w:p>
        </w:tc>
        <w:tc>
          <w:tcPr>
            <w:tcW w:w="340" w:type="dxa"/>
            <w:vAlign w:val="bottom"/>
            <w:tcBorders>
              <w:bottom w:val="single" w:sz="8" w:color="E5FFFF"/>
            </w:tcBorders>
            <w:shd w:val="clear" w:color="auto" w:fill="E5FFFF"/>
          </w:tcPr>
          <w:p>
            <w:pPr>
              <w:spacing w:after="0"/>
              <w:rPr>
                <w:sz w:val="17"/>
                <w:szCs w:val="17"/>
                <w:color w:val="auto"/>
              </w:rPr>
            </w:pPr>
          </w:p>
        </w:tc>
        <w:tc>
          <w:tcPr>
            <w:tcW w:w="120" w:type="dxa"/>
            <w:vAlign w:val="bottom"/>
            <w:tcBorders>
              <w:bottom w:val="single" w:sz="8" w:color="E5FFFF"/>
            </w:tcBorders>
            <w:shd w:val="clear" w:color="auto" w:fill="E5FFFF"/>
          </w:tcPr>
          <w:p>
            <w:pPr>
              <w:spacing w:after="0"/>
              <w:rPr>
                <w:sz w:val="17"/>
                <w:szCs w:val="17"/>
                <w:color w:val="auto"/>
              </w:rPr>
            </w:pPr>
          </w:p>
        </w:tc>
        <w:tc>
          <w:tcPr>
            <w:tcW w:w="13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2,131,733</w:t>
            </w:r>
          </w:p>
        </w:tc>
        <w:tc>
          <w:tcPr>
            <w:tcW w:w="100" w:type="dxa"/>
            <w:vAlign w:val="bottom"/>
            <w:tcBorders>
              <w:bottom w:val="single" w:sz="8" w:color="E5FFFF"/>
            </w:tcBorders>
            <w:shd w:val="clear" w:color="auto" w:fill="E5FFFF"/>
          </w:tcPr>
          <w:p>
            <w:pPr>
              <w:spacing w:after="0"/>
              <w:rPr>
                <w:sz w:val="17"/>
                <w:szCs w:val="17"/>
                <w:color w:val="auto"/>
              </w:rPr>
            </w:pPr>
          </w:p>
        </w:tc>
        <w:tc>
          <w:tcPr>
            <w:tcW w:w="13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2,018,249</w:t>
            </w: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Partners’ equity and liabilities</w:t>
            </w: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8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Partners’ equity</w:t>
            </w:r>
          </w:p>
        </w:tc>
        <w:tc>
          <w:tcPr>
            <w:tcW w:w="120" w:type="dxa"/>
            <w:vAlign w:val="bottom"/>
            <w:shd w:val="clear" w:color="auto" w:fill="E5FFFF"/>
          </w:tcPr>
          <w:p>
            <w:pPr>
              <w:spacing w:after="0"/>
              <w:rPr>
                <w:sz w:val="19"/>
                <w:szCs w:val="19"/>
                <w:color w:val="auto"/>
              </w:rPr>
            </w:pPr>
          </w:p>
        </w:tc>
        <w:tc>
          <w:tcPr>
            <w:tcW w:w="34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1340" w:type="dxa"/>
            <w:vAlign w:val="bottom"/>
            <w:shd w:val="clear" w:color="auto" w:fill="E5FFFF"/>
          </w:tcPr>
          <w:p>
            <w:pPr>
              <w:spacing w:after="0"/>
              <w:rPr>
                <w:sz w:val="19"/>
                <w:szCs w:val="19"/>
                <w:color w:val="auto"/>
              </w:rPr>
            </w:pPr>
          </w:p>
        </w:tc>
        <w:tc>
          <w:tcPr>
            <w:tcW w:w="100" w:type="dxa"/>
            <w:vAlign w:val="bottom"/>
            <w:shd w:val="clear" w:color="auto" w:fill="E5FFFF"/>
          </w:tcPr>
          <w:p>
            <w:pPr>
              <w:spacing w:after="0"/>
              <w:rPr>
                <w:sz w:val="19"/>
                <w:szCs w:val="19"/>
                <w:color w:val="auto"/>
              </w:rPr>
            </w:pPr>
          </w:p>
        </w:tc>
        <w:tc>
          <w:tcPr>
            <w:tcW w:w="134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7880" w:type="dxa"/>
            <w:vAlign w:val="bottom"/>
          </w:tcPr>
          <w:p>
            <w:pPr>
              <w:spacing w:after="0"/>
              <w:rPr>
                <w:sz w:val="20"/>
                <w:szCs w:val="20"/>
                <w:color w:val="auto"/>
              </w:rPr>
            </w:pPr>
            <w:r>
              <w:rPr>
                <w:rFonts w:ascii="Times New Roman" w:cs="Times New Roman" w:eastAsia="Times New Roman" w:hAnsi="Times New Roman"/>
                <w:sz w:val="16"/>
                <w:szCs w:val="16"/>
                <w:color w:val="auto"/>
              </w:rPr>
              <w:t>Common unitholders (51,137,201 units issued and outstanding as of December 31, 2021 and 51,687,865 units issued and</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8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outstanding as of September 30, 2022)</w:t>
            </w:r>
          </w:p>
        </w:tc>
        <w:tc>
          <w:tcPr>
            <w:tcW w:w="46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6</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579,447</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635,193</w:t>
            </w:r>
          </w:p>
        </w:tc>
        <w:tc>
          <w:tcPr>
            <w:tcW w:w="0" w:type="dxa"/>
            <w:vAlign w:val="bottom"/>
          </w:tcPr>
          <w:p>
            <w:pPr>
              <w:spacing w:after="0"/>
              <w:rPr>
                <w:sz w:val="1"/>
                <w:szCs w:val="1"/>
                <w:color w:val="auto"/>
              </w:rPr>
            </w:pPr>
          </w:p>
        </w:tc>
      </w:tr>
      <w:tr>
        <w:trPr>
          <w:trHeight w:val="192"/>
        </w:trPr>
        <w:tc>
          <w:tcPr>
            <w:tcW w:w="78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General partner (1,077,494 units issued and outstanding as of December 31, 2021 and 1,080,263 units issued and</w:t>
            </w:r>
          </w:p>
        </w:tc>
        <w:tc>
          <w:tcPr>
            <w:tcW w:w="120" w:type="dxa"/>
            <w:vAlign w:val="bottom"/>
            <w:shd w:val="clear" w:color="auto" w:fill="E5FFFF"/>
          </w:tcPr>
          <w:p>
            <w:pPr>
              <w:spacing w:after="0"/>
              <w:rPr>
                <w:sz w:val="16"/>
                <w:szCs w:val="16"/>
                <w:color w:val="auto"/>
              </w:rPr>
            </w:pPr>
          </w:p>
        </w:tc>
        <w:tc>
          <w:tcPr>
            <w:tcW w:w="34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134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1340" w:type="dxa"/>
            <w:vAlign w:val="bottom"/>
            <w:shd w:val="clear" w:color="auto" w:fill="E5FF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E5FFFF"/>
          </w:tcPr>
          <w:p>
            <w:pPr>
              <w:ind w:left="160"/>
              <w:spacing w:after="0"/>
              <w:rPr>
                <w:sz w:val="20"/>
                <w:szCs w:val="20"/>
                <w:color w:val="auto"/>
              </w:rPr>
            </w:pPr>
            <w:r>
              <w:rPr>
                <w:rFonts w:ascii="Times New Roman" w:cs="Times New Roman" w:eastAsia="Times New Roman" w:hAnsi="Times New Roman"/>
                <w:sz w:val="16"/>
                <w:szCs w:val="16"/>
                <w:color w:val="auto"/>
              </w:rPr>
              <w:t>outstanding as of September 30, 2022)</w:t>
            </w:r>
          </w:p>
        </w:tc>
        <w:tc>
          <w:tcPr>
            <w:tcW w:w="460" w:type="dxa"/>
            <w:vAlign w:val="bottom"/>
            <w:gridSpan w:val="2"/>
            <w:shd w:val="clear" w:color="auto" w:fill="E5FFFF"/>
          </w:tcPr>
          <w:p>
            <w:pPr>
              <w:jc w:val="center"/>
              <w:ind w:left="19"/>
              <w:spacing w:after="0"/>
              <w:rPr>
                <w:sz w:val="20"/>
                <w:szCs w:val="20"/>
                <w:color w:val="auto"/>
              </w:rPr>
            </w:pPr>
            <w:r>
              <w:rPr>
                <w:rFonts w:ascii="Times New Roman" w:cs="Times New Roman" w:eastAsia="Times New Roman" w:hAnsi="Times New Roman"/>
                <w:sz w:val="16"/>
                <w:szCs w:val="16"/>
                <w:color w:val="auto"/>
                <w:w w:val="99"/>
              </w:rPr>
              <w:t>6</w:t>
            </w:r>
          </w:p>
        </w:tc>
        <w:tc>
          <w:tcPr>
            <w:tcW w:w="120" w:type="dxa"/>
            <w:vAlign w:val="bottom"/>
            <w:shd w:val="clear" w:color="auto" w:fill="E5FFFF"/>
          </w:tcPr>
          <w:p>
            <w:pPr>
              <w:spacing w:after="0"/>
              <w:rPr>
                <w:sz w:val="18"/>
                <w:szCs w:val="18"/>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10,717</w:t>
            </w:r>
          </w:p>
        </w:tc>
        <w:tc>
          <w:tcPr>
            <w:tcW w:w="100" w:type="dxa"/>
            <w:vAlign w:val="bottom"/>
            <w:shd w:val="clear" w:color="auto" w:fill="E5FFFF"/>
          </w:tcPr>
          <w:p>
            <w:pPr>
              <w:spacing w:after="0"/>
              <w:rPr>
                <w:sz w:val="18"/>
                <w:szCs w:val="18"/>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11,902</w:t>
            </w:r>
          </w:p>
        </w:tc>
        <w:tc>
          <w:tcPr>
            <w:tcW w:w="0" w:type="dxa"/>
            <w:vAlign w:val="bottom"/>
          </w:tcPr>
          <w:p>
            <w:pPr>
              <w:spacing w:after="0"/>
              <w:rPr>
                <w:sz w:val="1"/>
                <w:szCs w:val="1"/>
                <w:color w:val="auto"/>
              </w:rPr>
            </w:pPr>
          </w:p>
        </w:tc>
      </w:tr>
      <w:tr>
        <w:trPr>
          <w:trHeight w:val="189"/>
        </w:trPr>
        <w:tc>
          <w:tcPr>
            <w:tcW w:w="7880" w:type="dxa"/>
            <w:vAlign w:val="bottom"/>
          </w:tcPr>
          <w:p>
            <w:pPr>
              <w:spacing w:after="0"/>
              <w:rPr>
                <w:sz w:val="20"/>
                <w:szCs w:val="20"/>
                <w:color w:val="auto"/>
              </w:rPr>
            </w:pPr>
            <w:r>
              <w:rPr>
                <w:rFonts w:ascii="Times New Roman" w:cs="Times New Roman" w:eastAsia="Times New Roman" w:hAnsi="Times New Roman"/>
                <w:sz w:val="16"/>
                <w:szCs w:val="16"/>
                <w:color w:val="auto"/>
              </w:rPr>
              <w:t>Preference unitholders (5,750,000 Series A Preference Units, 4,135,571 Series B Preference Units and 3,730,451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8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Series C Preference Units issued and outstanding as of December 31, 2021 and 5,436,221 Series A Preference Units,</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3,624,034 Series B Preference Units and 3,205,857 Series C Preference Units issued and outstanding as of</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880" w:type="dxa"/>
            <w:vAlign w:val="bottom"/>
            <w:tcBorders>
              <w:bottom w:val="single" w:sz="8" w:color="E5FFFF"/>
            </w:tcBorders>
          </w:tcPr>
          <w:p>
            <w:pPr>
              <w:ind w:left="160"/>
              <w:spacing w:after="0"/>
              <w:rPr>
                <w:sz w:val="20"/>
                <w:szCs w:val="20"/>
                <w:color w:val="auto"/>
              </w:rPr>
            </w:pPr>
            <w:r>
              <w:rPr>
                <w:rFonts w:ascii="Times New Roman" w:cs="Times New Roman" w:eastAsia="Times New Roman" w:hAnsi="Times New Roman"/>
                <w:sz w:val="16"/>
                <w:szCs w:val="16"/>
                <w:color w:val="auto"/>
              </w:rPr>
              <w:t>September 30, 2022)</w:t>
            </w:r>
          </w:p>
        </w:tc>
        <w:tc>
          <w:tcPr>
            <w:tcW w:w="460" w:type="dxa"/>
            <w:vAlign w:val="bottom"/>
            <w:tcBorders>
              <w:bottom w:val="single" w:sz="8" w:color="E5FFFF"/>
            </w:tcBorders>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6</w:t>
            </w:r>
          </w:p>
        </w:tc>
        <w:tc>
          <w:tcPr>
            <w:tcW w:w="120" w:type="dxa"/>
            <w:vAlign w:val="bottom"/>
            <w:tcBorders>
              <w:bottom w:val="single" w:sz="8" w:color="E5FFFF"/>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329,334</w:t>
            </w:r>
          </w:p>
        </w:tc>
        <w:tc>
          <w:tcPr>
            <w:tcW w:w="100" w:type="dxa"/>
            <w:vAlign w:val="bottom"/>
            <w:tcBorders>
              <w:bottom w:val="single" w:sz="8" w:color="E5FFFF"/>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290,322</w:t>
            </w:r>
          </w:p>
        </w:tc>
        <w:tc>
          <w:tcPr>
            <w:tcW w:w="0" w:type="dxa"/>
            <w:vAlign w:val="bottom"/>
          </w:tcPr>
          <w:p>
            <w:pPr>
              <w:spacing w:after="0"/>
              <w:rPr>
                <w:sz w:val="1"/>
                <w:szCs w:val="1"/>
                <w:color w:val="auto"/>
              </w:rPr>
            </w:pPr>
          </w:p>
        </w:tc>
      </w:tr>
      <w:tr>
        <w:trPr>
          <w:trHeight w:val="202"/>
        </w:trPr>
        <w:tc>
          <w:tcPr>
            <w:tcW w:w="78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Total partners’ equity</w:t>
            </w:r>
          </w:p>
        </w:tc>
        <w:tc>
          <w:tcPr>
            <w:tcW w:w="12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3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919,498</w:t>
            </w:r>
          </w:p>
        </w:tc>
        <w:tc>
          <w:tcPr>
            <w:tcW w:w="100" w:type="dxa"/>
            <w:vAlign w:val="bottom"/>
            <w:shd w:val="clear" w:color="auto" w:fill="E5FFFF"/>
          </w:tcPr>
          <w:p>
            <w:pPr>
              <w:spacing w:after="0"/>
              <w:rPr>
                <w:sz w:val="17"/>
                <w:szCs w:val="17"/>
                <w:color w:val="auto"/>
              </w:rPr>
            </w:pPr>
          </w:p>
        </w:tc>
        <w:tc>
          <w:tcPr>
            <w:tcW w:w="13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937,417</w:t>
            </w:r>
          </w:p>
        </w:tc>
        <w:tc>
          <w:tcPr>
            <w:tcW w:w="0" w:type="dxa"/>
            <w:vAlign w:val="bottom"/>
          </w:tcPr>
          <w:p>
            <w:pPr>
              <w:spacing w:after="0"/>
              <w:rPr>
                <w:sz w:val="1"/>
                <w:szCs w:val="1"/>
                <w:color w:val="auto"/>
              </w:rPr>
            </w:pPr>
          </w:p>
        </w:tc>
      </w:tr>
      <w:tr>
        <w:trPr>
          <w:trHeight w:val="203"/>
        </w:trPr>
        <w:tc>
          <w:tcPr>
            <w:tcW w:w="7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8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Trade accounts payable</w:t>
            </w:r>
          </w:p>
        </w:tc>
        <w:tc>
          <w:tcPr>
            <w:tcW w:w="120" w:type="dxa"/>
            <w:vAlign w:val="bottom"/>
            <w:shd w:val="clear" w:color="auto" w:fill="E5FFFF"/>
          </w:tcPr>
          <w:p>
            <w:pPr>
              <w:spacing w:after="0"/>
              <w:rPr>
                <w:sz w:val="19"/>
                <w:szCs w:val="19"/>
                <w:color w:val="auto"/>
              </w:rPr>
            </w:pPr>
          </w:p>
        </w:tc>
        <w:tc>
          <w:tcPr>
            <w:tcW w:w="34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9,547</w:t>
            </w:r>
          </w:p>
        </w:tc>
        <w:tc>
          <w:tcPr>
            <w:tcW w:w="10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10,391</w:t>
            </w:r>
          </w:p>
        </w:tc>
        <w:tc>
          <w:tcPr>
            <w:tcW w:w="0" w:type="dxa"/>
            <w:vAlign w:val="bottom"/>
          </w:tcPr>
          <w:p>
            <w:pPr>
              <w:spacing w:after="0"/>
              <w:rPr>
                <w:sz w:val="1"/>
                <w:szCs w:val="1"/>
                <w:color w:val="auto"/>
              </w:rPr>
            </w:pPr>
          </w:p>
        </w:tc>
      </w:tr>
      <w:tr>
        <w:trPr>
          <w:trHeight w:val="210"/>
        </w:trPr>
        <w:tc>
          <w:tcPr>
            <w:tcW w:w="7880" w:type="dxa"/>
            <w:vAlign w:val="bottom"/>
          </w:tcPr>
          <w:p>
            <w:pPr>
              <w:spacing w:after="0"/>
              <w:rPr>
                <w:sz w:val="20"/>
                <w:szCs w:val="20"/>
                <w:color w:val="auto"/>
              </w:rPr>
            </w:pPr>
            <w:r>
              <w:rPr>
                <w:rFonts w:ascii="Times New Roman" w:cs="Times New Roman" w:eastAsia="Times New Roman" w:hAnsi="Times New Roman"/>
                <w:sz w:val="16"/>
                <w:szCs w:val="16"/>
                <w:color w:val="auto"/>
              </w:rPr>
              <w:t>Due to related parties</w:t>
            </w:r>
          </w:p>
        </w:tc>
        <w:tc>
          <w:tcPr>
            <w:tcW w:w="46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3</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1,172</w:t>
            </w:r>
          </w:p>
        </w:tc>
        <w:tc>
          <w:tcPr>
            <w:tcW w:w="0" w:type="dxa"/>
            <w:vAlign w:val="bottom"/>
          </w:tcPr>
          <w:p>
            <w:pPr>
              <w:spacing w:after="0"/>
              <w:rPr>
                <w:sz w:val="1"/>
                <w:szCs w:val="1"/>
                <w:color w:val="auto"/>
              </w:rPr>
            </w:pPr>
          </w:p>
        </w:tc>
      </w:tr>
      <w:tr>
        <w:trPr>
          <w:trHeight w:val="222"/>
        </w:trPr>
        <w:tc>
          <w:tcPr>
            <w:tcW w:w="78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Derivative financial instruments—current portion</w:t>
            </w:r>
          </w:p>
        </w:tc>
        <w:tc>
          <w:tcPr>
            <w:tcW w:w="460" w:type="dxa"/>
            <w:vAlign w:val="bottom"/>
            <w:gridSpan w:val="2"/>
            <w:shd w:val="clear" w:color="auto" w:fill="E5FFFF"/>
          </w:tcPr>
          <w:p>
            <w:pPr>
              <w:jc w:val="center"/>
              <w:ind w:left="19"/>
              <w:spacing w:after="0"/>
              <w:rPr>
                <w:sz w:val="20"/>
                <w:szCs w:val="20"/>
                <w:color w:val="auto"/>
              </w:rPr>
            </w:pPr>
            <w:r>
              <w:rPr>
                <w:rFonts w:ascii="Times New Roman" w:cs="Times New Roman" w:eastAsia="Times New Roman" w:hAnsi="Times New Roman"/>
                <w:sz w:val="16"/>
                <w:szCs w:val="16"/>
                <w:color w:val="auto"/>
                <w:w w:val="99"/>
              </w:rPr>
              <w:t>12</w:t>
            </w:r>
          </w:p>
        </w:tc>
        <w:tc>
          <w:tcPr>
            <w:tcW w:w="12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5,184</w:t>
            </w:r>
          </w:p>
        </w:tc>
        <w:tc>
          <w:tcPr>
            <w:tcW w:w="10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7880" w:type="dxa"/>
            <w:vAlign w:val="bottom"/>
          </w:tcPr>
          <w:p>
            <w:pPr>
              <w:spacing w:after="0"/>
              <w:rPr>
                <w:sz w:val="20"/>
                <w:szCs w:val="20"/>
                <w:color w:val="auto"/>
              </w:rPr>
            </w:pPr>
            <w:r>
              <w:rPr>
                <w:rFonts w:ascii="Times New Roman" w:cs="Times New Roman" w:eastAsia="Times New Roman" w:hAnsi="Times New Roman"/>
                <w:sz w:val="16"/>
                <w:szCs w:val="16"/>
                <w:color w:val="auto"/>
              </w:rPr>
              <w:t>Other payables and accruals</w:t>
            </w:r>
          </w:p>
        </w:tc>
        <w:tc>
          <w:tcPr>
            <w:tcW w:w="46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8</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50,171</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49,915</w:t>
            </w:r>
          </w:p>
        </w:tc>
        <w:tc>
          <w:tcPr>
            <w:tcW w:w="0" w:type="dxa"/>
            <w:vAlign w:val="bottom"/>
          </w:tcPr>
          <w:p>
            <w:pPr>
              <w:spacing w:after="0"/>
              <w:rPr>
                <w:sz w:val="1"/>
                <w:szCs w:val="1"/>
                <w:color w:val="auto"/>
              </w:rPr>
            </w:pPr>
          </w:p>
        </w:tc>
      </w:tr>
      <w:tr>
        <w:trPr>
          <w:trHeight w:val="222"/>
        </w:trPr>
        <w:tc>
          <w:tcPr>
            <w:tcW w:w="78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Borrowings—current portion</w:t>
            </w:r>
          </w:p>
        </w:tc>
        <w:tc>
          <w:tcPr>
            <w:tcW w:w="460" w:type="dxa"/>
            <w:vAlign w:val="bottom"/>
            <w:gridSpan w:val="2"/>
            <w:shd w:val="clear" w:color="auto" w:fill="E5FFFF"/>
          </w:tcPr>
          <w:p>
            <w:pPr>
              <w:jc w:val="center"/>
              <w:ind w:left="19"/>
              <w:spacing w:after="0"/>
              <w:rPr>
                <w:sz w:val="20"/>
                <w:szCs w:val="20"/>
                <w:color w:val="auto"/>
              </w:rPr>
            </w:pPr>
            <w:r>
              <w:rPr>
                <w:rFonts w:ascii="Times New Roman" w:cs="Times New Roman" w:eastAsia="Times New Roman" w:hAnsi="Times New Roman"/>
                <w:sz w:val="16"/>
                <w:szCs w:val="16"/>
                <w:color w:val="auto"/>
                <w:w w:val="99"/>
              </w:rPr>
              <w:t>7</w:t>
            </w:r>
          </w:p>
        </w:tc>
        <w:tc>
          <w:tcPr>
            <w:tcW w:w="12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99,307</w:t>
            </w:r>
          </w:p>
        </w:tc>
        <w:tc>
          <w:tcPr>
            <w:tcW w:w="10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122,851</w:t>
            </w:r>
          </w:p>
        </w:tc>
        <w:tc>
          <w:tcPr>
            <w:tcW w:w="0" w:type="dxa"/>
            <w:vAlign w:val="bottom"/>
          </w:tcPr>
          <w:p>
            <w:pPr>
              <w:spacing w:after="0"/>
              <w:rPr>
                <w:sz w:val="1"/>
                <w:szCs w:val="1"/>
                <w:color w:val="auto"/>
              </w:rPr>
            </w:pPr>
          </w:p>
        </w:tc>
      </w:tr>
      <w:tr>
        <w:trPr>
          <w:trHeight w:val="210"/>
        </w:trPr>
        <w:tc>
          <w:tcPr>
            <w:tcW w:w="788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color w:val="auto"/>
              </w:rPr>
              <w:t>Lease liabilities—current portion</w:t>
            </w:r>
          </w:p>
        </w:tc>
        <w:tc>
          <w:tcPr>
            <w:tcW w:w="460" w:type="dxa"/>
            <w:vAlign w:val="bottom"/>
            <w:tcBorders>
              <w:bottom w:val="single" w:sz="8" w:color="E5FFFF"/>
            </w:tcBorders>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5</w:t>
            </w:r>
          </w:p>
        </w:tc>
        <w:tc>
          <w:tcPr>
            <w:tcW w:w="120" w:type="dxa"/>
            <w:vAlign w:val="bottom"/>
            <w:tcBorders>
              <w:bottom w:val="single" w:sz="8" w:color="E5FFFF"/>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10,342</w:t>
            </w:r>
          </w:p>
        </w:tc>
        <w:tc>
          <w:tcPr>
            <w:tcW w:w="100" w:type="dxa"/>
            <w:vAlign w:val="bottom"/>
            <w:tcBorders>
              <w:bottom w:val="single" w:sz="8" w:color="E5FFFF"/>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10,535</w:t>
            </w:r>
          </w:p>
        </w:tc>
        <w:tc>
          <w:tcPr>
            <w:tcW w:w="0" w:type="dxa"/>
            <w:vAlign w:val="bottom"/>
          </w:tcPr>
          <w:p>
            <w:pPr>
              <w:spacing w:after="0"/>
              <w:rPr>
                <w:sz w:val="1"/>
                <w:szCs w:val="1"/>
                <w:color w:val="auto"/>
              </w:rPr>
            </w:pPr>
          </w:p>
        </w:tc>
      </w:tr>
      <w:tr>
        <w:trPr>
          <w:trHeight w:val="202"/>
        </w:trPr>
        <w:tc>
          <w:tcPr>
            <w:tcW w:w="78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2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3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175,503</w:t>
            </w:r>
          </w:p>
        </w:tc>
        <w:tc>
          <w:tcPr>
            <w:tcW w:w="100" w:type="dxa"/>
            <w:vAlign w:val="bottom"/>
            <w:shd w:val="clear" w:color="auto" w:fill="E5FFFF"/>
          </w:tcPr>
          <w:p>
            <w:pPr>
              <w:spacing w:after="0"/>
              <w:rPr>
                <w:sz w:val="17"/>
                <w:szCs w:val="17"/>
                <w:color w:val="auto"/>
              </w:rPr>
            </w:pPr>
          </w:p>
        </w:tc>
        <w:tc>
          <w:tcPr>
            <w:tcW w:w="13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194,864</w:t>
            </w:r>
          </w:p>
        </w:tc>
        <w:tc>
          <w:tcPr>
            <w:tcW w:w="0" w:type="dxa"/>
            <w:vAlign w:val="bottom"/>
          </w:tcPr>
          <w:p>
            <w:pPr>
              <w:spacing w:after="0"/>
              <w:rPr>
                <w:sz w:val="1"/>
                <w:szCs w:val="1"/>
                <w:color w:val="auto"/>
              </w:rPr>
            </w:pPr>
          </w:p>
        </w:tc>
      </w:tr>
      <w:tr>
        <w:trPr>
          <w:trHeight w:val="203"/>
        </w:trPr>
        <w:tc>
          <w:tcPr>
            <w:tcW w:w="7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8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Derivative financial instruments—non-current portion</w:t>
            </w:r>
          </w:p>
        </w:tc>
        <w:tc>
          <w:tcPr>
            <w:tcW w:w="460" w:type="dxa"/>
            <w:vAlign w:val="bottom"/>
            <w:gridSpan w:val="2"/>
            <w:shd w:val="clear" w:color="auto" w:fill="E5FFFF"/>
          </w:tcPr>
          <w:p>
            <w:pPr>
              <w:jc w:val="center"/>
              <w:ind w:left="19"/>
              <w:spacing w:after="0"/>
              <w:rPr>
                <w:sz w:val="20"/>
                <w:szCs w:val="20"/>
                <w:color w:val="auto"/>
              </w:rPr>
            </w:pPr>
            <w:r>
              <w:rPr>
                <w:rFonts w:ascii="Times New Roman" w:cs="Times New Roman" w:eastAsia="Times New Roman" w:hAnsi="Times New Roman"/>
                <w:sz w:val="16"/>
                <w:szCs w:val="16"/>
                <w:color w:val="auto"/>
                <w:w w:val="99"/>
              </w:rPr>
              <w:t>12</w:t>
            </w:r>
          </w:p>
        </w:tc>
        <w:tc>
          <w:tcPr>
            <w:tcW w:w="12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4,061</w:t>
            </w:r>
          </w:p>
        </w:tc>
        <w:tc>
          <w:tcPr>
            <w:tcW w:w="10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7880" w:type="dxa"/>
            <w:vAlign w:val="bottom"/>
          </w:tcPr>
          <w:p>
            <w:pPr>
              <w:spacing w:after="0"/>
              <w:rPr>
                <w:sz w:val="20"/>
                <w:szCs w:val="20"/>
                <w:color w:val="auto"/>
              </w:rPr>
            </w:pPr>
            <w:r>
              <w:rPr>
                <w:rFonts w:ascii="Times New Roman" w:cs="Times New Roman" w:eastAsia="Times New Roman" w:hAnsi="Times New Roman"/>
                <w:sz w:val="16"/>
                <w:szCs w:val="16"/>
                <w:color w:val="auto"/>
              </w:rPr>
              <w:t>Borrowings—non-current portion</w:t>
            </w:r>
          </w:p>
        </w:tc>
        <w:tc>
          <w:tcPr>
            <w:tcW w:w="46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7</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986,451</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847,988</w:t>
            </w:r>
          </w:p>
        </w:tc>
        <w:tc>
          <w:tcPr>
            <w:tcW w:w="0" w:type="dxa"/>
            <w:vAlign w:val="bottom"/>
          </w:tcPr>
          <w:p>
            <w:pPr>
              <w:spacing w:after="0"/>
              <w:rPr>
                <w:sz w:val="1"/>
                <w:szCs w:val="1"/>
                <w:color w:val="auto"/>
              </w:rPr>
            </w:pPr>
          </w:p>
        </w:tc>
      </w:tr>
      <w:tr>
        <w:trPr>
          <w:trHeight w:val="222"/>
        </w:trPr>
        <w:tc>
          <w:tcPr>
            <w:tcW w:w="78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Lease liabilities—non-current portion</w:t>
            </w:r>
          </w:p>
        </w:tc>
        <w:tc>
          <w:tcPr>
            <w:tcW w:w="460" w:type="dxa"/>
            <w:vAlign w:val="bottom"/>
            <w:gridSpan w:val="2"/>
            <w:shd w:val="clear" w:color="auto" w:fill="E5FFFF"/>
          </w:tcPr>
          <w:p>
            <w:pPr>
              <w:jc w:val="center"/>
              <w:ind w:left="19"/>
              <w:spacing w:after="0"/>
              <w:rPr>
                <w:sz w:val="20"/>
                <w:szCs w:val="20"/>
                <w:color w:val="auto"/>
              </w:rPr>
            </w:pPr>
            <w:r>
              <w:rPr>
                <w:rFonts w:ascii="Times New Roman" w:cs="Times New Roman" w:eastAsia="Times New Roman" w:hAnsi="Times New Roman"/>
                <w:sz w:val="16"/>
                <w:szCs w:val="16"/>
                <w:color w:val="auto"/>
                <w:w w:val="99"/>
              </w:rPr>
              <w:t>5</w:t>
            </w:r>
          </w:p>
        </w:tc>
        <w:tc>
          <w:tcPr>
            <w:tcW w:w="12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45,556</w:t>
            </w:r>
          </w:p>
        </w:tc>
        <w:tc>
          <w:tcPr>
            <w:tcW w:w="10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37,680</w:t>
            </w:r>
          </w:p>
        </w:tc>
        <w:tc>
          <w:tcPr>
            <w:tcW w:w="0" w:type="dxa"/>
            <w:vAlign w:val="bottom"/>
          </w:tcPr>
          <w:p>
            <w:pPr>
              <w:spacing w:after="0"/>
              <w:rPr>
                <w:sz w:val="1"/>
                <w:szCs w:val="1"/>
                <w:color w:val="auto"/>
              </w:rPr>
            </w:pPr>
          </w:p>
        </w:tc>
      </w:tr>
      <w:tr>
        <w:trPr>
          <w:trHeight w:val="210"/>
        </w:trPr>
        <w:tc>
          <w:tcPr>
            <w:tcW w:w="788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20" w:type="dxa"/>
            <w:vAlign w:val="bottom"/>
            <w:tcBorders>
              <w:bottom w:val="single" w:sz="8" w:color="E5FFFF"/>
            </w:tcBorders>
          </w:tcPr>
          <w:p>
            <w:pPr>
              <w:spacing w:after="0"/>
              <w:rPr>
                <w:sz w:val="18"/>
                <w:szCs w:val="18"/>
                <w:color w:val="auto"/>
              </w:rPr>
            </w:pPr>
          </w:p>
        </w:tc>
        <w:tc>
          <w:tcPr>
            <w:tcW w:w="340" w:type="dxa"/>
            <w:vAlign w:val="bottom"/>
            <w:tcBorders>
              <w:bottom w:val="single" w:sz="8" w:color="E5FFFF"/>
            </w:tcBorders>
          </w:tcPr>
          <w:p>
            <w:pPr>
              <w:spacing w:after="0"/>
              <w:rPr>
                <w:sz w:val="18"/>
                <w:szCs w:val="18"/>
                <w:color w:val="auto"/>
              </w:rPr>
            </w:pPr>
          </w:p>
        </w:tc>
        <w:tc>
          <w:tcPr>
            <w:tcW w:w="120" w:type="dxa"/>
            <w:vAlign w:val="bottom"/>
            <w:tcBorders>
              <w:bottom w:val="single" w:sz="8" w:color="E5FFFF"/>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100" w:type="dxa"/>
            <w:vAlign w:val="bottom"/>
            <w:tcBorders>
              <w:bottom w:val="single" w:sz="8" w:color="E5FFFF"/>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0" w:type="dxa"/>
            <w:vAlign w:val="bottom"/>
          </w:tcPr>
          <w:p>
            <w:pPr>
              <w:spacing w:after="0"/>
              <w:rPr>
                <w:sz w:val="1"/>
                <w:szCs w:val="1"/>
                <w:color w:val="auto"/>
              </w:rPr>
            </w:pPr>
          </w:p>
        </w:tc>
      </w:tr>
      <w:tr>
        <w:trPr>
          <w:trHeight w:val="202"/>
        </w:trPr>
        <w:tc>
          <w:tcPr>
            <w:tcW w:w="78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Total non-current liabilities</w:t>
            </w:r>
          </w:p>
        </w:tc>
        <w:tc>
          <w:tcPr>
            <w:tcW w:w="12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3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1,036,732</w:t>
            </w:r>
          </w:p>
        </w:tc>
        <w:tc>
          <w:tcPr>
            <w:tcW w:w="100" w:type="dxa"/>
            <w:vAlign w:val="bottom"/>
            <w:shd w:val="clear" w:color="auto" w:fill="E5FFFF"/>
          </w:tcPr>
          <w:p>
            <w:pPr>
              <w:spacing w:after="0"/>
              <w:rPr>
                <w:sz w:val="17"/>
                <w:szCs w:val="17"/>
                <w:color w:val="auto"/>
              </w:rPr>
            </w:pPr>
          </w:p>
        </w:tc>
        <w:tc>
          <w:tcPr>
            <w:tcW w:w="13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885,968</w:t>
            </w:r>
          </w:p>
        </w:tc>
        <w:tc>
          <w:tcPr>
            <w:tcW w:w="0" w:type="dxa"/>
            <w:vAlign w:val="bottom"/>
          </w:tcPr>
          <w:p>
            <w:pPr>
              <w:spacing w:after="0"/>
              <w:rPr>
                <w:sz w:val="1"/>
                <w:szCs w:val="1"/>
                <w:color w:val="auto"/>
              </w:rPr>
            </w:pPr>
          </w:p>
        </w:tc>
      </w:tr>
      <w:tr>
        <w:trPr>
          <w:trHeight w:val="196"/>
        </w:trPr>
        <w:tc>
          <w:tcPr>
            <w:tcW w:w="7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partners’ equity and liabilities</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2,131,733</w:t>
            </w:r>
          </w:p>
        </w:tc>
        <w:tc>
          <w:tcPr>
            <w:tcW w:w="100" w:type="dxa"/>
            <w:vAlign w:val="bottom"/>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2,018,249</w:t>
            </w: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b w:val="1"/>
          <w:bCs w:val="1"/>
          <w:color w:val="auto"/>
        </w:rPr>
        <w:t>GasLog Partners LP</w:t>
      </w:r>
    </w:p>
    <w:p>
      <w:pPr>
        <w:spacing w:after="0" w:line="235" w:lineRule="exact"/>
        <w:rPr>
          <w:sz w:val="20"/>
          <w:szCs w:val="20"/>
          <w:color w:val="auto"/>
        </w:rPr>
      </w:pPr>
    </w:p>
    <w:p>
      <w:pPr>
        <w:ind w:right="4660"/>
        <w:spacing w:after="0" w:line="270" w:lineRule="auto"/>
        <w:rPr>
          <w:sz w:val="20"/>
          <w:szCs w:val="20"/>
          <w:color w:val="auto"/>
        </w:rPr>
      </w:pPr>
      <w:r>
        <w:rPr>
          <w:rFonts w:ascii="Times New Roman" w:cs="Times New Roman" w:eastAsia="Times New Roman" w:hAnsi="Times New Roman"/>
          <w:sz w:val="16"/>
          <w:szCs w:val="16"/>
          <w:b w:val="1"/>
          <w:bCs w:val="1"/>
          <w:color w:val="auto"/>
        </w:rPr>
        <w:t>Unaudited condensed consolidated statements of profit or loss and total comprehensive income For the three and nine months ended September 30, 2021 and 2022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(All amounts expressed in thousands of U.S. Dollars, except per unit data)</w:t>
      </w:r>
    </w:p>
    <w:p>
      <w:pPr>
        <w:sectPr>
          <w:pgSz w:w="11900" w:h="16838" w:orient="portrait"/>
          <w:cols w:equalWidth="0" w:num="1">
            <w:col w:w="11200"/>
          </w:cols>
          <w:pgMar w:left="320" w:top="90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Revenues</w:t>
      </w:r>
    </w:p>
    <w:p>
      <w:pPr>
        <w:spacing w:after="0" w:line="4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Voyage expenses and commissions</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Vessel operating costs</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Depreciation</w:t>
      </w:r>
    </w:p>
    <w:p>
      <w:pPr>
        <w:spacing w:after="0" w:line="2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General and administrative expenses</w:t>
      </w:r>
    </w:p>
    <w:p>
      <w:pPr>
        <w:spacing w:after="0" w:line="2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Loss on disposal of vessel</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Impairment loss on vessels</w:t>
      </w:r>
    </w:p>
    <w:p>
      <w:pPr>
        <w:spacing w:after="0" w:line="3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b w:val="1"/>
          <w:bCs w:val="1"/>
          <w:color w:val="auto"/>
        </w:rPr>
        <w:t>Profit from operations</w:t>
      </w:r>
    </w:p>
    <w:p>
      <w:pPr>
        <w:spacing w:after="0" w:line="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Financial costs</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Financial income</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(Loss)/gain on derivatives</w:t>
      </w:r>
    </w:p>
    <w:p>
      <w:pPr>
        <w:spacing w:after="0" w:line="3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b w:val="1"/>
          <w:bCs w:val="1"/>
          <w:color w:val="auto"/>
        </w:rPr>
        <w:t>Total other expenses, net</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b w:val="1"/>
          <w:bCs w:val="1"/>
          <w:color w:val="auto"/>
        </w:rPr>
        <w:t>Profit and total comprehensive income for the period</w:t>
      </w:r>
    </w:p>
    <w:p>
      <w:pPr>
        <w:spacing w:after="0" w:line="28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b w:val="1"/>
          <w:bCs w:val="1"/>
          <w:color w:val="auto"/>
        </w:rPr>
        <w:t>Earnings per unit, basic and diluted:</w:t>
      </w:r>
    </w:p>
    <w:p>
      <w:pPr>
        <w:spacing w:after="0" w:line="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Common unit, basic</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Common unit, diluted</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General partner unit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00" w:type="dxa"/>
            <w:vAlign w:val="bottom"/>
            <w:gridSpan w:val="4"/>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800" w:type="dxa"/>
            <w:vAlign w:val="bottom"/>
            <w:gridSpan w:val="4"/>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0" w:type="dxa"/>
            <w:vAlign w:val="bottom"/>
          </w:tcPr>
          <w:p>
            <w:pPr>
              <w:spacing w:after="0"/>
              <w:rPr>
                <w:sz w:val="1"/>
                <w:szCs w:val="1"/>
                <w:color w:val="auto"/>
              </w:rPr>
            </w:pPr>
          </w:p>
        </w:tc>
      </w:tr>
      <w:tr>
        <w:trPr>
          <w:trHeight w:val="203"/>
        </w:trPr>
        <w:tc>
          <w:tcPr>
            <w:tcW w:w="5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Note</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4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3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5"/>
        </w:trPr>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5"/>
        </w:trPr>
        <w:tc>
          <w:tcPr>
            <w:tcW w:w="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w:t>
            </w:r>
          </w:p>
        </w:tc>
        <w:tc>
          <w:tcPr>
            <w:tcW w:w="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80,535</w:t>
            </w: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95,679</w:t>
            </w: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237,975</w:t>
            </w:r>
          </w:p>
        </w:tc>
        <w:tc>
          <w:tcPr>
            <w:tcW w:w="1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266,060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(1,371)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(1,383)</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(5,302)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(5,016)</w:t>
            </w:r>
          </w:p>
        </w:tc>
        <w:tc>
          <w:tcPr>
            <w:tcW w:w="0" w:type="dxa"/>
            <w:vAlign w:val="bottom"/>
          </w:tcPr>
          <w:p>
            <w:pPr>
              <w:spacing w:after="0"/>
              <w:rPr>
                <w:sz w:val="1"/>
                <w:szCs w:val="1"/>
                <w:color w:val="auto"/>
              </w:rPr>
            </w:pPr>
          </w:p>
        </w:tc>
      </w:tr>
      <w:tr>
        <w:trPr>
          <w:trHeight w:val="216"/>
        </w:trPr>
        <w:tc>
          <w:tcPr>
            <w:tcW w:w="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w:t>
            </w:r>
          </w:p>
        </w:tc>
        <w:tc>
          <w:tcPr>
            <w:tcW w:w="1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(18,555)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(16,744)</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(56,406)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(54,365)</w:t>
            </w:r>
          </w:p>
        </w:tc>
        <w:tc>
          <w:tcPr>
            <w:tcW w:w="0" w:type="dxa"/>
            <w:vAlign w:val="bottom"/>
          </w:tcPr>
          <w:p>
            <w:pPr>
              <w:spacing w:after="0"/>
              <w:rPr>
                <w:sz w:val="1"/>
                <w:szCs w:val="1"/>
                <w:color w:val="auto"/>
              </w:rPr>
            </w:pPr>
          </w:p>
        </w:tc>
      </w:tr>
      <w:tr>
        <w:trPr>
          <w:trHeight w:val="216"/>
        </w:trPr>
        <w:tc>
          <w:tcPr>
            <w:tcW w:w="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4, 5</w:t>
            </w:r>
          </w:p>
        </w:tc>
        <w:tc>
          <w:tcPr>
            <w:tcW w:w="1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(21,281)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(20,696)</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(62,765)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(64,907)</w:t>
            </w:r>
          </w:p>
        </w:tc>
        <w:tc>
          <w:tcPr>
            <w:tcW w:w="0" w:type="dxa"/>
            <w:vAlign w:val="bottom"/>
          </w:tcPr>
          <w:p>
            <w:pPr>
              <w:spacing w:after="0"/>
              <w:rPr>
                <w:sz w:val="1"/>
                <w:szCs w:val="1"/>
                <w:color w:val="auto"/>
              </w:rPr>
            </w:pPr>
          </w:p>
        </w:tc>
      </w:tr>
      <w:tr>
        <w:trPr>
          <w:trHeight w:val="216"/>
        </w:trPr>
        <w:tc>
          <w:tcPr>
            <w:tcW w:w="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w:t>
            </w:r>
          </w:p>
        </w:tc>
        <w:tc>
          <w:tcPr>
            <w:tcW w:w="1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(3,295)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(4,263)</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(9,854)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(13,334)</w:t>
            </w:r>
          </w:p>
        </w:tc>
        <w:tc>
          <w:tcPr>
            <w:tcW w:w="0" w:type="dxa"/>
            <w:vAlign w:val="bottom"/>
          </w:tcPr>
          <w:p>
            <w:pPr>
              <w:spacing w:after="0"/>
              <w:rPr>
                <w:sz w:val="1"/>
                <w:szCs w:val="1"/>
                <w:color w:val="auto"/>
              </w:rPr>
            </w:pPr>
          </w:p>
        </w:tc>
      </w:tr>
      <w:tr>
        <w:trPr>
          <w:trHeight w:val="216"/>
        </w:trPr>
        <w:tc>
          <w:tcPr>
            <w:tcW w:w="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12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0" w:type="dxa"/>
            <w:vAlign w:val="bottom"/>
          </w:tcPr>
          <w:p>
            <w:pPr>
              <w:spacing w:after="0"/>
              <w:rPr>
                <w:sz w:val="1"/>
                <w:szCs w:val="1"/>
                <w:color w:val="auto"/>
              </w:rPr>
            </w:pPr>
          </w:p>
        </w:tc>
      </w:tr>
      <w:tr>
        <w:trPr>
          <w:trHeight w:val="227"/>
        </w:trPr>
        <w:tc>
          <w:tcPr>
            <w:tcW w:w="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12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(28,027)</w:t>
            </w:r>
          </w:p>
        </w:tc>
        <w:tc>
          <w:tcPr>
            <w:tcW w:w="0" w:type="dxa"/>
            <w:vAlign w:val="bottom"/>
          </w:tcPr>
          <w:p>
            <w:pPr>
              <w:spacing w:after="0"/>
              <w:rPr>
                <w:sz w:val="1"/>
                <w:szCs w:val="1"/>
                <w:color w:val="auto"/>
              </w:rPr>
            </w:pPr>
          </w:p>
        </w:tc>
      </w:tr>
      <w:tr>
        <w:trPr>
          <w:trHeight w:val="199"/>
        </w:trPr>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36,033</w:t>
            </w:r>
          </w:p>
        </w:tc>
        <w:tc>
          <w:tcPr>
            <w:tcW w:w="120" w:type="dxa"/>
            <w:vAlign w:val="bottom"/>
            <w:vMerge w:val="restart"/>
          </w:tcPr>
          <w:p>
            <w:pPr>
              <w:jc w:val="right"/>
              <w:ind w:right="40"/>
              <w:spacing w:after="0"/>
              <w:rPr>
                <w:sz w:val="20"/>
                <w:szCs w:val="20"/>
                <w:color w:val="auto"/>
              </w:rPr>
            </w:pPr>
            <w:r>
              <w:rPr>
                <w:rFonts w:ascii="Times New Roman" w:cs="Times New Roman" w:eastAsia="Times New Roman" w:hAnsi="Times New Roman"/>
                <w:sz w:val="8"/>
                <w:szCs w:val="8"/>
                <w:color w:val="auto"/>
                <w:w w:val="73"/>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52,427</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103,648</w:t>
            </w:r>
          </w:p>
        </w:tc>
        <w:tc>
          <w:tcPr>
            <w:tcW w:w="100" w:type="dxa"/>
            <w:vAlign w:val="bottom"/>
            <w:vMerge w:val="restart"/>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100,245</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6"/>
        </w:trPr>
        <w:tc>
          <w:tcPr>
            <w:tcW w:w="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13</w:t>
            </w: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(9,373</w:t>
            </w:r>
          </w:p>
        </w:tc>
        <w:tc>
          <w:tcPr>
            <w:tcW w:w="120" w:type="dxa"/>
            <w:vAlign w:val="bottom"/>
            <w:vMerge w:val="continue"/>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(13,381</w:t>
            </w:r>
          </w:p>
        </w:tc>
        <w:tc>
          <w:tcPr>
            <w:tcW w:w="120" w:type="dxa"/>
            <w:vAlign w:val="bottom"/>
            <w:vMerge w:val="continue"/>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(27,904</w:t>
            </w:r>
          </w:p>
        </w:tc>
        <w:tc>
          <w:tcPr>
            <w:tcW w:w="100" w:type="dxa"/>
            <w:vAlign w:val="bottom"/>
            <w:vMerge w:val="continue"/>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(31,940</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13</w:t>
            </w:r>
          </w:p>
        </w:tc>
        <w:tc>
          <w:tcPr>
            <w:tcW w:w="1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(182)</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2,993</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(9,546</w:t>
            </w:r>
          </w:p>
        </w:tc>
        <w:tc>
          <w:tcPr>
            <w:tcW w:w="120" w:type="dxa"/>
            <w:vAlign w:val="bottom"/>
          </w:tcPr>
          <w:p>
            <w:pPr>
              <w:jc w:val="right"/>
              <w:ind w:right="4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(9,776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(27,138</w:t>
            </w:r>
          </w:p>
        </w:tc>
        <w:tc>
          <w:tcPr>
            <w:tcW w:w="100" w:type="dxa"/>
            <w:vAlign w:val="bottom"/>
          </w:tcPr>
          <w:p>
            <w:pPr>
              <w:jc w:val="right"/>
              <w:ind w:right="2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(21,852</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26,487</w:t>
            </w:r>
          </w:p>
        </w:tc>
        <w:tc>
          <w:tcPr>
            <w:tcW w:w="12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42,651</w:t>
            </w:r>
          </w:p>
        </w:tc>
        <w:tc>
          <w:tcPr>
            <w:tcW w:w="12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76,510</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78,393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14</w:t>
            </w: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4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0.37</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0.69</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0.67</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0.37</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0.69</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-3045460</wp:posOffset>
            </wp:positionH>
            <wp:positionV relativeFrom="paragraph">
              <wp:posOffset>-2489835</wp:posOffset>
            </wp:positionV>
            <wp:extent cx="698627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86270" cy="137160"/>
                    </a:xfrm>
                    <a:prstGeom prst="rect">
                      <a:avLst/>
                    </a:prstGeom>
                    <a:noFill/>
                  </pic:spPr>
                </pic:pic>
              </a:graphicData>
            </a:graphic>
          </wp:anchor>
        </w:drawing>
        <w:drawing>
          <wp:anchor simplePos="0" relativeHeight="251657728" behindDoc="1" locked="0" layoutInCell="0" allowOverlap="1">
            <wp:simplePos x="0" y="0"/>
            <wp:positionH relativeFrom="column">
              <wp:posOffset>-3045460</wp:posOffset>
            </wp:positionH>
            <wp:positionV relativeFrom="paragraph">
              <wp:posOffset>-2215515</wp:posOffset>
            </wp:positionV>
            <wp:extent cx="698627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86270" cy="137160"/>
                    </a:xfrm>
                    <a:prstGeom prst="rect">
                      <a:avLst/>
                    </a:prstGeom>
                    <a:noFill/>
                  </pic:spPr>
                </pic:pic>
              </a:graphicData>
            </a:graphic>
          </wp:anchor>
        </w:drawing>
        <w:drawing>
          <wp:anchor simplePos="0" relativeHeight="251657728" behindDoc="1" locked="0" layoutInCell="0" allowOverlap="1">
            <wp:simplePos x="0" y="0"/>
            <wp:positionH relativeFrom="column">
              <wp:posOffset>-3045460</wp:posOffset>
            </wp:positionH>
            <wp:positionV relativeFrom="paragraph">
              <wp:posOffset>-1941195</wp:posOffset>
            </wp:positionV>
            <wp:extent cx="698627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86270" cy="137160"/>
                    </a:xfrm>
                    <a:prstGeom prst="rect">
                      <a:avLst/>
                    </a:prstGeom>
                    <a:noFill/>
                  </pic:spPr>
                </pic:pic>
              </a:graphicData>
            </a:graphic>
          </wp:anchor>
        </w:drawing>
        <w:drawing>
          <wp:anchor simplePos="0" relativeHeight="251657728" behindDoc="1" locked="0" layoutInCell="0" allowOverlap="1">
            <wp:simplePos x="0" y="0"/>
            <wp:positionH relativeFrom="column">
              <wp:posOffset>-3045460</wp:posOffset>
            </wp:positionH>
            <wp:positionV relativeFrom="paragraph">
              <wp:posOffset>-1666875</wp:posOffset>
            </wp:positionV>
            <wp:extent cx="698627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86270" cy="137160"/>
                    </a:xfrm>
                    <a:prstGeom prst="rect">
                      <a:avLst/>
                    </a:prstGeom>
                    <a:noFill/>
                  </pic:spPr>
                </pic:pic>
              </a:graphicData>
            </a:graphic>
          </wp:anchor>
        </w:drawing>
        <w:drawing>
          <wp:anchor simplePos="0" relativeHeight="251657728" behindDoc="1" locked="0" layoutInCell="0" allowOverlap="1">
            <wp:simplePos x="0" y="0"/>
            <wp:positionH relativeFrom="column">
              <wp:posOffset>-3045460</wp:posOffset>
            </wp:positionH>
            <wp:positionV relativeFrom="paragraph">
              <wp:posOffset>-1392555</wp:posOffset>
            </wp:positionV>
            <wp:extent cx="698627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86270" cy="137160"/>
                    </a:xfrm>
                    <a:prstGeom prst="rect">
                      <a:avLst/>
                    </a:prstGeom>
                    <a:noFill/>
                  </pic:spPr>
                </pic:pic>
              </a:graphicData>
            </a:graphic>
          </wp:anchor>
        </w:drawing>
        <w:drawing>
          <wp:anchor simplePos="0" relativeHeight="251657728" behindDoc="1" locked="0" layoutInCell="0" allowOverlap="1">
            <wp:simplePos x="0" y="0"/>
            <wp:positionH relativeFrom="column">
              <wp:posOffset>-3045460</wp:posOffset>
            </wp:positionH>
            <wp:positionV relativeFrom="paragraph">
              <wp:posOffset>-1118235</wp:posOffset>
            </wp:positionV>
            <wp:extent cx="698627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86270" cy="137160"/>
                    </a:xfrm>
                    <a:prstGeom prst="rect">
                      <a:avLst/>
                    </a:prstGeom>
                    <a:noFill/>
                  </pic:spPr>
                </pic:pic>
              </a:graphicData>
            </a:graphic>
          </wp:anchor>
        </w:drawing>
        <w:drawing>
          <wp:anchor simplePos="0" relativeHeight="251657728" behindDoc="1" locked="0" layoutInCell="0" allowOverlap="1">
            <wp:simplePos x="0" y="0"/>
            <wp:positionH relativeFrom="column">
              <wp:posOffset>-3045460</wp:posOffset>
            </wp:positionH>
            <wp:positionV relativeFrom="paragraph">
              <wp:posOffset>-843915</wp:posOffset>
            </wp:positionV>
            <wp:extent cx="698627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86270" cy="146050"/>
                    </a:xfrm>
                    <a:prstGeom prst="rect">
                      <a:avLst/>
                    </a:prstGeom>
                    <a:noFill/>
                  </pic:spPr>
                </pic:pic>
              </a:graphicData>
            </a:graphic>
          </wp:anchor>
        </w:drawing>
        <w:drawing>
          <wp:anchor simplePos="0" relativeHeight="251657728" behindDoc="1" locked="0" layoutInCell="0" allowOverlap="1">
            <wp:simplePos x="0" y="0"/>
            <wp:positionH relativeFrom="column">
              <wp:posOffset>-3045460</wp:posOffset>
            </wp:positionH>
            <wp:positionV relativeFrom="paragraph">
              <wp:posOffset>-544195</wp:posOffset>
            </wp:positionV>
            <wp:extent cx="698627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86270" cy="137160"/>
                    </a:xfrm>
                    <a:prstGeom prst="rect">
                      <a:avLst/>
                    </a:prstGeom>
                    <a:noFill/>
                  </pic:spPr>
                </pic:pic>
              </a:graphicData>
            </a:graphic>
          </wp:anchor>
        </w:drawing>
        <w:drawing>
          <wp:anchor simplePos="0" relativeHeight="251657728" behindDoc="1" locked="0" layoutInCell="0" allowOverlap="1">
            <wp:simplePos x="0" y="0"/>
            <wp:positionH relativeFrom="column">
              <wp:posOffset>-3045460</wp:posOffset>
            </wp:positionH>
            <wp:positionV relativeFrom="paragraph">
              <wp:posOffset>-269875</wp:posOffset>
            </wp:positionV>
            <wp:extent cx="698627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8627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20" w:space="720"/>
            <w:col w:w="6260"/>
          </w:cols>
          <w:pgMar w:left="320" w:top="907"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7" w:right="37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6"/>
          <w:szCs w:val="16"/>
          <w:b w:val="1"/>
          <w:bCs w:val="1"/>
          <w:color w:val="auto"/>
        </w:rPr>
        <w:t>GasLog Partners LP</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changes in partners’ equity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 2021 and 2022</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(All amounts expressed in thousands of U.S. Dollars, except unit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880" w:type="dxa"/>
            <w:vAlign w:val="bottom"/>
            <w:gridSpan w:val="4"/>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12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81"/>
        </w:trPr>
        <w:tc>
          <w:tcPr>
            <w:tcW w:w="3280" w:type="dxa"/>
            <w:vAlign w:val="bottom"/>
          </w:tcPr>
          <w:p>
            <w:pPr>
              <w:spacing w:after="0"/>
              <w:rPr>
                <w:sz w:val="7"/>
                <w:szCs w:val="7"/>
                <w:color w:val="auto"/>
              </w:rPr>
            </w:pPr>
          </w:p>
        </w:tc>
        <w:tc>
          <w:tcPr>
            <w:tcW w:w="1820" w:type="dxa"/>
            <w:vAlign w:val="bottom"/>
            <w:gridSpan w:val="3"/>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General partner</w:t>
            </w:r>
          </w:p>
        </w:tc>
        <w:tc>
          <w:tcPr>
            <w:tcW w:w="120" w:type="dxa"/>
            <w:vAlign w:val="bottom"/>
            <w:vMerge w:val="restart"/>
          </w:tcPr>
          <w:p>
            <w:pPr>
              <w:spacing w:after="0"/>
              <w:rPr>
                <w:sz w:val="7"/>
                <w:szCs w:val="7"/>
                <w:color w:val="auto"/>
              </w:rPr>
            </w:pPr>
          </w:p>
        </w:tc>
        <w:tc>
          <w:tcPr>
            <w:tcW w:w="1800" w:type="dxa"/>
            <w:vAlign w:val="bottom"/>
            <w:gridSpan w:val="3"/>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Common unitholders</w:t>
            </w:r>
          </w:p>
        </w:tc>
        <w:tc>
          <w:tcPr>
            <w:tcW w:w="100" w:type="dxa"/>
            <w:vAlign w:val="bottom"/>
            <w:vMerge w:val="restart"/>
          </w:tcPr>
          <w:p>
            <w:pPr>
              <w:spacing w:after="0"/>
              <w:rPr>
                <w:sz w:val="7"/>
                <w:szCs w:val="7"/>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unitholders</w:t>
            </w:r>
          </w:p>
        </w:tc>
        <w:tc>
          <w:tcPr>
            <w:tcW w:w="120" w:type="dxa"/>
            <w:vAlign w:val="bottom"/>
            <w:vMerge w:val="restart"/>
          </w:tcPr>
          <w:p>
            <w:pPr>
              <w:spacing w:after="0"/>
              <w:rPr>
                <w:sz w:val="7"/>
                <w:szCs w:val="7"/>
                <w:color w:val="auto"/>
              </w:rPr>
            </w:pPr>
          </w:p>
        </w:tc>
        <w:tc>
          <w:tcPr>
            <w:tcW w:w="1780" w:type="dxa"/>
            <w:vAlign w:val="bottom"/>
            <w:gridSpan w:val="3"/>
            <w:vMerge w:val="restart"/>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unitholders</w:t>
            </w:r>
          </w:p>
        </w:tc>
        <w:tc>
          <w:tcPr>
            <w:tcW w:w="100" w:type="dxa"/>
            <w:vAlign w:val="bottom"/>
            <w:vMerge w:val="restart"/>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3280" w:type="dxa"/>
            <w:vAlign w:val="bottom"/>
          </w:tcPr>
          <w:p>
            <w:pPr>
              <w:spacing w:after="0"/>
              <w:rPr>
                <w:sz w:val="8"/>
                <w:szCs w:val="8"/>
                <w:color w:val="auto"/>
              </w:rPr>
            </w:pPr>
          </w:p>
        </w:tc>
        <w:tc>
          <w:tcPr>
            <w:tcW w:w="1820" w:type="dxa"/>
            <w:vAlign w:val="bottom"/>
            <w:tcBorders>
              <w:bottom w:val="single" w:sz="8" w:color="auto"/>
            </w:tcBorders>
            <w:gridSpan w:val="3"/>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800" w:type="dxa"/>
            <w:vAlign w:val="bottom"/>
            <w:tcBorders>
              <w:bottom w:val="single" w:sz="8" w:color="auto"/>
            </w:tcBorders>
            <w:gridSpan w:val="3"/>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780" w:type="dxa"/>
            <w:vAlign w:val="bottom"/>
            <w:tcBorders>
              <w:bottom w:val="single" w:sz="8" w:color="auto"/>
            </w:tcBorders>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780" w:type="dxa"/>
            <w:vAlign w:val="bottom"/>
            <w:tcBorders>
              <w:bottom w:val="single" w:sz="8" w:color="auto"/>
            </w:tcBorders>
            <w:gridSpan w:val="3"/>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280" w:type="dxa"/>
            <w:vAlign w:val="bottom"/>
            <w:gridSpan w:val="2"/>
            <w:vMerge w:val="restart"/>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Partners’</w:t>
            </w:r>
          </w:p>
        </w:tc>
        <w:tc>
          <w:tcPr>
            <w:tcW w:w="0" w:type="dxa"/>
            <w:vAlign w:val="bottom"/>
          </w:tcPr>
          <w:p>
            <w:pPr>
              <w:spacing w:after="0"/>
              <w:rPr>
                <w:sz w:val="1"/>
                <w:szCs w:val="1"/>
                <w:color w:val="auto"/>
              </w:rPr>
            </w:pPr>
          </w:p>
        </w:tc>
      </w:tr>
      <w:tr>
        <w:trPr>
          <w:trHeight w:val="36"/>
        </w:trPr>
        <w:tc>
          <w:tcPr>
            <w:tcW w:w="3280" w:type="dxa"/>
            <w:vAlign w:val="bottom"/>
          </w:tcPr>
          <w:p>
            <w:pPr>
              <w:spacing w:after="0"/>
              <w:rPr>
                <w:sz w:val="3"/>
                <w:szCs w:val="3"/>
                <w:color w:val="auto"/>
              </w:rPr>
            </w:pPr>
          </w:p>
        </w:tc>
        <w:tc>
          <w:tcPr>
            <w:tcW w:w="9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9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8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12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32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2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328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E5FFFF"/>
          </w:tcPr>
          <w:p>
            <w:pPr>
              <w:spacing w:after="0"/>
              <w:rPr>
                <w:sz w:val="20"/>
                <w:szCs w:val="20"/>
                <w:color w:val="auto"/>
              </w:rPr>
            </w:pPr>
            <w:r>
              <w:rPr>
                <w:rFonts w:ascii="Times New Roman" w:cs="Times New Roman" w:eastAsia="Times New Roman" w:hAnsi="Times New Roman"/>
                <w:sz w:val="14"/>
                <w:szCs w:val="14"/>
                <w:b w:val="1"/>
                <w:bCs w:val="1"/>
                <w:color w:val="auto"/>
              </w:rPr>
              <w:t>Balance as of January 1, 2021</w:t>
            </w:r>
          </w:p>
        </w:tc>
        <w:tc>
          <w:tcPr>
            <w:tcW w:w="92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1,021,336</w:t>
            </w:r>
          </w:p>
        </w:tc>
        <w:tc>
          <w:tcPr>
            <w:tcW w:w="102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11,028</w:t>
            </w:r>
          </w:p>
        </w:tc>
        <w:tc>
          <w:tcPr>
            <w:tcW w:w="9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47,517,824</w:t>
            </w:r>
          </w:p>
        </w:tc>
        <w:tc>
          <w:tcPr>
            <w:tcW w:w="10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594,901</w:t>
            </w:r>
          </w:p>
        </w:tc>
        <w:tc>
          <w:tcPr>
            <w:tcW w:w="90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2,075,000</w:t>
            </w:r>
          </w:p>
        </w:tc>
        <w:tc>
          <w:tcPr>
            <w:tcW w:w="88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14,350,000</w:t>
            </w:r>
          </w:p>
        </w:tc>
        <w:tc>
          <w:tcPr>
            <w:tcW w:w="10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347,889</w:t>
            </w: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4"/>
                <w:szCs w:val="14"/>
                <w:b w:val="1"/>
                <w:bCs w:val="1"/>
                <w:color w:val="auto"/>
              </w:rPr>
              <w:t>953,818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32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Net proceeds from public offerings of common units</w:t>
            </w: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56,158</w:t>
            </w:r>
          </w:p>
        </w:tc>
        <w:tc>
          <w:tcPr>
            <w:tcW w:w="10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205</w:t>
            </w: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3,195,401</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9,637</w:t>
            </w: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9,842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2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and issuances of general partner units</w:t>
            </w:r>
          </w:p>
        </w:tc>
        <w:tc>
          <w:tcPr>
            <w:tcW w:w="9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E5FFFF"/>
          </w:tcPr>
          <w:p>
            <w:pPr>
              <w:spacing w:after="0"/>
              <w:rPr>
                <w:sz w:val="20"/>
                <w:szCs w:val="20"/>
                <w:color w:val="auto"/>
              </w:rPr>
            </w:pPr>
            <w:r>
              <w:rPr>
                <w:rFonts w:ascii="Times New Roman" w:cs="Times New Roman" w:eastAsia="Times New Roman" w:hAnsi="Times New Roman"/>
                <w:sz w:val="14"/>
                <w:szCs w:val="14"/>
                <w:color w:val="auto"/>
              </w:rPr>
              <w:t>Settlement of awards vested during the period</w:t>
            </w:r>
          </w:p>
        </w:tc>
        <w:tc>
          <w:tcPr>
            <w:tcW w:w="92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4"/>
                <w:szCs w:val="14"/>
                <w:color w:val="auto"/>
              </w:rPr>
              <w:t>8,976</w:t>
            </w:r>
          </w:p>
        </w:tc>
        <w:tc>
          <w:tcPr>
            <w:tcW w:w="10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Repurchases of preference units (Note 14)</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132</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(489,337)</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(12,496)</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(12,361)</w:t>
            </w:r>
          </w:p>
        </w:tc>
        <w:tc>
          <w:tcPr>
            <w:tcW w:w="0" w:type="dxa"/>
            <w:vAlign w:val="bottom"/>
          </w:tcPr>
          <w:p>
            <w:pPr>
              <w:spacing w:after="0"/>
              <w:rPr>
                <w:sz w:val="1"/>
                <w:szCs w:val="1"/>
                <w:color w:val="auto"/>
              </w:rPr>
            </w:pPr>
          </w:p>
        </w:tc>
      </w:tr>
      <w:tr>
        <w:trPr>
          <w:trHeight w:val="216"/>
        </w:trPr>
        <w:tc>
          <w:tcPr>
            <w:tcW w:w="3280" w:type="dxa"/>
            <w:vAlign w:val="bottom"/>
            <w:shd w:val="clear" w:color="auto" w:fill="E5FFFF"/>
          </w:tcPr>
          <w:p>
            <w:pPr>
              <w:spacing w:after="0"/>
              <w:rPr>
                <w:sz w:val="20"/>
                <w:szCs w:val="20"/>
                <w:color w:val="auto"/>
              </w:rPr>
            </w:pPr>
            <w:r>
              <w:rPr>
                <w:rFonts w:ascii="Times New Roman" w:cs="Times New Roman" w:eastAsia="Times New Roman" w:hAnsi="Times New Roman"/>
                <w:sz w:val="14"/>
                <w:szCs w:val="14"/>
                <w:color w:val="auto"/>
              </w:rPr>
              <w:t>Conversion of Class B units to common units</w:t>
            </w:r>
          </w:p>
        </w:tc>
        <w:tc>
          <w:tcPr>
            <w:tcW w:w="92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4"/>
                <w:szCs w:val="14"/>
                <w:color w:val="auto"/>
              </w:rPr>
              <w:t>415,000</w:t>
            </w:r>
          </w:p>
        </w:tc>
        <w:tc>
          <w:tcPr>
            <w:tcW w:w="10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4"/>
                <w:szCs w:val="14"/>
                <w:color w:val="auto"/>
              </w:rPr>
              <w:t>(415,000)</w:t>
            </w:r>
          </w:p>
        </w:tc>
        <w:tc>
          <w:tcPr>
            <w:tcW w:w="88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Distributions declared</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(31)</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(1,461)</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(22,576)</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(24,068)</w:t>
            </w:r>
          </w:p>
        </w:tc>
        <w:tc>
          <w:tcPr>
            <w:tcW w:w="0" w:type="dxa"/>
            <w:vAlign w:val="bottom"/>
          </w:tcPr>
          <w:p>
            <w:pPr>
              <w:spacing w:after="0"/>
              <w:rPr>
                <w:sz w:val="1"/>
                <w:szCs w:val="1"/>
                <w:color w:val="auto"/>
              </w:rPr>
            </w:pPr>
          </w:p>
        </w:tc>
      </w:tr>
      <w:tr>
        <w:trPr>
          <w:trHeight w:val="216"/>
        </w:trPr>
        <w:tc>
          <w:tcPr>
            <w:tcW w:w="3280" w:type="dxa"/>
            <w:vAlign w:val="bottom"/>
            <w:shd w:val="clear" w:color="auto" w:fill="E5FFFF"/>
          </w:tcPr>
          <w:p>
            <w:pPr>
              <w:spacing w:after="0"/>
              <w:rPr>
                <w:sz w:val="20"/>
                <w:szCs w:val="20"/>
                <w:color w:val="auto"/>
              </w:rPr>
            </w:pPr>
            <w:r>
              <w:rPr>
                <w:rFonts w:ascii="Times New Roman" w:cs="Times New Roman" w:eastAsia="Times New Roman" w:hAnsi="Times New Roman"/>
                <w:sz w:val="14"/>
                <w:szCs w:val="14"/>
                <w:color w:val="auto"/>
              </w:rPr>
              <w:t>Share-based compensation, net of accrued distribution</w:t>
            </w:r>
          </w:p>
        </w:tc>
        <w:tc>
          <w:tcPr>
            <w:tcW w:w="92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4"/>
                <w:szCs w:val="14"/>
                <w:color w:val="auto"/>
              </w:rPr>
              <w:t>6</w:t>
            </w:r>
          </w:p>
        </w:tc>
        <w:tc>
          <w:tcPr>
            <w:tcW w:w="9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4"/>
                <w:szCs w:val="14"/>
                <w:color w:val="auto"/>
              </w:rPr>
              <w:t>266</w:t>
            </w:r>
          </w:p>
        </w:tc>
        <w:tc>
          <w:tcPr>
            <w:tcW w:w="90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32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Partnership’s profit and total comprehensive income</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1,127</w:t>
            </w:r>
          </w:p>
        </w:tc>
        <w:tc>
          <w:tcPr>
            <w:tcW w:w="120" w:type="dxa"/>
            <w:vAlign w:val="bottom"/>
            <w:vMerge w:val="restart"/>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52,890</w:t>
            </w:r>
          </w:p>
        </w:tc>
        <w:tc>
          <w:tcPr>
            <w:tcW w:w="100" w:type="dxa"/>
            <w:vAlign w:val="bottom"/>
            <w:vMerge w:val="restart"/>
          </w:tcPr>
          <w:p>
            <w:pPr>
              <w:spacing w:after="0"/>
              <w:rPr>
                <w:sz w:val="10"/>
                <w:szCs w:val="10"/>
                <w:color w:val="auto"/>
              </w:rPr>
            </w:pP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22,493</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76,510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2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(Note 14)</w:t>
            </w:r>
          </w:p>
        </w:tc>
        <w:tc>
          <w:tcPr>
            <w:tcW w:w="80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80" w:type="dxa"/>
            <w:vAlign w:val="bottom"/>
            <w:shd w:val="clear" w:color="auto" w:fill="E5FF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E5FF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E5FF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E5FF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E5FF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E5FF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E5FF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E5FF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80" w:type="dxa"/>
            <w:vAlign w:val="bottom"/>
            <w:shd w:val="clear" w:color="auto" w:fill="E5FFFF"/>
          </w:tcPr>
          <w:p>
            <w:pPr>
              <w:spacing w:after="0"/>
              <w:rPr>
                <w:sz w:val="20"/>
                <w:szCs w:val="20"/>
                <w:color w:val="auto"/>
              </w:rPr>
            </w:pPr>
            <w:r>
              <w:rPr>
                <w:rFonts w:ascii="Times New Roman" w:cs="Times New Roman" w:eastAsia="Times New Roman" w:hAnsi="Times New Roman"/>
                <w:sz w:val="14"/>
                <w:szCs w:val="14"/>
                <w:b w:val="1"/>
                <w:bCs w:val="1"/>
                <w:color w:val="auto"/>
              </w:rPr>
              <w:t>Balance as of September 30, 2021</w:t>
            </w:r>
          </w:p>
        </w:tc>
        <w:tc>
          <w:tcPr>
            <w:tcW w:w="8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4"/>
                <w:szCs w:val="14"/>
                <w:b w:val="1"/>
                <w:bCs w:val="1"/>
                <w:color w:val="auto"/>
              </w:rPr>
              <w:t>1,077,494</w:t>
            </w:r>
          </w:p>
        </w:tc>
        <w:tc>
          <w:tcPr>
            <w:tcW w:w="120" w:type="dxa"/>
            <w:vAlign w:val="bottom"/>
            <w:shd w:val="clear" w:color="auto" w:fill="E5FFFF"/>
          </w:tcPr>
          <w:p>
            <w:pPr>
              <w:spacing w:after="0"/>
              <w:rPr>
                <w:sz w:val="15"/>
                <w:szCs w:val="15"/>
                <w:color w:val="auto"/>
              </w:rPr>
            </w:pPr>
          </w:p>
        </w:tc>
        <w:tc>
          <w:tcPr>
            <w:tcW w:w="9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4"/>
                <w:szCs w:val="14"/>
                <w:b w:val="1"/>
                <w:bCs w:val="1"/>
                <w:color w:val="auto"/>
              </w:rPr>
              <w:t>12,338</w:t>
            </w:r>
          </w:p>
        </w:tc>
        <w:tc>
          <w:tcPr>
            <w:tcW w:w="120" w:type="dxa"/>
            <w:vAlign w:val="bottom"/>
            <w:shd w:val="clear" w:color="auto" w:fill="E5FFFF"/>
          </w:tcPr>
          <w:p>
            <w:pPr>
              <w:spacing w:after="0"/>
              <w:rPr>
                <w:sz w:val="15"/>
                <w:szCs w:val="15"/>
                <w:color w:val="auto"/>
              </w:rPr>
            </w:pPr>
          </w:p>
        </w:tc>
        <w:tc>
          <w:tcPr>
            <w:tcW w:w="8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4"/>
                <w:szCs w:val="14"/>
                <w:b w:val="1"/>
                <w:bCs w:val="1"/>
                <w:color w:val="auto"/>
              </w:rPr>
              <w:t>51,137,201</w:t>
            </w:r>
          </w:p>
        </w:tc>
        <w:tc>
          <w:tcPr>
            <w:tcW w:w="100" w:type="dxa"/>
            <w:vAlign w:val="bottom"/>
            <w:shd w:val="clear" w:color="auto" w:fill="E5FFFF"/>
          </w:tcPr>
          <w:p>
            <w:pPr>
              <w:spacing w:after="0"/>
              <w:rPr>
                <w:sz w:val="15"/>
                <w:szCs w:val="15"/>
                <w:color w:val="auto"/>
              </w:rPr>
            </w:pPr>
          </w:p>
        </w:tc>
        <w:tc>
          <w:tcPr>
            <w:tcW w:w="9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4"/>
                <w:szCs w:val="14"/>
                <w:b w:val="1"/>
                <w:bCs w:val="1"/>
                <w:color w:val="auto"/>
              </w:rPr>
              <w:t>656,365</w:t>
            </w:r>
          </w:p>
        </w:tc>
        <w:tc>
          <w:tcPr>
            <w:tcW w:w="100" w:type="dxa"/>
            <w:vAlign w:val="bottom"/>
            <w:shd w:val="clear" w:color="auto" w:fill="E5FFFF"/>
          </w:tcPr>
          <w:p>
            <w:pPr>
              <w:spacing w:after="0"/>
              <w:rPr>
                <w:sz w:val="15"/>
                <w:szCs w:val="15"/>
                <w:color w:val="auto"/>
              </w:rPr>
            </w:pPr>
          </w:p>
        </w:tc>
        <w:tc>
          <w:tcPr>
            <w:tcW w:w="90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1,660,000</w:t>
            </w:r>
          </w:p>
        </w:tc>
        <w:tc>
          <w:tcPr>
            <w:tcW w:w="88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13,860,663</w:t>
            </w:r>
          </w:p>
        </w:tc>
        <w:tc>
          <w:tcPr>
            <w:tcW w:w="10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335,310</w:t>
            </w: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4"/>
                <w:szCs w:val="14"/>
                <w:b w:val="1"/>
                <w:bCs w:val="1"/>
                <w:color w:val="auto"/>
              </w:rPr>
              <w:t>1,004,013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E5FF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E5FFFF"/>
          </w:tcPr>
          <w:p>
            <w:pPr>
              <w:spacing w:after="0"/>
              <w:rPr>
                <w:sz w:val="20"/>
                <w:szCs w:val="20"/>
                <w:color w:val="auto"/>
              </w:rPr>
            </w:pPr>
            <w:r>
              <w:rPr>
                <w:rFonts w:ascii="Times New Roman" w:cs="Times New Roman" w:eastAsia="Times New Roman" w:hAnsi="Times New Roman"/>
                <w:sz w:val="14"/>
                <w:szCs w:val="14"/>
                <w:b w:val="1"/>
                <w:bCs w:val="1"/>
                <w:color w:val="auto"/>
              </w:rPr>
              <w:t>Balance as of January 1, 2022</w:t>
            </w:r>
          </w:p>
        </w:tc>
        <w:tc>
          <w:tcPr>
            <w:tcW w:w="92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1,077,494</w:t>
            </w:r>
          </w:p>
        </w:tc>
        <w:tc>
          <w:tcPr>
            <w:tcW w:w="102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10,717</w:t>
            </w:r>
          </w:p>
        </w:tc>
        <w:tc>
          <w:tcPr>
            <w:tcW w:w="9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51,137,201</w:t>
            </w:r>
          </w:p>
        </w:tc>
        <w:tc>
          <w:tcPr>
            <w:tcW w:w="10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579,447</w:t>
            </w:r>
          </w:p>
        </w:tc>
        <w:tc>
          <w:tcPr>
            <w:tcW w:w="90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1,660,000</w:t>
            </w:r>
          </w:p>
        </w:tc>
        <w:tc>
          <w:tcPr>
            <w:tcW w:w="88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13,616,022</w:t>
            </w:r>
          </w:p>
        </w:tc>
        <w:tc>
          <w:tcPr>
            <w:tcW w:w="10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329,334</w:t>
            </w: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4"/>
                <w:szCs w:val="14"/>
                <w:b w:val="1"/>
                <w:bCs w:val="1"/>
                <w:color w:val="auto"/>
              </w:rPr>
              <w:t>919,498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Repurchases of preference units (Notes 6, 14)</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(215)</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(1,349,910)</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(38,524)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(38,744)</w:t>
            </w:r>
          </w:p>
        </w:tc>
        <w:tc>
          <w:tcPr>
            <w:tcW w:w="0" w:type="dxa"/>
            <w:vAlign w:val="bottom"/>
          </w:tcPr>
          <w:p>
            <w:pPr>
              <w:spacing w:after="0"/>
              <w:rPr>
                <w:sz w:val="1"/>
                <w:szCs w:val="1"/>
                <w:color w:val="auto"/>
              </w:rPr>
            </w:pPr>
          </w:p>
        </w:tc>
      </w:tr>
      <w:tr>
        <w:trPr>
          <w:trHeight w:val="216"/>
        </w:trPr>
        <w:tc>
          <w:tcPr>
            <w:tcW w:w="3280" w:type="dxa"/>
            <w:vAlign w:val="bottom"/>
            <w:shd w:val="clear" w:color="auto" w:fill="E5FFFF"/>
          </w:tcPr>
          <w:p>
            <w:pPr>
              <w:spacing w:after="0"/>
              <w:rPr>
                <w:sz w:val="20"/>
                <w:szCs w:val="20"/>
                <w:color w:val="auto"/>
              </w:rPr>
            </w:pPr>
            <w:r>
              <w:rPr>
                <w:rFonts w:ascii="Times New Roman" w:cs="Times New Roman" w:eastAsia="Times New Roman" w:hAnsi="Times New Roman"/>
                <w:sz w:val="14"/>
                <w:szCs w:val="14"/>
                <w:color w:val="auto"/>
              </w:rPr>
              <w:t>Conversion of Class B units to common units (Note 6)</w:t>
            </w:r>
          </w:p>
        </w:tc>
        <w:tc>
          <w:tcPr>
            <w:tcW w:w="92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4"/>
                <w:szCs w:val="14"/>
                <w:color w:val="auto"/>
              </w:rPr>
              <w:t>415,000</w:t>
            </w:r>
          </w:p>
        </w:tc>
        <w:tc>
          <w:tcPr>
            <w:tcW w:w="10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4"/>
                <w:szCs w:val="14"/>
                <w:color w:val="auto"/>
              </w:rPr>
              <w:t>(415,000)</w:t>
            </w:r>
          </w:p>
        </w:tc>
        <w:tc>
          <w:tcPr>
            <w:tcW w:w="88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32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Settlement of awards vested during the period and</w:t>
            </w: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2,769</w:t>
            </w:r>
          </w:p>
        </w:tc>
        <w:tc>
          <w:tcPr>
            <w:tcW w:w="10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16</w:t>
            </w: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135,664</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2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issuance of general partner units (Note 6)</w:t>
            </w:r>
          </w:p>
        </w:tc>
        <w:tc>
          <w:tcPr>
            <w:tcW w:w="9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E5FFFF"/>
          </w:tcPr>
          <w:p>
            <w:pPr>
              <w:spacing w:after="0"/>
              <w:rPr>
                <w:sz w:val="20"/>
                <w:szCs w:val="20"/>
                <w:color w:val="auto"/>
              </w:rPr>
            </w:pPr>
            <w:r>
              <w:rPr>
                <w:rFonts w:ascii="Times New Roman" w:cs="Times New Roman" w:eastAsia="Times New Roman" w:hAnsi="Times New Roman"/>
                <w:sz w:val="14"/>
                <w:szCs w:val="14"/>
                <w:color w:val="auto"/>
              </w:rPr>
              <w:t>Distributions declared (Note 6)</w:t>
            </w:r>
          </w:p>
        </w:tc>
        <w:tc>
          <w:tcPr>
            <w:tcW w:w="92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E5FFFF"/>
          </w:tcPr>
          <w:p>
            <w:pPr>
              <w:jc w:val="right"/>
              <w:ind w:right="80"/>
              <w:spacing w:after="0"/>
              <w:rPr>
                <w:sz w:val="20"/>
                <w:szCs w:val="20"/>
                <w:color w:val="auto"/>
              </w:rPr>
            </w:pPr>
            <w:r>
              <w:rPr>
                <w:rFonts w:ascii="Times New Roman" w:cs="Times New Roman" w:eastAsia="Times New Roman" w:hAnsi="Times New Roman"/>
                <w:sz w:val="14"/>
                <w:szCs w:val="14"/>
                <w:color w:val="auto"/>
              </w:rPr>
              <w:t>(32)</w:t>
            </w:r>
          </w:p>
        </w:tc>
        <w:tc>
          <w:tcPr>
            <w:tcW w:w="9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4"/>
                <w:szCs w:val="14"/>
                <w:color w:val="auto"/>
              </w:rPr>
              <w:t>(1,540)</w:t>
            </w:r>
          </w:p>
        </w:tc>
        <w:tc>
          <w:tcPr>
            <w:tcW w:w="90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4"/>
                <w:szCs w:val="14"/>
                <w:color w:val="auto"/>
              </w:rPr>
              <w:t>(20,787)</w:t>
            </w: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4"/>
                <w:szCs w:val="14"/>
                <w:color w:val="auto"/>
              </w:rPr>
              <w:t>(22,359)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Share-based compensation, net of accrued distribution</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601</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3280" w:type="dxa"/>
            <w:vAlign w:val="bottom"/>
            <w:shd w:val="clear" w:color="auto" w:fill="E5FFFF"/>
          </w:tcPr>
          <w:p>
            <w:pPr>
              <w:spacing w:after="0" w:line="126" w:lineRule="exact"/>
              <w:rPr>
                <w:sz w:val="20"/>
                <w:szCs w:val="20"/>
                <w:color w:val="auto"/>
              </w:rPr>
            </w:pPr>
            <w:r>
              <w:rPr>
                <w:rFonts w:ascii="Times New Roman" w:cs="Times New Roman" w:eastAsia="Times New Roman" w:hAnsi="Times New Roman"/>
                <w:sz w:val="14"/>
                <w:szCs w:val="14"/>
                <w:color w:val="auto"/>
              </w:rPr>
              <w:t>Partnership’s profit and total comprehensive income</w:t>
            </w:r>
          </w:p>
        </w:tc>
        <w:tc>
          <w:tcPr>
            <w:tcW w:w="800" w:type="dxa"/>
            <w:vAlign w:val="bottom"/>
            <w:vMerge w:val="restart"/>
            <w:shd w:val="clear" w:color="auto" w:fill="E5FF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E5FFFF"/>
          </w:tcPr>
          <w:p>
            <w:pPr>
              <w:spacing w:after="0"/>
              <w:rPr>
                <w:sz w:val="10"/>
                <w:szCs w:val="10"/>
                <w:color w:val="auto"/>
              </w:rPr>
            </w:pPr>
          </w:p>
        </w:tc>
        <w:tc>
          <w:tcPr>
            <w:tcW w:w="900" w:type="dxa"/>
            <w:vAlign w:val="bottom"/>
            <w:vMerge w:val="restart"/>
            <w:shd w:val="clear" w:color="auto" w:fill="E5FFFF"/>
          </w:tcPr>
          <w:p>
            <w:pPr>
              <w:jc w:val="right"/>
              <w:spacing w:after="0"/>
              <w:rPr>
                <w:sz w:val="20"/>
                <w:szCs w:val="20"/>
                <w:color w:val="auto"/>
              </w:rPr>
            </w:pPr>
            <w:r>
              <w:rPr>
                <w:rFonts w:ascii="Times New Roman" w:cs="Times New Roman" w:eastAsia="Times New Roman" w:hAnsi="Times New Roman"/>
                <w:sz w:val="14"/>
                <w:szCs w:val="14"/>
                <w:color w:val="auto"/>
              </w:rPr>
              <w:t>1,194</w:t>
            </w:r>
          </w:p>
        </w:tc>
        <w:tc>
          <w:tcPr>
            <w:tcW w:w="120" w:type="dxa"/>
            <w:vAlign w:val="bottom"/>
            <w:vMerge w:val="restart"/>
            <w:shd w:val="clear" w:color="auto" w:fill="E5FFFF"/>
          </w:tcPr>
          <w:p>
            <w:pPr>
              <w:spacing w:after="0"/>
              <w:rPr>
                <w:sz w:val="10"/>
                <w:szCs w:val="10"/>
                <w:color w:val="auto"/>
              </w:rPr>
            </w:pPr>
          </w:p>
        </w:tc>
        <w:tc>
          <w:tcPr>
            <w:tcW w:w="800" w:type="dxa"/>
            <w:vAlign w:val="bottom"/>
            <w:vMerge w:val="restart"/>
            <w:shd w:val="clear" w:color="auto" w:fill="E5FF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E5FFFF"/>
          </w:tcPr>
          <w:p>
            <w:pPr>
              <w:spacing w:after="0"/>
              <w:rPr>
                <w:sz w:val="10"/>
                <w:szCs w:val="10"/>
                <w:color w:val="auto"/>
              </w:rPr>
            </w:pPr>
          </w:p>
        </w:tc>
        <w:tc>
          <w:tcPr>
            <w:tcW w:w="900" w:type="dxa"/>
            <w:vAlign w:val="bottom"/>
            <w:vMerge w:val="restart"/>
            <w:shd w:val="clear" w:color="auto" w:fill="E5FFFF"/>
          </w:tcPr>
          <w:p>
            <w:pPr>
              <w:jc w:val="right"/>
              <w:spacing w:after="0"/>
              <w:rPr>
                <w:sz w:val="20"/>
                <w:szCs w:val="20"/>
                <w:color w:val="auto"/>
              </w:rPr>
            </w:pPr>
            <w:r>
              <w:rPr>
                <w:rFonts w:ascii="Times New Roman" w:cs="Times New Roman" w:eastAsia="Times New Roman" w:hAnsi="Times New Roman"/>
                <w:sz w:val="14"/>
                <w:szCs w:val="14"/>
                <w:color w:val="auto"/>
              </w:rPr>
              <w:t>56,900</w:t>
            </w:r>
          </w:p>
        </w:tc>
        <w:tc>
          <w:tcPr>
            <w:tcW w:w="100" w:type="dxa"/>
            <w:vAlign w:val="bottom"/>
            <w:vMerge w:val="restart"/>
            <w:shd w:val="clear" w:color="auto" w:fill="E5FFFF"/>
          </w:tcPr>
          <w:p>
            <w:pPr>
              <w:spacing w:after="0"/>
              <w:rPr>
                <w:sz w:val="10"/>
                <w:szCs w:val="10"/>
                <w:color w:val="auto"/>
              </w:rPr>
            </w:pPr>
          </w:p>
        </w:tc>
        <w:tc>
          <w:tcPr>
            <w:tcW w:w="900" w:type="dxa"/>
            <w:vAlign w:val="bottom"/>
            <w:gridSpan w:val="2"/>
            <w:vMerge w:val="restart"/>
            <w:shd w:val="clear" w:color="auto" w:fill="E5FF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E5FF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shd w:val="clear" w:color="auto" w:fill="E5FFFF"/>
          </w:tcPr>
          <w:p>
            <w:pPr>
              <w:jc w:val="right"/>
              <w:ind w:right="100"/>
              <w:spacing w:after="0"/>
              <w:rPr>
                <w:sz w:val="20"/>
                <w:szCs w:val="20"/>
                <w:color w:val="auto"/>
              </w:rPr>
            </w:pPr>
            <w:r>
              <w:rPr>
                <w:rFonts w:ascii="Times New Roman" w:cs="Times New Roman" w:eastAsia="Times New Roman" w:hAnsi="Times New Roman"/>
                <w:sz w:val="14"/>
                <w:szCs w:val="14"/>
                <w:color w:val="auto"/>
              </w:rPr>
              <w:t>20,299</w:t>
            </w:r>
          </w:p>
        </w:tc>
        <w:tc>
          <w:tcPr>
            <w:tcW w:w="1240" w:type="dxa"/>
            <w:vAlign w:val="bottom"/>
            <w:vMerge w:val="restart"/>
            <w:shd w:val="clear" w:color="auto" w:fill="E5FFFF"/>
          </w:tcPr>
          <w:p>
            <w:pPr>
              <w:jc w:val="right"/>
              <w:spacing w:after="0"/>
              <w:rPr>
                <w:sz w:val="20"/>
                <w:szCs w:val="20"/>
                <w:color w:val="auto"/>
              </w:rPr>
            </w:pPr>
            <w:r>
              <w:rPr>
                <w:rFonts w:ascii="Times New Roman" w:cs="Times New Roman" w:eastAsia="Times New Roman" w:hAnsi="Times New Roman"/>
                <w:sz w:val="14"/>
                <w:szCs w:val="14"/>
                <w:color w:val="auto"/>
              </w:rPr>
              <w:t>78,393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280" w:type="dxa"/>
            <w:vAlign w:val="bottom"/>
            <w:shd w:val="clear" w:color="auto" w:fill="E5FFFF"/>
          </w:tcPr>
          <w:p>
            <w:pPr>
              <w:ind w:left="160"/>
              <w:spacing w:after="0"/>
              <w:rPr>
                <w:sz w:val="20"/>
                <w:szCs w:val="20"/>
                <w:color w:val="auto"/>
              </w:rPr>
            </w:pPr>
            <w:r>
              <w:rPr>
                <w:rFonts w:ascii="Times New Roman" w:cs="Times New Roman" w:eastAsia="Times New Roman" w:hAnsi="Times New Roman"/>
                <w:sz w:val="14"/>
                <w:szCs w:val="14"/>
                <w:color w:val="auto"/>
              </w:rPr>
              <w:t>(Note 14)</w:t>
            </w:r>
          </w:p>
        </w:tc>
        <w:tc>
          <w:tcPr>
            <w:tcW w:w="800" w:type="dxa"/>
            <w:vAlign w:val="bottom"/>
            <w:vMerge w:val="continue"/>
            <w:shd w:val="clear" w:color="auto" w:fill="E5FFFF"/>
          </w:tcPr>
          <w:p>
            <w:pPr>
              <w:spacing w:after="0"/>
              <w:rPr>
                <w:sz w:val="14"/>
                <w:szCs w:val="14"/>
                <w:color w:val="auto"/>
              </w:rPr>
            </w:pPr>
          </w:p>
        </w:tc>
        <w:tc>
          <w:tcPr>
            <w:tcW w:w="120" w:type="dxa"/>
            <w:vAlign w:val="bottom"/>
            <w:vMerge w:val="continue"/>
            <w:shd w:val="clear" w:color="auto" w:fill="E5FFFF"/>
          </w:tcPr>
          <w:p>
            <w:pPr>
              <w:spacing w:after="0"/>
              <w:rPr>
                <w:sz w:val="14"/>
                <w:szCs w:val="14"/>
                <w:color w:val="auto"/>
              </w:rPr>
            </w:pPr>
          </w:p>
        </w:tc>
        <w:tc>
          <w:tcPr>
            <w:tcW w:w="900" w:type="dxa"/>
            <w:vAlign w:val="bottom"/>
            <w:vMerge w:val="continue"/>
            <w:shd w:val="clear" w:color="auto" w:fill="E5FFFF"/>
          </w:tcPr>
          <w:p>
            <w:pPr>
              <w:spacing w:after="0"/>
              <w:rPr>
                <w:sz w:val="14"/>
                <w:szCs w:val="14"/>
                <w:color w:val="auto"/>
              </w:rPr>
            </w:pPr>
          </w:p>
        </w:tc>
        <w:tc>
          <w:tcPr>
            <w:tcW w:w="120" w:type="dxa"/>
            <w:vAlign w:val="bottom"/>
            <w:vMerge w:val="continue"/>
            <w:shd w:val="clear" w:color="auto" w:fill="E5FFFF"/>
          </w:tcPr>
          <w:p>
            <w:pPr>
              <w:spacing w:after="0"/>
              <w:rPr>
                <w:sz w:val="14"/>
                <w:szCs w:val="14"/>
                <w:color w:val="auto"/>
              </w:rPr>
            </w:pPr>
          </w:p>
        </w:tc>
        <w:tc>
          <w:tcPr>
            <w:tcW w:w="800" w:type="dxa"/>
            <w:vAlign w:val="bottom"/>
            <w:vMerge w:val="continue"/>
            <w:shd w:val="clear" w:color="auto" w:fill="E5FFFF"/>
          </w:tcPr>
          <w:p>
            <w:pPr>
              <w:spacing w:after="0"/>
              <w:rPr>
                <w:sz w:val="14"/>
                <w:szCs w:val="14"/>
                <w:color w:val="auto"/>
              </w:rPr>
            </w:pPr>
          </w:p>
        </w:tc>
        <w:tc>
          <w:tcPr>
            <w:tcW w:w="100" w:type="dxa"/>
            <w:vAlign w:val="bottom"/>
            <w:vMerge w:val="continue"/>
            <w:shd w:val="clear" w:color="auto" w:fill="E5FFFF"/>
          </w:tcPr>
          <w:p>
            <w:pPr>
              <w:spacing w:after="0"/>
              <w:rPr>
                <w:sz w:val="14"/>
                <w:szCs w:val="14"/>
                <w:color w:val="auto"/>
              </w:rPr>
            </w:pPr>
          </w:p>
        </w:tc>
        <w:tc>
          <w:tcPr>
            <w:tcW w:w="900" w:type="dxa"/>
            <w:vAlign w:val="bottom"/>
            <w:vMerge w:val="continue"/>
            <w:shd w:val="clear" w:color="auto" w:fill="E5FFFF"/>
          </w:tcPr>
          <w:p>
            <w:pPr>
              <w:spacing w:after="0"/>
              <w:rPr>
                <w:sz w:val="14"/>
                <w:szCs w:val="14"/>
                <w:color w:val="auto"/>
              </w:rPr>
            </w:pPr>
          </w:p>
        </w:tc>
        <w:tc>
          <w:tcPr>
            <w:tcW w:w="100" w:type="dxa"/>
            <w:vAlign w:val="bottom"/>
            <w:vMerge w:val="continue"/>
            <w:shd w:val="clear" w:color="auto" w:fill="E5FFFF"/>
          </w:tcPr>
          <w:p>
            <w:pPr>
              <w:spacing w:after="0"/>
              <w:rPr>
                <w:sz w:val="14"/>
                <w:szCs w:val="14"/>
                <w:color w:val="auto"/>
              </w:rPr>
            </w:pPr>
          </w:p>
        </w:tc>
        <w:tc>
          <w:tcPr>
            <w:tcW w:w="900" w:type="dxa"/>
            <w:vAlign w:val="bottom"/>
            <w:gridSpan w:val="2"/>
            <w:vMerge w:val="continue"/>
            <w:shd w:val="clear" w:color="auto" w:fill="E5FFFF"/>
          </w:tcPr>
          <w:p>
            <w:pPr>
              <w:spacing w:after="0"/>
              <w:rPr>
                <w:sz w:val="14"/>
                <w:szCs w:val="14"/>
                <w:color w:val="auto"/>
              </w:rPr>
            </w:pPr>
          </w:p>
        </w:tc>
        <w:tc>
          <w:tcPr>
            <w:tcW w:w="880" w:type="dxa"/>
            <w:vAlign w:val="bottom"/>
            <w:gridSpan w:val="2"/>
            <w:vMerge w:val="continue"/>
            <w:shd w:val="clear" w:color="auto" w:fill="E5FFFF"/>
          </w:tcPr>
          <w:p>
            <w:pPr>
              <w:spacing w:after="0"/>
              <w:rPr>
                <w:sz w:val="14"/>
                <w:szCs w:val="14"/>
                <w:color w:val="auto"/>
              </w:rPr>
            </w:pPr>
          </w:p>
        </w:tc>
        <w:tc>
          <w:tcPr>
            <w:tcW w:w="1000" w:type="dxa"/>
            <w:vAlign w:val="bottom"/>
            <w:gridSpan w:val="2"/>
            <w:vMerge w:val="continue"/>
            <w:shd w:val="clear" w:color="auto" w:fill="E5FFFF"/>
          </w:tcPr>
          <w:p>
            <w:pPr>
              <w:spacing w:after="0"/>
              <w:rPr>
                <w:sz w:val="14"/>
                <w:szCs w:val="14"/>
                <w:color w:val="auto"/>
              </w:rPr>
            </w:pPr>
          </w:p>
        </w:tc>
        <w:tc>
          <w:tcPr>
            <w:tcW w:w="1240" w:type="dxa"/>
            <w:vAlign w:val="bottom"/>
            <w:vMerge w:val="continue"/>
            <w:shd w:val="clear" w:color="auto" w:fill="E5FF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as of September 30, 2022</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1,080,263</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11,902</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51,687,865</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635,193</w:t>
            </w:r>
          </w:p>
        </w:tc>
        <w:tc>
          <w:tcPr>
            <w:tcW w:w="10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1,245,000</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12,266,112</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290,322</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937,417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7" w:right="39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12"/>
        </w:trPr>
        <w:tc>
          <w:tcPr>
            <w:tcW w:w="7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GasLog Partners LP</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7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cash flows</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 2021 and 2022</w:t>
            </w: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(All amounts expressed in thousands of U.S. Dollars)</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2"/>
        </w:trPr>
        <w:tc>
          <w:tcPr>
            <w:tcW w:w="30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40" w:type="dxa"/>
            <w:vAlign w:val="bottom"/>
            <w:gridSpan w:val="4"/>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6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2"/>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3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5"/>
        </w:trPr>
        <w:tc>
          <w:tcPr>
            <w:tcW w:w="30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Note</w:t>
            </w:r>
          </w:p>
        </w:tc>
        <w:tc>
          <w:tcPr>
            <w:tcW w:w="12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340" w:type="dxa"/>
            <w:vAlign w:val="bottom"/>
          </w:tcPr>
          <w:p>
            <w:pPr>
              <w:spacing w:after="0"/>
              <w:rPr>
                <w:sz w:val="18"/>
                <w:szCs w:val="18"/>
                <w:color w:val="auto"/>
              </w:rPr>
            </w:pPr>
          </w:p>
        </w:tc>
        <w:tc>
          <w:tcPr>
            <w:tcW w:w="126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0" w:type="dxa"/>
            <w:vAlign w:val="bottom"/>
            <w:vMerge w:val="restart"/>
          </w:tcPr>
          <w:p>
            <w:pPr>
              <w:spacing w:after="0"/>
              <w:rPr>
                <w:sz w:val="18"/>
                <w:szCs w:val="18"/>
                <w:color w:val="auto"/>
              </w:rPr>
            </w:pPr>
          </w:p>
        </w:tc>
        <w:tc>
          <w:tcPr>
            <w:tcW w:w="6820" w:type="dxa"/>
            <w:vAlign w:val="bottom"/>
            <w:tcBorders>
              <w:top w:val="single" w:sz="8" w:color="E5FFFF"/>
            </w:tcBorders>
            <w:shd w:val="clear" w:color="auto" w:fill="E5FFFF"/>
          </w:tcPr>
          <w:p>
            <w:pPr>
              <w:spacing w:after="0"/>
              <w:rPr>
                <w:sz w:val="18"/>
                <w:szCs w:val="18"/>
                <w:color w:val="auto"/>
              </w:rPr>
            </w:pPr>
          </w:p>
        </w:tc>
        <w:tc>
          <w:tcPr>
            <w:tcW w:w="540" w:type="dxa"/>
            <w:vAlign w:val="bottom"/>
            <w:tcBorders>
              <w:top w:val="single" w:sz="8" w:color="auto"/>
            </w:tcBorders>
            <w:shd w:val="clear" w:color="auto" w:fill="E5FFFF"/>
          </w:tcPr>
          <w:p>
            <w:pPr>
              <w:spacing w:after="0"/>
              <w:rPr>
                <w:sz w:val="18"/>
                <w:szCs w:val="18"/>
                <w:color w:val="auto"/>
              </w:rPr>
            </w:pPr>
          </w:p>
        </w:tc>
        <w:tc>
          <w:tcPr>
            <w:tcW w:w="320" w:type="dxa"/>
            <w:vAlign w:val="bottom"/>
            <w:tcBorders>
              <w:top w:val="single" w:sz="8" w:color="E5FFFF"/>
            </w:tcBorders>
            <w:shd w:val="clear" w:color="auto" w:fill="E5FFFF"/>
          </w:tcPr>
          <w:p>
            <w:pPr>
              <w:spacing w:after="0"/>
              <w:rPr>
                <w:sz w:val="18"/>
                <w:szCs w:val="18"/>
                <w:color w:val="auto"/>
              </w:rPr>
            </w:pPr>
          </w:p>
        </w:tc>
        <w:tc>
          <w:tcPr>
            <w:tcW w:w="1280" w:type="dxa"/>
            <w:vAlign w:val="bottom"/>
            <w:tcBorders>
              <w:top w:val="single" w:sz="8" w:color="auto"/>
            </w:tcBorders>
            <w:shd w:val="clear" w:color="auto" w:fill="E5FFFF"/>
          </w:tcPr>
          <w:p>
            <w:pPr>
              <w:spacing w:after="0"/>
              <w:rPr>
                <w:sz w:val="18"/>
                <w:szCs w:val="18"/>
                <w:color w:val="auto"/>
              </w:rPr>
            </w:pPr>
          </w:p>
        </w:tc>
        <w:tc>
          <w:tcPr>
            <w:tcW w:w="340" w:type="dxa"/>
            <w:vAlign w:val="bottom"/>
            <w:tcBorders>
              <w:top w:val="single" w:sz="8" w:color="E5FFFF"/>
            </w:tcBorders>
            <w:shd w:val="clear" w:color="auto" w:fill="E5FFFF"/>
          </w:tcPr>
          <w:p>
            <w:pPr>
              <w:spacing w:after="0"/>
              <w:rPr>
                <w:sz w:val="18"/>
                <w:szCs w:val="18"/>
                <w:color w:val="auto"/>
              </w:rPr>
            </w:pPr>
          </w:p>
        </w:tc>
        <w:tc>
          <w:tcPr>
            <w:tcW w:w="1260" w:type="dxa"/>
            <w:vAlign w:val="bottom"/>
            <w:tcBorders>
              <w:top w:val="single" w:sz="8" w:color="auto"/>
            </w:tcBorders>
            <w:shd w:val="clear" w:color="auto" w:fill="E5FF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0" w:type="dxa"/>
            <w:vAlign w:val="bottom"/>
            <w:vMerge w:val="continue"/>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00" w:type="dxa"/>
            <w:vAlign w:val="bottom"/>
          </w:tcPr>
          <w:p>
            <w:pPr>
              <w:spacing w:after="0"/>
              <w:rPr>
                <w:sz w:val="19"/>
                <w:szCs w:val="19"/>
                <w:color w:val="auto"/>
              </w:rPr>
            </w:pPr>
          </w:p>
        </w:tc>
        <w:tc>
          <w:tcPr>
            <w:tcW w:w="68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Profit for the period</w:t>
            </w:r>
          </w:p>
        </w:tc>
        <w:tc>
          <w:tcPr>
            <w:tcW w:w="540" w:type="dxa"/>
            <w:vAlign w:val="bottom"/>
            <w:shd w:val="clear" w:color="auto" w:fill="E5FFFF"/>
          </w:tcPr>
          <w:p>
            <w:pPr>
              <w:spacing w:after="0"/>
              <w:rPr>
                <w:sz w:val="19"/>
                <w:szCs w:val="19"/>
                <w:color w:val="auto"/>
              </w:rPr>
            </w:pPr>
          </w:p>
        </w:tc>
        <w:tc>
          <w:tcPr>
            <w:tcW w:w="320" w:type="dxa"/>
            <w:vAlign w:val="bottom"/>
            <w:shd w:val="clear" w:color="auto" w:fill="E5FFFF"/>
          </w:tcPr>
          <w:p>
            <w:pPr>
              <w:spacing w:after="0"/>
              <w:rPr>
                <w:sz w:val="19"/>
                <w:szCs w:val="19"/>
                <w:color w:val="auto"/>
              </w:rPr>
            </w:pPr>
          </w:p>
        </w:tc>
        <w:tc>
          <w:tcPr>
            <w:tcW w:w="1620" w:type="dxa"/>
            <w:vAlign w:val="bottom"/>
            <w:gridSpan w:val="2"/>
            <w:shd w:val="clear" w:color="auto" w:fill="E5FFFF"/>
          </w:tcPr>
          <w:p>
            <w:pPr>
              <w:jc w:val="right"/>
              <w:ind w:right="259"/>
              <w:spacing w:after="0"/>
              <w:rPr>
                <w:sz w:val="20"/>
                <w:szCs w:val="20"/>
                <w:color w:val="auto"/>
              </w:rPr>
            </w:pPr>
            <w:r>
              <w:rPr>
                <w:rFonts w:ascii="Times New Roman" w:cs="Times New Roman" w:eastAsia="Times New Roman" w:hAnsi="Times New Roman"/>
                <w:sz w:val="16"/>
                <w:szCs w:val="16"/>
                <w:color w:val="auto"/>
              </w:rPr>
              <w:t>76,510</w:t>
            </w:r>
          </w:p>
        </w:tc>
        <w:tc>
          <w:tcPr>
            <w:tcW w:w="12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78,393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Adjustments for:</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68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54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4, 5</w:t>
            </w:r>
          </w:p>
        </w:tc>
        <w:tc>
          <w:tcPr>
            <w:tcW w:w="320" w:type="dxa"/>
            <w:vAlign w:val="bottom"/>
            <w:shd w:val="clear" w:color="auto" w:fill="E5FFFF"/>
          </w:tcPr>
          <w:p>
            <w:pPr>
              <w:spacing w:after="0"/>
              <w:rPr>
                <w:sz w:val="19"/>
                <w:szCs w:val="19"/>
                <w:color w:val="auto"/>
              </w:rPr>
            </w:pPr>
          </w:p>
        </w:tc>
        <w:tc>
          <w:tcPr>
            <w:tcW w:w="1620" w:type="dxa"/>
            <w:vAlign w:val="bottom"/>
            <w:gridSpan w:val="2"/>
            <w:shd w:val="clear" w:color="auto" w:fill="E5FFFF"/>
          </w:tcPr>
          <w:p>
            <w:pPr>
              <w:jc w:val="right"/>
              <w:ind w:right="259"/>
              <w:spacing w:after="0"/>
              <w:rPr>
                <w:sz w:val="20"/>
                <w:szCs w:val="20"/>
                <w:color w:val="auto"/>
              </w:rPr>
            </w:pPr>
            <w:r>
              <w:rPr>
                <w:rFonts w:ascii="Times New Roman" w:cs="Times New Roman" w:eastAsia="Times New Roman" w:hAnsi="Times New Roman"/>
                <w:sz w:val="16"/>
                <w:szCs w:val="16"/>
                <w:color w:val="auto"/>
              </w:rPr>
              <w:t>62,765</w:t>
            </w:r>
          </w:p>
        </w:tc>
        <w:tc>
          <w:tcPr>
            <w:tcW w:w="12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64,907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Impairment loss on vessels</w:t>
            </w:r>
          </w:p>
        </w:tc>
        <w:tc>
          <w:tcPr>
            <w:tcW w:w="5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320" w:type="dxa"/>
            <w:vAlign w:val="bottom"/>
          </w:tcPr>
          <w:p>
            <w:pPr>
              <w:spacing w:after="0"/>
              <w:rPr>
                <w:sz w:val="18"/>
                <w:szCs w:val="18"/>
                <w:color w:val="auto"/>
              </w:rPr>
            </w:pPr>
          </w:p>
        </w:tc>
        <w:tc>
          <w:tcPr>
            <w:tcW w:w="162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68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Loss on disposal of vessel</w:t>
            </w:r>
          </w:p>
        </w:tc>
        <w:tc>
          <w:tcPr>
            <w:tcW w:w="54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320" w:type="dxa"/>
            <w:vAlign w:val="bottom"/>
            <w:shd w:val="clear" w:color="auto" w:fill="E5FFFF"/>
          </w:tcPr>
          <w:p>
            <w:pPr>
              <w:spacing w:after="0"/>
              <w:rPr>
                <w:sz w:val="19"/>
                <w:szCs w:val="19"/>
                <w:color w:val="auto"/>
              </w:rPr>
            </w:pPr>
          </w:p>
        </w:tc>
        <w:tc>
          <w:tcPr>
            <w:tcW w:w="1620" w:type="dxa"/>
            <w:vAlign w:val="bottom"/>
            <w:gridSpan w:val="2"/>
            <w:shd w:val="clear" w:color="auto" w:fill="E5FF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Financial costs</w:t>
            </w:r>
          </w:p>
        </w:tc>
        <w:tc>
          <w:tcPr>
            <w:tcW w:w="5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13</w:t>
            </w:r>
          </w:p>
        </w:tc>
        <w:tc>
          <w:tcPr>
            <w:tcW w:w="320" w:type="dxa"/>
            <w:vAlign w:val="bottom"/>
          </w:tcPr>
          <w:p>
            <w:pPr>
              <w:spacing w:after="0"/>
              <w:rPr>
                <w:sz w:val="18"/>
                <w:szCs w:val="18"/>
                <w:color w:val="auto"/>
              </w:rPr>
            </w:pPr>
          </w:p>
        </w:tc>
        <w:tc>
          <w:tcPr>
            <w:tcW w:w="162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27,904</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68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Financial income</w:t>
            </w:r>
          </w:p>
        </w:tc>
        <w:tc>
          <w:tcPr>
            <w:tcW w:w="540" w:type="dxa"/>
            <w:vAlign w:val="bottom"/>
            <w:shd w:val="clear" w:color="auto" w:fill="E5FFFF"/>
          </w:tcPr>
          <w:p>
            <w:pPr>
              <w:spacing w:after="0"/>
              <w:rPr>
                <w:sz w:val="19"/>
                <w:szCs w:val="19"/>
                <w:color w:val="auto"/>
              </w:rPr>
            </w:pPr>
          </w:p>
        </w:tc>
        <w:tc>
          <w:tcPr>
            <w:tcW w:w="320" w:type="dxa"/>
            <w:vAlign w:val="bottom"/>
            <w:shd w:val="clear" w:color="auto" w:fill="E5FFFF"/>
          </w:tcPr>
          <w:p>
            <w:pPr>
              <w:spacing w:after="0"/>
              <w:rPr>
                <w:sz w:val="19"/>
                <w:szCs w:val="19"/>
                <w:color w:val="auto"/>
              </w:rPr>
            </w:pPr>
          </w:p>
        </w:tc>
        <w:tc>
          <w:tcPr>
            <w:tcW w:w="1620" w:type="dxa"/>
            <w:vAlign w:val="bottom"/>
            <w:gridSpan w:val="2"/>
            <w:shd w:val="clear" w:color="auto" w:fill="E5FFFF"/>
          </w:tcPr>
          <w:p>
            <w:pPr>
              <w:jc w:val="right"/>
              <w:ind w:right="199"/>
              <w:spacing w:after="0"/>
              <w:rPr>
                <w:sz w:val="20"/>
                <w:szCs w:val="20"/>
                <w:color w:val="auto"/>
              </w:rPr>
            </w:pPr>
            <w:r>
              <w:rPr>
                <w:rFonts w:ascii="Times New Roman" w:cs="Times New Roman" w:eastAsia="Times New Roman" w:hAnsi="Times New Roman"/>
                <w:sz w:val="16"/>
                <w:szCs w:val="16"/>
                <w:color w:val="auto"/>
              </w:rPr>
              <w:t>(32)</w:t>
            </w:r>
          </w:p>
        </w:tc>
        <w:tc>
          <w:tcPr>
            <w:tcW w:w="12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(872)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Gain on derivatives</w:t>
            </w:r>
          </w:p>
        </w:tc>
        <w:tc>
          <w:tcPr>
            <w:tcW w:w="5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13</w:t>
            </w:r>
          </w:p>
        </w:tc>
        <w:tc>
          <w:tcPr>
            <w:tcW w:w="320" w:type="dxa"/>
            <w:vAlign w:val="bottom"/>
          </w:tcPr>
          <w:p>
            <w:pPr>
              <w:spacing w:after="0"/>
              <w:rPr>
                <w:sz w:val="18"/>
                <w:szCs w:val="18"/>
                <w:color w:val="auto"/>
              </w:rPr>
            </w:pPr>
          </w:p>
        </w:tc>
        <w:tc>
          <w:tcPr>
            <w:tcW w:w="162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(734)</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68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54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10</w:t>
            </w:r>
          </w:p>
        </w:tc>
        <w:tc>
          <w:tcPr>
            <w:tcW w:w="320" w:type="dxa"/>
            <w:vAlign w:val="bottom"/>
            <w:shd w:val="clear" w:color="auto" w:fill="E5FFFF"/>
          </w:tcPr>
          <w:p>
            <w:pPr>
              <w:spacing w:after="0"/>
              <w:rPr>
                <w:sz w:val="19"/>
                <w:szCs w:val="19"/>
                <w:color w:val="auto"/>
              </w:rPr>
            </w:pPr>
          </w:p>
        </w:tc>
        <w:tc>
          <w:tcPr>
            <w:tcW w:w="1620" w:type="dxa"/>
            <w:vAlign w:val="bottom"/>
            <w:gridSpan w:val="2"/>
            <w:shd w:val="clear" w:color="auto" w:fill="E5FFFF"/>
          </w:tcPr>
          <w:p>
            <w:pPr>
              <w:jc w:val="right"/>
              <w:ind w:right="259"/>
              <w:spacing w:after="0"/>
              <w:rPr>
                <w:sz w:val="20"/>
                <w:szCs w:val="20"/>
                <w:color w:val="auto"/>
              </w:rPr>
            </w:pPr>
            <w:r>
              <w:rPr>
                <w:rFonts w:ascii="Times New Roman" w:cs="Times New Roman" w:eastAsia="Times New Roman" w:hAnsi="Times New Roman"/>
                <w:sz w:val="16"/>
                <w:szCs w:val="16"/>
                <w:color w:val="auto"/>
              </w:rPr>
              <w:t>266</w:t>
            </w:r>
          </w:p>
        </w:tc>
        <w:tc>
          <w:tcPr>
            <w:tcW w:w="12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6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166,679</w:t>
            </w:r>
          </w:p>
        </w:tc>
        <w:tc>
          <w:tcPr>
            <w:tcW w:w="340" w:type="dxa"/>
            <w:vAlign w:val="bottom"/>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193,957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8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Movements in working capital</w:t>
            </w:r>
          </w:p>
        </w:tc>
        <w:tc>
          <w:tcPr>
            <w:tcW w:w="54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620" w:type="dxa"/>
            <w:vAlign w:val="bottom"/>
            <w:gridSpan w:val="2"/>
            <w:shd w:val="clear" w:color="auto" w:fill="E5FFFF"/>
          </w:tcPr>
          <w:p>
            <w:pPr>
              <w:jc w:val="right"/>
              <w:ind w:right="259"/>
              <w:spacing w:after="0"/>
              <w:rPr>
                <w:sz w:val="20"/>
                <w:szCs w:val="20"/>
                <w:color w:val="auto"/>
              </w:rPr>
            </w:pPr>
            <w:r>
              <w:rPr>
                <w:rFonts w:ascii="Times New Roman" w:cs="Times New Roman" w:eastAsia="Times New Roman" w:hAnsi="Times New Roman"/>
                <w:sz w:val="16"/>
                <w:szCs w:val="16"/>
                <w:color w:val="auto"/>
              </w:rPr>
              <w:t>7,897</w:t>
            </w:r>
          </w:p>
        </w:tc>
        <w:tc>
          <w:tcPr>
            <w:tcW w:w="12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(8,241)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682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540" w:type="dxa"/>
            <w:vAlign w:val="bottom"/>
            <w:tcBorders>
              <w:bottom w:val="single" w:sz="8" w:color="E5FFFF"/>
            </w:tcBorders>
          </w:tcPr>
          <w:p>
            <w:pPr>
              <w:spacing w:after="0"/>
              <w:rPr>
                <w:sz w:val="17"/>
                <w:szCs w:val="17"/>
                <w:color w:val="auto"/>
              </w:rPr>
            </w:pPr>
          </w:p>
        </w:tc>
        <w:tc>
          <w:tcPr>
            <w:tcW w:w="320" w:type="dxa"/>
            <w:vAlign w:val="bottom"/>
            <w:tcBorders>
              <w:bottom w:val="single" w:sz="8" w:color="E5FFFF"/>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174,576</w:t>
            </w:r>
          </w:p>
        </w:tc>
        <w:tc>
          <w:tcPr>
            <w:tcW w:w="340" w:type="dxa"/>
            <w:vAlign w:val="bottom"/>
            <w:tcBorders>
              <w:bottom w:val="single" w:sz="8" w:color="E5FFFF"/>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185,716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68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54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28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260" w:type="dxa"/>
            <w:vAlign w:val="bottom"/>
            <w:shd w:val="clear" w:color="auto" w:fill="E5FF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sale of vessel, net</w:t>
            </w:r>
          </w:p>
        </w:tc>
        <w:tc>
          <w:tcPr>
            <w:tcW w:w="5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320" w:type="dxa"/>
            <w:vAlign w:val="bottom"/>
          </w:tcPr>
          <w:p>
            <w:pPr>
              <w:spacing w:after="0"/>
              <w:rPr>
                <w:sz w:val="18"/>
                <w:szCs w:val="18"/>
                <w:color w:val="auto"/>
              </w:rPr>
            </w:pPr>
          </w:p>
        </w:tc>
        <w:tc>
          <w:tcPr>
            <w:tcW w:w="162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68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Payments for tangible fixed assets additions</w:t>
            </w:r>
          </w:p>
        </w:tc>
        <w:tc>
          <w:tcPr>
            <w:tcW w:w="540" w:type="dxa"/>
            <w:vAlign w:val="bottom"/>
            <w:shd w:val="clear" w:color="auto" w:fill="E5FFFF"/>
          </w:tcPr>
          <w:p>
            <w:pPr>
              <w:spacing w:after="0"/>
              <w:rPr>
                <w:sz w:val="19"/>
                <w:szCs w:val="19"/>
                <w:color w:val="auto"/>
              </w:rPr>
            </w:pPr>
          </w:p>
        </w:tc>
        <w:tc>
          <w:tcPr>
            <w:tcW w:w="320" w:type="dxa"/>
            <w:vAlign w:val="bottom"/>
            <w:shd w:val="clear" w:color="auto" w:fill="E5FFFF"/>
          </w:tcPr>
          <w:p>
            <w:pPr>
              <w:spacing w:after="0"/>
              <w:rPr>
                <w:sz w:val="19"/>
                <w:szCs w:val="19"/>
                <w:color w:val="auto"/>
              </w:rPr>
            </w:pPr>
          </w:p>
        </w:tc>
        <w:tc>
          <w:tcPr>
            <w:tcW w:w="1620" w:type="dxa"/>
            <w:vAlign w:val="bottom"/>
            <w:gridSpan w:val="2"/>
            <w:shd w:val="clear" w:color="auto" w:fill="E5FFFF"/>
          </w:tcPr>
          <w:p>
            <w:pPr>
              <w:jc w:val="right"/>
              <w:ind w:right="199"/>
              <w:spacing w:after="0"/>
              <w:rPr>
                <w:sz w:val="20"/>
                <w:szCs w:val="20"/>
                <w:color w:val="auto"/>
              </w:rPr>
            </w:pPr>
            <w:r>
              <w:rPr>
                <w:rFonts w:ascii="Times New Roman" w:cs="Times New Roman" w:eastAsia="Times New Roman" w:hAnsi="Times New Roman"/>
                <w:sz w:val="16"/>
                <w:szCs w:val="16"/>
                <w:color w:val="auto"/>
              </w:rPr>
              <w:t>(15,419)</w:t>
            </w:r>
          </w:p>
        </w:tc>
        <w:tc>
          <w:tcPr>
            <w:tcW w:w="12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(1,618)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Financial income received</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32</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68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Maturity of short-term cash deposits</w:t>
            </w:r>
          </w:p>
        </w:tc>
        <w:tc>
          <w:tcPr>
            <w:tcW w:w="540" w:type="dxa"/>
            <w:vAlign w:val="bottom"/>
            <w:shd w:val="clear" w:color="auto" w:fill="E5FFFF"/>
          </w:tcPr>
          <w:p>
            <w:pPr>
              <w:spacing w:after="0"/>
              <w:rPr>
                <w:sz w:val="19"/>
                <w:szCs w:val="19"/>
                <w:color w:val="auto"/>
              </w:rPr>
            </w:pPr>
          </w:p>
        </w:tc>
        <w:tc>
          <w:tcPr>
            <w:tcW w:w="320" w:type="dxa"/>
            <w:vAlign w:val="bottom"/>
            <w:shd w:val="clear" w:color="auto" w:fill="E5FFFF"/>
          </w:tcPr>
          <w:p>
            <w:pPr>
              <w:spacing w:after="0"/>
              <w:rPr>
                <w:sz w:val="19"/>
                <w:szCs w:val="19"/>
                <w:color w:val="auto"/>
              </w:rPr>
            </w:pPr>
          </w:p>
        </w:tc>
        <w:tc>
          <w:tcPr>
            <w:tcW w:w="1620" w:type="dxa"/>
            <w:vAlign w:val="bottom"/>
            <w:gridSpan w:val="2"/>
            <w:shd w:val="clear" w:color="auto" w:fill="E5FFFF"/>
          </w:tcPr>
          <w:p>
            <w:pPr>
              <w:jc w:val="right"/>
              <w:ind w:right="259"/>
              <w:spacing w:after="0"/>
              <w:rPr>
                <w:sz w:val="20"/>
                <w:szCs w:val="20"/>
                <w:color w:val="auto"/>
              </w:rPr>
            </w:pPr>
            <w:r>
              <w:rPr>
                <w:rFonts w:ascii="Times New Roman" w:cs="Times New Roman" w:eastAsia="Times New Roman" w:hAnsi="Times New Roman"/>
                <w:sz w:val="16"/>
                <w:szCs w:val="16"/>
                <w:color w:val="auto"/>
              </w:rPr>
              <w:t>2,500</w:t>
            </w:r>
          </w:p>
        </w:tc>
        <w:tc>
          <w:tcPr>
            <w:tcW w:w="12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Purchase of short-term cash deposits</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(2,500)</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682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Net cash (used in)/provided by investing activities</w:t>
            </w:r>
          </w:p>
        </w:tc>
        <w:tc>
          <w:tcPr>
            <w:tcW w:w="540" w:type="dxa"/>
            <w:vAlign w:val="bottom"/>
            <w:tcBorders>
              <w:top w:val="single" w:sz="8" w:color="E5FFFF"/>
            </w:tcBorders>
            <w:shd w:val="clear" w:color="auto" w:fill="E5FFFF"/>
          </w:tcPr>
          <w:p>
            <w:pPr>
              <w:spacing w:after="0"/>
              <w:rPr>
                <w:sz w:val="17"/>
                <w:szCs w:val="17"/>
                <w:color w:val="auto"/>
              </w:rPr>
            </w:pPr>
          </w:p>
        </w:tc>
        <w:tc>
          <w:tcPr>
            <w:tcW w:w="320" w:type="dxa"/>
            <w:vAlign w:val="bottom"/>
            <w:tcBorders>
              <w:top w:val="single" w:sz="8" w:color="E5FFFF"/>
            </w:tcBorders>
            <w:shd w:val="clear" w:color="auto" w:fill="E5FFFF"/>
          </w:tcPr>
          <w:p>
            <w:pPr>
              <w:spacing w:after="0"/>
              <w:rPr>
                <w:sz w:val="17"/>
                <w:szCs w:val="17"/>
                <w:color w:val="auto"/>
              </w:rPr>
            </w:pPr>
          </w:p>
        </w:tc>
        <w:tc>
          <w:tcPr>
            <w:tcW w:w="12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(15,387)</w:t>
            </w:r>
          </w:p>
        </w:tc>
        <w:tc>
          <w:tcPr>
            <w:tcW w:w="340" w:type="dxa"/>
            <w:vAlign w:val="bottom"/>
            <w:tcBorders>
              <w:top w:val="single" w:sz="8" w:color="E5FFFF"/>
            </w:tcBorders>
            <w:shd w:val="clear" w:color="auto" w:fill="E5FFFF"/>
          </w:tcPr>
          <w:p>
            <w:pPr>
              <w:spacing w:after="0"/>
              <w:rPr>
                <w:sz w:val="17"/>
                <w:szCs w:val="17"/>
                <w:color w:val="auto"/>
              </w:rPr>
            </w:pP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27,454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2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68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Borrowings repayments</w:t>
            </w:r>
          </w:p>
        </w:tc>
        <w:tc>
          <w:tcPr>
            <w:tcW w:w="54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7</w:t>
            </w:r>
          </w:p>
        </w:tc>
        <w:tc>
          <w:tcPr>
            <w:tcW w:w="320" w:type="dxa"/>
            <w:vAlign w:val="bottom"/>
            <w:shd w:val="clear" w:color="auto" w:fill="E5FFFF"/>
          </w:tcPr>
          <w:p>
            <w:pPr>
              <w:spacing w:after="0"/>
              <w:rPr>
                <w:sz w:val="19"/>
                <w:szCs w:val="19"/>
                <w:color w:val="auto"/>
              </w:rPr>
            </w:pPr>
          </w:p>
        </w:tc>
        <w:tc>
          <w:tcPr>
            <w:tcW w:w="1620" w:type="dxa"/>
            <w:vAlign w:val="bottom"/>
            <w:gridSpan w:val="2"/>
            <w:shd w:val="clear" w:color="auto" w:fill="E5FFFF"/>
          </w:tcPr>
          <w:p>
            <w:pPr>
              <w:jc w:val="right"/>
              <w:ind w:right="199"/>
              <w:spacing w:after="0"/>
              <w:rPr>
                <w:sz w:val="20"/>
                <w:szCs w:val="20"/>
                <w:color w:val="auto"/>
              </w:rPr>
            </w:pPr>
            <w:r>
              <w:rPr>
                <w:rFonts w:ascii="Times New Roman" w:cs="Times New Roman" w:eastAsia="Times New Roman" w:hAnsi="Times New Roman"/>
                <w:sz w:val="16"/>
                <w:szCs w:val="16"/>
                <w:color w:val="auto"/>
              </w:rPr>
              <w:t>(90,853)</w:t>
            </w:r>
          </w:p>
        </w:tc>
        <w:tc>
          <w:tcPr>
            <w:tcW w:w="12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(118,371)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Payment of loan issuance costs</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68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Principal elements of lease payments</w:t>
            </w:r>
          </w:p>
        </w:tc>
        <w:tc>
          <w:tcPr>
            <w:tcW w:w="54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320" w:type="dxa"/>
            <w:vAlign w:val="bottom"/>
            <w:shd w:val="clear" w:color="auto" w:fill="E5FFFF"/>
          </w:tcPr>
          <w:p>
            <w:pPr>
              <w:spacing w:after="0"/>
              <w:rPr>
                <w:sz w:val="19"/>
                <w:szCs w:val="19"/>
                <w:color w:val="auto"/>
              </w:rPr>
            </w:pPr>
          </w:p>
        </w:tc>
        <w:tc>
          <w:tcPr>
            <w:tcW w:w="1620" w:type="dxa"/>
            <w:vAlign w:val="bottom"/>
            <w:gridSpan w:val="2"/>
            <w:shd w:val="clear" w:color="auto" w:fill="E5FFFF"/>
          </w:tcPr>
          <w:p>
            <w:pPr>
              <w:jc w:val="right"/>
              <w:ind w:right="199"/>
              <w:spacing w:after="0"/>
              <w:rPr>
                <w:sz w:val="20"/>
                <w:szCs w:val="20"/>
                <w:color w:val="auto"/>
              </w:rPr>
            </w:pPr>
            <w:r>
              <w:rPr>
                <w:rFonts w:ascii="Times New Roman" w:cs="Times New Roman" w:eastAsia="Times New Roman" w:hAnsi="Times New Roman"/>
                <w:sz w:val="16"/>
                <w:szCs w:val="16"/>
                <w:color w:val="auto"/>
              </w:rPr>
              <w:t>(310)</w:t>
            </w:r>
          </w:p>
        </w:tc>
        <w:tc>
          <w:tcPr>
            <w:tcW w:w="12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(7,832)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Interest paid</w:t>
            </w:r>
          </w:p>
        </w:tc>
        <w:tc>
          <w:tcPr>
            <w:tcW w:w="5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8, 13</w:t>
            </w:r>
          </w:p>
        </w:tc>
        <w:tc>
          <w:tcPr>
            <w:tcW w:w="320" w:type="dxa"/>
            <w:vAlign w:val="bottom"/>
          </w:tcPr>
          <w:p>
            <w:pPr>
              <w:spacing w:after="0"/>
              <w:rPr>
                <w:sz w:val="18"/>
                <w:szCs w:val="18"/>
                <w:color w:val="auto"/>
              </w:rPr>
            </w:pPr>
          </w:p>
        </w:tc>
        <w:tc>
          <w:tcPr>
            <w:tcW w:w="162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(35,277)</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68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Release of cash collateral for interest rate swaps</w:t>
            </w:r>
          </w:p>
        </w:tc>
        <w:tc>
          <w:tcPr>
            <w:tcW w:w="540" w:type="dxa"/>
            <w:vAlign w:val="bottom"/>
            <w:shd w:val="clear" w:color="auto" w:fill="E5FFFF"/>
          </w:tcPr>
          <w:p>
            <w:pPr>
              <w:spacing w:after="0"/>
              <w:rPr>
                <w:sz w:val="19"/>
                <w:szCs w:val="19"/>
                <w:color w:val="auto"/>
              </w:rPr>
            </w:pPr>
          </w:p>
        </w:tc>
        <w:tc>
          <w:tcPr>
            <w:tcW w:w="320" w:type="dxa"/>
            <w:vAlign w:val="bottom"/>
            <w:shd w:val="clear" w:color="auto" w:fill="E5FFFF"/>
          </w:tcPr>
          <w:p>
            <w:pPr>
              <w:spacing w:after="0"/>
              <w:rPr>
                <w:sz w:val="19"/>
                <w:szCs w:val="19"/>
                <w:color w:val="auto"/>
              </w:rPr>
            </w:pPr>
          </w:p>
        </w:tc>
        <w:tc>
          <w:tcPr>
            <w:tcW w:w="1620" w:type="dxa"/>
            <w:vAlign w:val="bottom"/>
            <w:gridSpan w:val="2"/>
            <w:shd w:val="clear" w:color="auto" w:fill="E5FFFF"/>
          </w:tcPr>
          <w:p>
            <w:pPr>
              <w:jc w:val="right"/>
              <w:ind w:right="259"/>
              <w:spacing w:after="0"/>
              <w:rPr>
                <w:sz w:val="20"/>
                <w:szCs w:val="20"/>
                <w:color w:val="auto"/>
              </w:rPr>
            </w:pPr>
            <w:r>
              <w:rPr>
                <w:rFonts w:ascii="Times New Roman" w:cs="Times New Roman" w:eastAsia="Times New Roman" w:hAnsi="Times New Roman"/>
                <w:sz w:val="16"/>
                <w:szCs w:val="16"/>
                <w:color w:val="auto"/>
              </w:rPr>
              <w:t>280</w:t>
            </w:r>
          </w:p>
        </w:tc>
        <w:tc>
          <w:tcPr>
            <w:tcW w:w="12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public offerings of common units and issuances of general partner units (net of</w:t>
            </w: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6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underwriting discounts and commissions)</w:t>
            </w:r>
          </w:p>
        </w:tc>
        <w:tc>
          <w:tcPr>
            <w:tcW w:w="5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320" w:type="dxa"/>
            <w:vAlign w:val="bottom"/>
          </w:tcPr>
          <w:p>
            <w:pPr>
              <w:spacing w:after="0"/>
              <w:rPr>
                <w:sz w:val="18"/>
                <w:szCs w:val="18"/>
                <w:color w:val="auto"/>
              </w:rPr>
            </w:pPr>
          </w:p>
        </w:tc>
        <w:tc>
          <w:tcPr>
            <w:tcW w:w="162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10,205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68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Repurchases of preference units</w:t>
            </w:r>
          </w:p>
        </w:tc>
        <w:tc>
          <w:tcPr>
            <w:tcW w:w="54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320" w:type="dxa"/>
            <w:vAlign w:val="bottom"/>
            <w:shd w:val="clear" w:color="auto" w:fill="E5FFFF"/>
          </w:tcPr>
          <w:p>
            <w:pPr>
              <w:spacing w:after="0"/>
              <w:rPr>
                <w:sz w:val="19"/>
                <w:szCs w:val="19"/>
                <w:color w:val="auto"/>
              </w:rPr>
            </w:pPr>
          </w:p>
        </w:tc>
        <w:tc>
          <w:tcPr>
            <w:tcW w:w="1620" w:type="dxa"/>
            <w:vAlign w:val="bottom"/>
            <w:gridSpan w:val="2"/>
            <w:shd w:val="clear" w:color="auto" w:fill="E5FFFF"/>
          </w:tcPr>
          <w:p>
            <w:pPr>
              <w:jc w:val="right"/>
              <w:ind w:right="199"/>
              <w:spacing w:after="0"/>
              <w:rPr>
                <w:sz w:val="20"/>
                <w:szCs w:val="20"/>
                <w:color w:val="auto"/>
              </w:rPr>
            </w:pPr>
            <w:r>
              <w:rPr>
                <w:rFonts w:ascii="Times New Roman" w:cs="Times New Roman" w:eastAsia="Times New Roman" w:hAnsi="Times New Roman"/>
                <w:sz w:val="14"/>
                <w:szCs w:val="14"/>
                <w:color w:val="auto"/>
              </w:rPr>
              <w:t>(12,361</w:t>
            </w:r>
            <w:r>
              <w:rPr>
                <w:rFonts w:ascii="Times New Roman" w:cs="Times New Roman" w:eastAsia="Times New Roman" w:hAnsi="Times New Roman"/>
                <w:sz w:val="16"/>
                <w:szCs w:val="16"/>
                <w:color w:val="auto"/>
              </w:rPr>
              <w:t>)</w:t>
            </w:r>
          </w:p>
        </w:tc>
        <w:tc>
          <w:tcPr>
            <w:tcW w:w="12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(38,744)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Payment of offering costs</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(333)</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68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Distributions paid (including common and preference)</w:t>
            </w:r>
          </w:p>
        </w:tc>
        <w:tc>
          <w:tcPr>
            <w:tcW w:w="54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320" w:type="dxa"/>
            <w:vAlign w:val="bottom"/>
            <w:shd w:val="clear" w:color="auto" w:fill="E5FFFF"/>
          </w:tcPr>
          <w:p>
            <w:pPr>
              <w:spacing w:after="0"/>
              <w:rPr>
                <w:sz w:val="19"/>
                <w:szCs w:val="19"/>
                <w:color w:val="auto"/>
              </w:rPr>
            </w:pPr>
          </w:p>
        </w:tc>
        <w:tc>
          <w:tcPr>
            <w:tcW w:w="1620" w:type="dxa"/>
            <w:vAlign w:val="bottom"/>
            <w:gridSpan w:val="2"/>
            <w:shd w:val="clear" w:color="auto" w:fill="E5FFFF"/>
          </w:tcPr>
          <w:p>
            <w:pPr>
              <w:jc w:val="right"/>
              <w:ind w:right="199"/>
              <w:spacing w:after="0"/>
              <w:rPr>
                <w:sz w:val="20"/>
                <w:szCs w:val="20"/>
                <w:color w:val="auto"/>
              </w:rPr>
            </w:pPr>
            <w:r>
              <w:rPr>
                <w:rFonts w:ascii="Times New Roman" w:cs="Times New Roman" w:eastAsia="Times New Roman" w:hAnsi="Times New Roman"/>
                <w:sz w:val="16"/>
                <w:szCs w:val="16"/>
                <w:color w:val="auto"/>
              </w:rPr>
              <w:t>(24,068)</w:t>
            </w:r>
          </w:p>
        </w:tc>
        <w:tc>
          <w:tcPr>
            <w:tcW w:w="12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(22,359)</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682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540" w:type="dxa"/>
            <w:vAlign w:val="bottom"/>
            <w:tcBorders>
              <w:bottom w:val="single" w:sz="8" w:color="E5FFFF"/>
            </w:tcBorders>
          </w:tcPr>
          <w:p>
            <w:pPr>
              <w:spacing w:after="0"/>
              <w:rPr>
                <w:sz w:val="17"/>
                <w:szCs w:val="17"/>
                <w:color w:val="auto"/>
              </w:rPr>
            </w:pPr>
          </w:p>
        </w:tc>
        <w:tc>
          <w:tcPr>
            <w:tcW w:w="320" w:type="dxa"/>
            <w:vAlign w:val="bottom"/>
            <w:tcBorders>
              <w:bottom w:val="single" w:sz="8" w:color="E5FFFF"/>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(152,717</w:t>
            </w:r>
          </w:p>
        </w:tc>
        <w:tc>
          <w:tcPr>
            <w:tcW w:w="340" w:type="dxa"/>
            <w:vAlign w:val="bottom"/>
            <w:tcBorders>
              <w:bottom w:val="single" w:sz="8" w:color="E5FFFF"/>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(219,744</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68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Increase/(decrease) in cash and cash equivalents</w:t>
            </w:r>
          </w:p>
        </w:tc>
        <w:tc>
          <w:tcPr>
            <w:tcW w:w="5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28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6,472</w:t>
            </w:r>
          </w:p>
        </w:tc>
        <w:tc>
          <w:tcPr>
            <w:tcW w:w="340" w:type="dxa"/>
            <w:vAlign w:val="bottom"/>
            <w:shd w:val="clear" w:color="auto" w:fill="E5FFFF"/>
          </w:tcPr>
          <w:p>
            <w:pPr>
              <w:spacing w:after="0"/>
              <w:rPr>
                <w:sz w:val="17"/>
                <w:szCs w:val="17"/>
                <w:color w:val="auto"/>
              </w:rPr>
            </w:pPr>
          </w:p>
        </w:tc>
        <w:tc>
          <w:tcPr>
            <w:tcW w:w="126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(6,574</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682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color w:val="auto"/>
              </w:rPr>
              <w:t>Cash and cash equivalents, beginning of the period</w:t>
            </w:r>
          </w:p>
        </w:tc>
        <w:tc>
          <w:tcPr>
            <w:tcW w:w="540" w:type="dxa"/>
            <w:vAlign w:val="bottom"/>
            <w:tcBorders>
              <w:bottom w:val="single" w:sz="8" w:color="E5FFFF"/>
            </w:tcBorders>
          </w:tcPr>
          <w:p>
            <w:pPr>
              <w:spacing w:after="0"/>
              <w:rPr>
                <w:sz w:val="17"/>
                <w:szCs w:val="17"/>
                <w:color w:val="auto"/>
              </w:rPr>
            </w:pPr>
          </w:p>
        </w:tc>
        <w:tc>
          <w:tcPr>
            <w:tcW w:w="320" w:type="dxa"/>
            <w:vAlign w:val="bottom"/>
            <w:tcBorders>
              <w:bottom w:val="single" w:sz="8" w:color="E5FFFF"/>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103,736</w:t>
            </w:r>
          </w:p>
        </w:tc>
        <w:tc>
          <w:tcPr>
            <w:tcW w:w="340" w:type="dxa"/>
            <w:vAlign w:val="bottom"/>
            <w:tcBorders>
              <w:bottom w:val="single" w:sz="8" w:color="E5FFFF"/>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145,530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6820" w:type="dxa"/>
            <w:vAlign w:val="bottom"/>
            <w:tcBorders>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end of the period</w:t>
            </w:r>
          </w:p>
        </w:tc>
        <w:tc>
          <w:tcPr>
            <w:tcW w:w="540" w:type="dxa"/>
            <w:vAlign w:val="bottom"/>
            <w:tcBorders>
              <w:bottom w:val="single" w:sz="8" w:color="E5FFFF"/>
            </w:tcBorders>
            <w:shd w:val="clear" w:color="auto" w:fill="E5FFFF"/>
          </w:tcPr>
          <w:p>
            <w:pPr>
              <w:spacing w:after="0"/>
              <w:rPr>
                <w:sz w:val="17"/>
                <w:szCs w:val="17"/>
                <w:color w:val="auto"/>
              </w:rPr>
            </w:pPr>
          </w:p>
        </w:tc>
        <w:tc>
          <w:tcPr>
            <w:tcW w:w="320" w:type="dxa"/>
            <w:vAlign w:val="bottom"/>
            <w:tcBorders>
              <w:bottom w:val="single" w:sz="8" w:color="E5FFFF"/>
            </w:tcBorders>
            <w:shd w:val="clear" w:color="auto" w:fill="E5FFFF"/>
          </w:tcPr>
          <w:p>
            <w:pPr>
              <w:spacing w:after="0"/>
              <w:rPr>
                <w:sz w:val="17"/>
                <w:szCs w:val="17"/>
                <w:color w:val="auto"/>
              </w:rPr>
            </w:pPr>
          </w:p>
        </w:tc>
        <w:tc>
          <w:tcPr>
            <w:tcW w:w="128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110,208</w:t>
            </w:r>
          </w:p>
        </w:tc>
        <w:tc>
          <w:tcPr>
            <w:tcW w:w="340" w:type="dxa"/>
            <w:vAlign w:val="bottom"/>
            <w:tcBorders>
              <w:bottom w:val="single" w:sz="8" w:color="E5FFFF"/>
            </w:tcBorders>
            <w:shd w:val="clear" w:color="auto" w:fill="E5FFFF"/>
          </w:tcPr>
          <w:p>
            <w:pPr>
              <w:spacing w:after="0"/>
              <w:rPr>
                <w:sz w:val="17"/>
                <w:szCs w:val="17"/>
                <w:color w:val="auto"/>
              </w:rPr>
            </w:pPr>
          </w:p>
        </w:tc>
        <w:tc>
          <w:tcPr>
            <w:tcW w:w="126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138,956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0" w:type="dxa"/>
            <w:vAlign w:val="bottom"/>
            <w:vMerge w:val="restart"/>
          </w:tcPr>
          <w:p>
            <w:pPr>
              <w:spacing w:after="0"/>
              <w:rPr>
                <w:sz w:val="17"/>
                <w:szCs w:val="17"/>
                <w:color w:val="auto"/>
              </w:rPr>
            </w:pPr>
          </w:p>
        </w:tc>
        <w:tc>
          <w:tcPr>
            <w:tcW w:w="6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68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Non-cash investing and financing activities:</w:t>
            </w:r>
          </w:p>
        </w:tc>
        <w:tc>
          <w:tcPr>
            <w:tcW w:w="54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28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260" w:type="dxa"/>
            <w:vAlign w:val="bottom"/>
            <w:shd w:val="clear" w:color="auto" w:fill="E5FF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Capital expenditures included in liabilities at the end of the period</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10,279</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68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Financing costs included in liabilities at the end of the period</w:t>
            </w:r>
          </w:p>
        </w:tc>
        <w:tc>
          <w:tcPr>
            <w:tcW w:w="540" w:type="dxa"/>
            <w:vAlign w:val="bottom"/>
            <w:shd w:val="clear" w:color="auto" w:fill="E5FFFF"/>
          </w:tcPr>
          <w:p>
            <w:pPr>
              <w:spacing w:after="0"/>
              <w:rPr>
                <w:sz w:val="19"/>
                <w:szCs w:val="19"/>
                <w:color w:val="auto"/>
              </w:rPr>
            </w:pPr>
          </w:p>
        </w:tc>
        <w:tc>
          <w:tcPr>
            <w:tcW w:w="320" w:type="dxa"/>
            <w:vAlign w:val="bottom"/>
            <w:shd w:val="clear" w:color="auto" w:fill="E5FFFF"/>
          </w:tcPr>
          <w:p>
            <w:pPr>
              <w:spacing w:after="0"/>
              <w:rPr>
                <w:sz w:val="19"/>
                <w:szCs w:val="19"/>
                <w:color w:val="auto"/>
              </w:rPr>
            </w:pPr>
          </w:p>
        </w:tc>
        <w:tc>
          <w:tcPr>
            <w:tcW w:w="1620" w:type="dxa"/>
            <w:vAlign w:val="bottom"/>
            <w:gridSpan w:val="2"/>
            <w:shd w:val="clear" w:color="auto" w:fill="E5FFFF"/>
          </w:tcPr>
          <w:p>
            <w:pPr>
              <w:jc w:val="right"/>
              <w:ind w:right="259"/>
              <w:spacing w:after="0"/>
              <w:rPr>
                <w:sz w:val="20"/>
                <w:szCs w:val="20"/>
                <w:color w:val="auto"/>
              </w:rPr>
            </w:pPr>
            <w:r>
              <w:rPr>
                <w:rFonts w:ascii="Times New Roman" w:cs="Times New Roman" w:eastAsia="Times New Roman" w:hAnsi="Times New Roman"/>
                <w:sz w:val="16"/>
                <w:szCs w:val="16"/>
                <w:color w:val="auto"/>
              </w:rPr>
              <w:t>51</w:t>
            </w:r>
          </w:p>
        </w:tc>
        <w:tc>
          <w:tcPr>
            <w:tcW w:w="12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Offering costs included in liabilities at the end of the period</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30</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68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Commission on vessel disposal included in liabilities at the end of the period</w:t>
            </w:r>
          </w:p>
        </w:tc>
        <w:tc>
          <w:tcPr>
            <w:tcW w:w="54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320" w:type="dxa"/>
            <w:vAlign w:val="bottom"/>
            <w:shd w:val="clear" w:color="auto" w:fill="E5FFFF"/>
          </w:tcPr>
          <w:p>
            <w:pPr>
              <w:spacing w:after="0"/>
              <w:rPr>
                <w:sz w:val="19"/>
                <w:szCs w:val="19"/>
                <w:color w:val="auto"/>
              </w:rPr>
            </w:pPr>
          </w:p>
        </w:tc>
        <w:tc>
          <w:tcPr>
            <w:tcW w:w="1620" w:type="dxa"/>
            <w:vAlign w:val="bottom"/>
            <w:gridSpan w:val="2"/>
            <w:shd w:val="clear" w:color="auto" w:fill="E5FF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1,075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20"/>
          </w:cols>
          <w:pgMar w:left="320" w:top="907" w:right="6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b w:val="1"/>
          <w:bCs w:val="1"/>
          <w:color w:val="auto"/>
        </w:rPr>
        <w:t>GasLog Partners LP</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Notes to the unaudited condensed consolidated financial statements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 2021 and 2022</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(All amounts expressed in thousands of U.S. Dollars, except unit data and per unit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 Organization and Operations</w:t>
      </w:r>
    </w:p>
    <w:p>
      <w:pPr>
        <w:spacing w:after="0" w:line="237" w:lineRule="exact"/>
        <w:rPr>
          <w:sz w:val="20"/>
          <w:szCs w:val="20"/>
          <w:color w:val="auto"/>
        </w:rPr>
      </w:pPr>
    </w:p>
    <w:p>
      <w:pPr>
        <w:ind w:right="60" w:firstLine="324"/>
        <w:spacing w:after="0" w:line="281" w:lineRule="auto"/>
        <w:rPr>
          <w:sz w:val="20"/>
          <w:szCs w:val="20"/>
          <w:color w:val="auto"/>
        </w:rPr>
      </w:pPr>
      <w:r>
        <w:rPr>
          <w:rFonts w:ascii="Times New Roman" w:cs="Times New Roman" w:eastAsia="Times New Roman" w:hAnsi="Times New Roman"/>
          <w:sz w:val="16"/>
          <w:szCs w:val="16"/>
          <w:color w:val="auto"/>
        </w:rPr>
        <w:t>GasLog Partners LP (“GasLog Partners” or the “Partnership”) was formed as a limited partnership under the laws of the Marshall Islands on January 23, 2014, as a wholly owned subsidiary of GasLog Ltd. (“GasLog”) for the purpose of initially acquiring the interests in three liquefied natural gas (“LNG”) carriers that were contributed to the Partnership by GasLog in connection with the initial public offering of its common units (the “IPO”).</w:t>
      </w:r>
    </w:p>
    <w:p>
      <w:pPr>
        <w:spacing w:after="0" w:line="177" w:lineRule="exact"/>
        <w:rPr>
          <w:sz w:val="20"/>
          <w:szCs w:val="20"/>
          <w:color w:val="auto"/>
        </w:rPr>
      </w:pPr>
    </w:p>
    <w:p>
      <w:pPr>
        <w:ind w:right="180" w:firstLine="324"/>
        <w:spacing w:after="0" w:line="275" w:lineRule="auto"/>
        <w:rPr>
          <w:sz w:val="20"/>
          <w:szCs w:val="20"/>
          <w:color w:val="auto"/>
        </w:rPr>
      </w:pPr>
      <w:r>
        <w:rPr>
          <w:rFonts w:ascii="Times New Roman" w:cs="Times New Roman" w:eastAsia="Times New Roman" w:hAnsi="Times New Roman"/>
          <w:sz w:val="16"/>
          <w:szCs w:val="16"/>
          <w:color w:val="auto"/>
        </w:rPr>
        <w:t>The Partnership’s principal business is the acquisition and operation of LNG vessels, providing LNG transportation services on a worldwide basis. GasLog LNG Services Ltd. (“GasLog LNG Services” or the “Manager”), a related party and a wholly owned subsidiary of GasLog, incorporated under the laws of Bermuda, provides technical and commercial services to the Partnership. As of September 30, 2022, the Partnership wholly owned 13 LNG vessels and operated one LNG vessel leased back under a bareboat charter.</w:t>
      </w:r>
    </w:p>
    <w:p>
      <w:pPr>
        <w:spacing w:after="0" w:line="183" w:lineRule="exact"/>
        <w:rPr>
          <w:sz w:val="20"/>
          <w:szCs w:val="20"/>
          <w:color w:val="auto"/>
        </w:rPr>
      </w:pPr>
    </w:p>
    <w:p>
      <w:pPr>
        <w:ind w:right="320" w:firstLine="324"/>
        <w:spacing w:after="0" w:line="281" w:lineRule="auto"/>
        <w:rPr>
          <w:sz w:val="20"/>
          <w:szCs w:val="20"/>
          <w:color w:val="auto"/>
        </w:rPr>
      </w:pPr>
      <w:r>
        <w:rPr>
          <w:rFonts w:ascii="Times New Roman" w:cs="Times New Roman" w:eastAsia="Times New Roman" w:hAnsi="Times New Roman"/>
          <w:sz w:val="16"/>
          <w:szCs w:val="16"/>
          <w:color w:val="auto"/>
        </w:rPr>
        <w:t>As of September 30, 2022, GasLog held a 33.2% ownership interest in the Partnership (including 2.0% through its general partner interest). As a result of its 100% ownership of the general partner, and the fact that the general partner elects the majority of the Partnership’s directors in accordance with the Partnership Agreement, GasLog has the ability to control the Partnership’s affairs and policies.</w:t>
      </w:r>
    </w:p>
    <w:p>
      <w:pPr>
        <w:spacing w:after="0" w:line="177" w:lineRule="exact"/>
        <w:rPr>
          <w:sz w:val="20"/>
          <w:szCs w:val="20"/>
          <w:color w:val="auto"/>
        </w:rPr>
      </w:pPr>
    </w:p>
    <w:p>
      <w:pPr>
        <w:ind w:right="60" w:firstLine="324"/>
        <w:spacing w:after="0" w:line="281" w:lineRule="auto"/>
        <w:rPr>
          <w:sz w:val="20"/>
          <w:szCs w:val="20"/>
          <w:color w:val="auto"/>
        </w:rPr>
      </w:pPr>
      <w:r>
        <w:rPr>
          <w:rFonts w:ascii="Times New Roman" w:cs="Times New Roman" w:eastAsia="Times New Roman" w:hAnsi="Times New Roman"/>
          <w:sz w:val="16"/>
          <w:szCs w:val="16"/>
          <w:color w:val="auto"/>
        </w:rPr>
        <w:t>The accompanying unaudited condensed consolidated financial statements include the financial statements of GasLog Partners and its subsidiaries, which are 100% owned by the Partnership. GasLog-two Malta Ltd., a wholly owned subsidiary of the Partnership (dormant entity), was incorporated in Malta in August 2022. No other new subsidiaries were established or acquired in the nine months ended September 30, 2022.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Basis of Presentation</w:t>
      </w:r>
    </w:p>
    <w:p>
      <w:pPr>
        <w:spacing w:after="0" w:line="235" w:lineRule="exact"/>
        <w:rPr>
          <w:sz w:val="20"/>
          <w:szCs w:val="20"/>
          <w:color w:val="auto"/>
        </w:rPr>
      </w:pPr>
    </w:p>
    <w:p>
      <w:pPr>
        <w:jc w:val="both"/>
        <w:ind w:right="80" w:firstLine="324"/>
        <w:spacing w:after="0" w:line="273" w:lineRule="auto"/>
        <w:rPr>
          <w:sz w:val="20"/>
          <w:szCs w:val="20"/>
          <w:color w:val="auto"/>
        </w:rPr>
      </w:pPr>
      <w:r>
        <w:rPr>
          <w:rFonts w:ascii="Times New Roman" w:cs="Times New Roman" w:eastAsia="Times New Roman" w:hAnsi="Times New Roman"/>
          <w:sz w:val="16"/>
          <w:szCs w:val="16"/>
          <w:color w:val="auto"/>
        </w:rPr>
        <w:t xml:space="preserve">These unaudited condensed consolidated financial statements have been prepared in accordance with International Accounting Standard (“IAS”) 34 </w:t>
      </w:r>
      <w:r>
        <w:rPr>
          <w:rFonts w:ascii="Times New Roman" w:cs="Times New Roman" w:eastAsia="Times New Roman" w:hAnsi="Times New Roman"/>
          <w:sz w:val="16"/>
          <w:szCs w:val="16"/>
          <w:i w:val="1"/>
          <w:iCs w:val="1"/>
          <w:color w:val="auto"/>
        </w:rPr>
        <w:t>Interim Financial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Reporting </w:t>
      </w:r>
      <w:r>
        <w:rPr>
          <w:rFonts w:ascii="Times New Roman" w:cs="Times New Roman" w:eastAsia="Times New Roman" w:hAnsi="Times New Roman"/>
          <w:sz w:val="16"/>
          <w:szCs w:val="16"/>
          <w:color w:val="auto"/>
        </w:rPr>
        <w:t>as issued by the International Accounting Standards Board (“IASB”). Certain information and footnote disclosures required by International Financial Reporting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Standards (“IFRS”) for a complete set of annual financial statements have been omitted, and, therefore, these unaudited condensed consolidated financial statements should be read in conjunction with the Partnership’s annual consolidated financial statements for the year ended December 31, 2021, filed on an Annual Report on Form 20-F with the Securities Exchange Commission on March 1, 2022.</w:t>
      </w:r>
    </w:p>
    <w:p>
      <w:pPr>
        <w:spacing w:after="0" w:line="184" w:lineRule="exact"/>
        <w:rPr>
          <w:sz w:val="20"/>
          <w:szCs w:val="20"/>
          <w:color w:val="auto"/>
        </w:rPr>
      </w:pPr>
    </w:p>
    <w:p>
      <w:pPr>
        <w:ind w:right="20" w:firstLine="324"/>
        <w:spacing w:after="0" w:line="272" w:lineRule="auto"/>
        <w:rPr>
          <w:sz w:val="20"/>
          <w:szCs w:val="20"/>
          <w:color w:val="auto"/>
        </w:rPr>
      </w:pPr>
      <w:r>
        <w:rPr>
          <w:rFonts w:ascii="Times New Roman" w:cs="Times New Roman" w:eastAsia="Times New Roman" w:hAnsi="Times New Roman"/>
          <w:sz w:val="16"/>
          <w:szCs w:val="16"/>
          <w:color w:val="auto"/>
        </w:rPr>
        <w:t>The unaudited condensed consolidated financial statements have been prepared on the historical cost basis, except for the revaluation of derivative financial instruments. The same accounting policies and methods of computation have been followed in these unaudited condensed consolidated financial statements as applied in the preparation of the Partnership’s consolidated financial statements for the year ended December 31, 2021. On October 27, 2022, the Partnership’s board of directors authorized the unaudited condensed consolidated financial statements for issuance. The critical accounting judgments and key sources of estimation uncertainty were disclosed in the Partnership’s annual consolidated financial statements for the year ended December 31, 2021 and remain unchanged.</w:t>
      </w:r>
    </w:p>
    <w:p>
      <w:pPr>
        <w:spacing w:after="0" w:line="186" w:lineRule="exact"/>
        <w:rPr>
          <w:sz w:val="20"/>
          <w:szCs w:val="20"/>
          <w:color w:val="auto"/>
        </w:rPr>
      </w:pPr>
    </w:p>
    <w:p>
      <w:pPr>
        <w:ind w:firstLine="324"/>
        <w:spacing w:after="0" w:line="281" w:lineRule="auto"/>
        <w:rPr>
          <w:sz w:val="20"/>
          <w:szCs w:val="20"/>
          <w:color w:val="auto"/>
        </w:rPr>
      </w:pPr>
      <w:r>
        <w:rPr>
          <w:rFonts w:ascii="Times New Roman" w:cs="Times New Roman" w:eastAsia="Times New Roman" w:hAnsi="Times New Roman"/>
          <w:sz w:val="16"/>
          <w:szCs w:val="16"/>
          <w:color w:val="auto"/>
        </w:rPr>
        <w:t>The unaudited condensed consolidated financial statements are expressed in thousands of U.S. Dollars (“USD”), which is the functional currency of the Partnership and each of its subsidiaries because their vessels operate in international shipping markets, in which revenues and expenses are primarily settled in USD and the Partnership’s most significant assets and liabilities are paid for and settled in USD.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Adoption of new and revised IFRS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 Standards and interpretations adopted in the current period</w:t>
      </w:r>
    </w:p>
    <w:p>
      <w:pPr>
        <w:spacing w:after="0" w:line="237" w:lineRule="exact"/>
        <w:rPr>
          <w:sz w:val="20"/>
          <w:szCs w:val="20"/>
          <w:color w:val="auto"/>
        </w:rPr>
      </w:pPr>
    </w:p>
    <w:p>
      <w:pPr>
        <w:ind w:right="580" w:firstLine="324"/>
        <w:spacing w:after="0" w:line="298" w:lineRule="auto"/>
        <w:rPr>
          <w:sz w:val="20"/>
          <w:szCs w:val="20"/>
          <w:color w:val="auto"/>
        </w:rPr>
      </w:pPr>
      <w:r>
        <w:rPr>
          <w:rFonts w:ascii="Times New Roman" w:cs="Times New Roman" w:eastAsia="Times New Roman" w:hAnsi="Times New Roman"/>
          <w:sz w:val="16"/>
          <w:szCs w:val="16"/>
          <w:color w:val="auto"/>
        </w:rPr>
        <w:t>There were no IFRS standards or amendments that became effective in the current period which were relevant to the Partnership or material with respect to the Partnership’s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 Standards and amendments in issue not yet adopted</w:t>
      </w:r>
    </w:p>
    <w:p>
      <w:pPr>
        <w:spacing w:after="0" w:line="237" w:lineRule="exact"/>
        <w:rPr>
          <w:sz w:val="20"/>
          <w:szCs w:val="20"/>
          <w:color w:val="auto"/>
        </w:rPr>
      </w:pPr>
    </w:p>
    <w:p>
      <w:pPr>
        <w:ind w:right="260" w:firstLine="324"/>
        <w:spacing w:after="0" w:line="298" w:lineRule="auto"/>
        <w:rPr>
          <w:sz w:val="20"/>
          <w:szCs w:val="20"/>
          <w:color w:val="auto"/>
        </w:rPr>
      </w:pPr>
      <w:r>
        <w:rPr>
          <w:rFonts w:ascii="Times New Roman" w:cs="Times New Roman" w:eastAsia="Times New Roman" w:hAnsi="Times New Roman"/>
          <w:sz w:val="16"/>
          <w:szCs w:val="16"/>
          <w:color w:val="auto"/>
        </w:rPr>
        <w:t>At the date of authorization of these consolidated financial statements, the following standards and amendments relevant to the Partnership were in issue but not yet effective:</w:t>
      </w:r>
    </w:p>
    <w:p>
      <w:pPr>
        <w:spacing w:after="0" w:line="162" w:lineRule="exact"/>
        <w:rPr>
          <w:sz w:val="20"/>
          <w:szCs w:val="20"/>
          <w:color w:val="auto"/>
        </w:rPr>
      </w:pPr>
    </w:p>
    <w:p>
      <w:pPr>
        <w:ind w:right="40" w:firstLine="324"/>
        <w:spacing w:after="0" w:line="271" w:lineRule="auto"/>
        <w:rPr>
          <w:sz w:val="20"/>
          <w:szCs w:val="20"/>
          <w:color w:val="auto"/>
        </w:rPr>
      </w:pPr>
      <w:r>
        <w:rPr>
          <w:rFonts w:ascii="Times New Roman" w:cs="Times New Roman" w:eastAsia="Times New Roman" w:hAnsi="Times New Roman"/>
          <w:sz w:val="16"/>
          <w:szCs w:val="16"/>
          <w:color w:val="auto"/>
        </w:rPr>
        <w:t xml:space="preserve">In January 2020, the IASB issued a narrow-scope amendment to IAS 1 </w:t>
      </w:r>
      <w:r>
        <w:rPr>
          <w:rFonts w:ascii="Times New Roman" w:cs="Times New Roman" w:eastAsia="Times New Roman" w:hAnsi="Times New Roman"/>
          <w:sz w:val="16"/>
          <w:szCs w:val="16"/>
          <w:i w:val="1"/>
          <w:iCs w:val="1"/>
          <w:color w:val="auto"/>
        </w:rPr>
        <w:t>Presentation of Financial Statements</w:t>
      </w:r>
      <w:r>
        <w:rPr>
          <w:rFonts w:ascii="Times New Roman" w:cs="Times New Roman" w:eastAsia="Times New Roman" w:hAnsi="Times New Roman"/>
          <w:sz w:val="16"/>
          <w:szCs w:val="16"/>
          <w:color w:val="auto"/>
        </w:rPr>
        <w:t xml:space="preserve">, to clarify that liabilities are classified as either current or non-current, depending on the rights that exist at the end of the reporting period. Classification is unaffected by the expectations of the entity or events after the reporting date (for example, the receipt of a waiver or a breach of covenant). The amendment also clarifies what IAS 1 means when it refers to the “settlement” of a liability as the extinguishment of a liability with cash, other economic resources or an entity’s own equity instruments. The amendment will be effective for annual periods beginning on or after January 1, 2024 and should be applied retrospectively in accordance with IAS 8 </w:t>
      </w:r>
      <w:r>
        <w:rPr>
          <w:rFonts w:ascii="Times New Roman" w:cs="Times New Roman" w:eastAsia="Times New Roman" w:hAnsi="Times New Roman"/>
          <w:sz w:val="16"/>
          <w:szCs w:val="16"/>
          <w:i w:val="1"/>
          <w:iCs w:val="1"/>
          <w:color w:val="auto"/>
        </w:rPr>
        <w:t>Accounting Policies, Changes in Accounting Estimates and Errors</w:t>
      </w:r>
      <w:r>
        <w:rPr>
          <w:rFonts w:ascii="Times New Roman" w:cs="Times New Roman" w:eastAsia="Times New Roman" w:hAnsi="Times New Roman"/>
          <w:sz w:val="16"/>
          <w:szCs w:val="16"/>
          <w:color w:val="auto"/>
        </w:rPr>
        <w:t>. Earlier application is permitted. Management anticipates that this amendment will not have a material impact on the Partnership’s financial statements.</w:t>
      </w:r>
    </w:p>
    <w:p>
      <w:pPr>
        <w:spacing w:after="0" w:line="184"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6"/>
          <w:szCs w:val="16"/>
          <w:color w:val="auto"/>
        </w:rPr>
        <w:t xml:space="preserve">In February 2021, the IASB amended IAS 1 </w:t>
      </w:r>
      <w:r>
        <w:rPr>
          <w:rFonts w:ascii="Times New Roman" w:cs="Times New Roman" w:eastAsia="Times New Roman" w:hAnsi="Times New Roman"/>
          <w:sz w:val="16"/>
          <w:szCs w:val="16"/>
          <w:i w:val="1"/>
          <w:iCs w:val="1"/>
          <w:color w:val="auto"/>
        </w:rPr>
        <w:t>Presentation of Financial Statements,</w:t>
      </w:r>
      <w:r>
        <w:rPr>
          <w:rFonts w:ascii="Times New Roman" w:cs="Times New Roman" w:eastAsia="Times New Roman" w:hAnsi="Times New Roman"/>
          <w:sz w:val="16"/>
          <w:szCs w:val="16"/>
          <w:color w:val="auto"/>
        </w:rPr>
        <w:t xml:space="preserve"> IFRS Practice Statement 2 and IAS 8 </w:t>
      </w:r>
      <w:r>
        <w:rPr>
          <w:rFonts w:ascii="Times New Roman" w:cs="Times New Roman" w:eastAsia="Times New Roman" w:hAnsi="Times New Roman"/>
          <w:sz w:val="16"/>
          <w:szCs w:val="16"/>
          <w:i w:val="1"/>
          <w:iCs w:val="1"/>
          <w:color w:val="auto"/>
        </w:rPr>
        <w:t>Accounting Policies, Changes in Accounting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Estimates and Errors </w:t>
      </w:r>
      <w:r>
        <w:rPr>
          <w:rFonts w:ascii="Times New Roman" w:cs="Times New Roman" w:eastAsia="Times New Roman" w:hAnsi="Times New Roman"/>
          <w:sz w:val="16"/>
          <w:szCs w:val="16"/>
          <w:color w:val="auto"/>
        </w:rPr>
        <w:t>to improve accounting policy disclosures and help the users of the financial statements to distinguish between changes in accounting estimates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changes in accounting policies. The amendments will be effective for annual periods beginning on or</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7"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color w:val="auto"/>
        </w:rPr>
        <w:t>after January 1, 2023. Management anticipates that these amendments will not have a material impact on the Partnership’s financial statements.</w:t>
      </w:r>
    </w:p>
    <w:p>
      <w:pPr>
        <w:spacing w:after="0" w:line="2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impact of all other IFRS standards and amendments issued but not yet adopted is not expected to be material with respect to the Partnership’s financial statements.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 Related Party Transactions</w:t>
      </w: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Partnership has the following balances with related parties, which have been included in the unaudited condensed consolidated statements of financial position: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3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Amounts due to related parties</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193"/>
        </w:trPr>
        <w:tc>
          <w:tcPr>
            <w:tcW w:w="73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380" w:type="dxa"/>
            <w:vAlign w:val="bottom"/>
          </w:tcPr>
          <w:p>
            <w:pPr>
              <w:spacing w:after="0"/>
              <w:rPr>
                <w:sz w:val="18"/>
                <w:szCs w:val="18"/>
                <w:color w:val="auto"/>
              </w:rPr>
            </w:pPr>
          </w:p>
        </w:tc>
        <w:tc>
          <w:tcPr>
            <w:tcW w:w="18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50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26"/>
        </w:trPr>
        <w:tc>
          <w:tcPr>
            <w:tcW w:w="7380" w:type="dxa"/>
            <w:vAlign w:val="bottom"/>
            <w:tcBorders>
              <w:top w:val="single" w:sz="8" w:color="E5FFFF"/>
            </w:tcBorders>
            <w:shd w:val="clear" w:color="auto" w:fill="E5FFFF"/>
          </w:tcPr>
          <w:p>
            <w:pPr>
              <w:spacing w:after="0" w:line="226" w:lineRule="exact"/>
              <w:rPr>
                <w:sz w:val="20"/>
                <w:szCs w:val="20"/>
                <w:color w:val="auto"/>
              </w:rPr>
            </w:pPr>
            <w:r>
              <w:rPr>
                <w:rFonts w:ascii="Times New Roman" w:cs="Times New Roman" w:eastAsia="Times New Roman" w:hAnsi="Times New Roman"/>
                <w:sz w:val="16"/>
                <w:szCs w:val="16"/>
                <w:color w:val="auto"/>
              </w:rPr>
              <w:t xml:space="preserve">Due to GasLog LNG Services </w:t>
            </w:r>
            <w:r>
              <w:rPr>
                <w:rFonts w:ascii="Times New Roman" w:cs="Times New Roman" w:eastAsia="Times New Roman" w:hAnsi="Times New Roman"/>
                <w:sz w:val="26"/>
                <w:szCs w:val="26"/>
                <w:color w:val="auto"/>
                <w:vertAlign w:val="superscript"/>
              </w:rPr>
              <w:t>(a)</w:t>
            </w:r>
          </w:p>
        </w:tc>
        <w:tc>
          <w:tcPr>
            <w:tcW w:w="172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80" w:type="dxa"/>
            <w:vAlign w:val="bottom"/>
            <w:tcBorders>
              <w:top w:val="single" w:sz="8" w:color="E5FFFF"/>
            </w:tcBorders>
            <w:shd w:val="clear" w:color="auto" w:fill="E5FFFF"/>
          </w:tcPr>
          <w:p>
            <w:pPr>
              <w:spacing w:after="0"/>
              <w:rPr>
                <w:sz w:val="19"/>
                <w:szCs w:val="19"/>
                <w:color w:val="auto"/>
              </w:rPr>
            </w:pPr>
          </w:p>
        </w:tc>
        <w:tc>
          <w:tcPr>
            <w:tcW w:w="150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981</w:t>
            </w:r>
          </w:p>
        </w:tc>
        <w:tc>
          <w:tcPr>
            <w:tcW w:w="0" w:type="dxa"/>
            <w:vAlign w:val="bottom"/>
          </w:tcPr>
          <w:p>
            <w:pPr>
              <w:spacing w:after="0"/>
              <w:rPr>
                <w:sz w:val="1"/>
                <w:szCs w:val="1"/>
                <w:color w:val="auto"/>
              </w:rPr>
            </w:pPr>
          </w:p>
        </w:tc>
      </w:tr>
      <w:tr>
        <w:trPr>
          <w:trHeight w:val="243"/>
        </w:trPr>
        <w:tc>
          <w:tcPr>
            <w:tcW w:w="7380" w:type="dxa"/>
            <w:vAlign w:val="bottom"/>
            <w:tcBorders>
              <w:bottom w:val="single" w:sz="8" w:color="E5FFFF"/>
            </w:tcBorders>
          </w:tcPr>
          <w:p>
            <w:pPr>
              <w:spacing w:after="0" w:line="243" w:lineRule="exact"/>
              <w:rPr>
                <w:sz w:val="20"/>
                <w:szCs w:val="20"/>
                <w:color w:val="auto"/>
              </w:rPr>
            </w:pPr>
            <w:r>
              <w:rPr>
                <w:rFonts w:ascii="Times New Roman" w:cs="Times New Roman" w:eastAsia="Times New Roman" w:hAnsi="Times New Roman"/>
                <w:sz w:val="16"/>
                <w:szCs w:val="16"/>
                <w:color w:val="auto"/>
              </w:rPr>
              <w:t xml:space="preserve">Due to GasLog </w:t>
            </w:r>
            <w:r>
              <w:rPr>
                <w:rFonts w:ascii="Times New Roman" w:cs="Times New Roman" w:eastAsia="Times New Roman" w:hAnsi="Times New Roman"/>
                <w:sz w:val="26"/>
                <w:szCs w:val="26"/>
                <w:color w:val="auto"/>
                <w:vertAlign w:val="superscript"/>
              </w:rPr>
              <w:t>(b)</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821</w:t>
            </w:r>
          </w:p>
        </w:tc>
        <w:tc>
          <w:tcPr>
            <w:tcW w:w="80" w:type="dxa"/>
            <w:vAlign w:val="bottom"/>
            <w:tcBorders>
              <w:bottom w:val="single" w:sz="8" w:color="E5FFFF"/>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0" w:type="dxa"/>
            <w:vAlign w:val="bottom"/>
          </w:tcPr>
          <w:p>
            <w:pPr>
              <w:spacing w:after="0"/>
              <w:rPr>
                <w:sz w:val="1"/>
                <w:szCs w:val="1"/>
                <w:color w:val="auto"/>
              </w:rPr>
            </w:pPr>
          </w:p>
        </w:tc>
      </w:tr>
      <w:tr>
        <w:trPr>
          <w:trHeight w:val="196"/>
        </w:trPr>
        <w:tc>
          <w:tcPr>
            <w:tcW w:w="7380" w:type="dxa"/>
            <w:vAlign w:val="bottom"/>
            <w:tcBorders>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72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952</w:t>
            </w:r>
          </w:p>
        </w:tc>
        <w:tc>
          <w:tcPr>
            <w:tcW w:w="80" w:type="dxa"/>
            <w:vAlign w:val="bottom"/>
            <w:tcBorders>
              <w:bottom w:val="single" w:sz="8" w:color="E5FFFF"/>
            </w:tcBorders>
            <w:shd w:val="clear" w:color="auto" w:fill="E5FFFF"/>
          </w:tcPr>
          <w:p>
            <w:pPr>
              <w:spacing w:after="0"/>
              <w:rPr>
                <w:sz w:val="17"/>
                <w:szCs w:val="17"/>
                <w:color w:val="auto"/>
              </w:rPr>
            </w:pPr>
          </w:p>
        </w:tc>
        <w:tc>
          <w:tcPr>
            <w:tcW w:w="150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1,172</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balances represent mainly payments made by GasLog LNG Services on behalf of the Partnership.</w:t>
      </w:r>
    </w:p>
    <w:p>
      <w:pPr>
        <w:spacing w:after="0" w:line="17" w:lineRule="exact"/>
        <w:rPr>
          <w:rFonts w:ascii="Times New Roman" w:cs="Times New Roman" w:eastAsia="Times New Roman" w:hAnsi="Times New Roman"/>
          <w:sz w:val="12"/>
          <w:szCs w:val="12"/>
          <w:color w:val="auto"/>
        </w:rPr>
      </w:pPr>
    </w:p>
    <w:p>
      <w:pPr>
        <w:ind w:left="660" w:hanging="328"/>
        <w:spacing w:after="0"/>
        <w:tabs>
          <w:tab w:leader="none" w:pos="66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balances represent mainly payments made by GasLog on behalf of the Partnership.</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Loans due to related parties</w:t>
      </w:r>
    </w:p>
    <w:p>
      <w:pPr>
        <w:spacing w:after="0" w:line="239" w:lineRule="exact"/>
        <w:rPr>
          <w:sz w:val="20"/>
          <w:szCs w:val="20"/>
          <w:color w:val="auto"/>
        </w:rPr>
      </w:pPr>
    </w:p>
    <w:p>
      <w:pPr>
        <w:ind w:right="140" w:firstLine="324"/>
        <w:spacing w:after="0" w:line="281" w:lineRule="auto"/>
        <w:rPr>
          <w:sz w:val="20"/>
          <w:szCs w:val="20"/>
          <w:color w:val="auto"/>
        </w:rPr>
      </w:pPr>
      <w:r>
        <w:rPr>
          <w:rFonts w:ascii="Times New Roman" w:cs="Times New Roman" w:eastAsia="Times New Roman" w:hAnsi="Times New Roman"/>
          <w:sz w:val="16"/>
          <w:szCs w:val="16"/>
          <w:color w:val="auto"/>
        </w:rPr>
        <w:t>The main terms of the revolving credit facility of $30,000 with GasLog (the “Sponsor Credit Facility”) have been disclosed in the annual consolidated financial statements for the year ended December 31, 2021. Refer to Note 7 “Borrowings”. As of December 31, 2021, the amount outstanding under the Sponsor Credit Facility was nil. The Sponsor Credit Facility matured in March 2022.</w:t>
      </w:r>
    </w:p>
    <w:p>
      <w:pPr>
        <w:spacing w:after="0" w:line="177" w:lineRule="exact"/>
        <w:rPr>
          <w:sz w:val="20"/>
          <w:szCs w:val="20"/>
          <w:color w:val="auto"/>
        </w:rPr>
      </w:pPr>
    </w:p>
    <w:p>
      <w:pPr>
        <w:ind w:right="340" w:firstLine="324"/>
        <w:spacing w:after="0" w:line="281" w:lineRule="auto"/>
        <w:rPr>
          <w:sz w:val="20"/>
          <w:szCs w:val="20"/>
          <w:color w:val="auto"/>
        </w:rPr>
      </w:pPr>
      <w:r>
        <w:rPr>
          <w:rFonts w:ascii="Times New Roman" w:cs="Times New Roman" w:eastAsia="Times New Roman" w:hAnsi="Times New Roman"/>
          <w:sz w:val="16"/>
          <w:szCs w:val="16"/>
          <w:color w:val="auto"/>
        </w:rPr>
        <w:t>The main terms of the Partnership’s related party transactions, including the commercial management agreements, administrative services agreement and ship management agreements with GasLog and GasLog LNG Services, have been disclosed in the annual consolidated financial statements for the year ended December 31, 2021. Refer to Note 14 “Related Party Transactions”.</w:t>
      </w:r>
    </w:p>
    <w:p>
      <w:pPr>
        <w:spacing w:after="0" w:line="177" w:lineRule="exact"/>
        <w:rPr>
          <w:sz w:val="20"/>
          <w:szCs w:val="20"/>
          <w:color w:val="auto"/>
        </w:rPr>
      </w:pPr>
    </w:p>
    <w:p>
      <w:pPr>
        <w:ind w:right="60" w:firstLine="324"/>
        <w:spacing w:after="0" w:line="298" w:lineRule="auto"/>
        <w:rPr>
          <w:sz w:val="20"/>
          <w:szCs w:val="20"/>
          <w:color w:val="auto"/>
        </w:rPr>
      </w:pPr>
      <w:r>
        <w:rPr>
          <w:rFonts w:ascii="Times New Roman" w:cs="Times New Roman" w:eastAsia="Times New Roman" w:hAnsi="Times New Roman"/>
          <w:sz w:val="16"/>
          <w:szCs w:val="16"/>
          <w:color w:val="auto"/>
        </w:rPr>
        <w:t>The Partnership had the following transactions with such related parties, which have been included in the unaudited condensed consolidated statements of profit or loss for the three and nine months ended September 30, 2021 and 2022:</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00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48"/>
        </w:trPr>
        <w:tc>
          <w:tcPr>
            <w:tcW w:w="148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20" w:type="dxa"/>
            <w:vAlign w:val="bottom"/>
            <w:vMerge w:val="restart"/>
          </w:tcPr>
          <w:p>
            <w:pPr>
              <w:spacing w:after="0"/>
              <w:rPr>
                <w:sz w:val="12"/>
                <w:szCs w:val="12"/>
                <w:color w:val="auto"/>
              </w:rPr>
            </w:pPr>
          </w:p>
        </w:tc>
        <w:tc>
          <w:tcPr>
            <w:tcW w:w="2260" w:type="dxa"/>
            <w:vAlign w:val="bottom"/>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Details</w:t>
            </w:r>
          </w:p>
        </w:tc>
        <w:tc>
          <w:tcPr>
            <w:tcW w:w="120" w:type="dxa"/>
            <w:vAlign w:val="bottom"/>
            <w:vMerge w:val="restart"/>
          </w:tcPr>
          <w:p>
            <w:pPr>
              <w:spacing w:after="0"/>
              <w:rPr>
                <w:sz w:val="12"/>
                <w:szCs w:val="12"/>
                <w:color w:val="auto"/>
              </w:rPr>
            </w:pPr>
          </w:p>
        </w:tc>
        <w:tc>
          <w:tcPr>
            <w:tcW w:w="3040" w:type="dxa"/>
            <w:vAlign w:val="bottom"/>
            <w:vMerge w:val="restart"/>
          </w:tcPr>
          <w:p>
            <w:pPr>
              <w:ind w:left="1260"/>
              <w:spacing w:after="0"/>
              <w:rPr>
                <w:sz w:val="20"/>
                <w:szCs w:val="20"/>
                <w:color w:val="auto"/>
              </w:rPr>
            </w:pPr>
            <w:r>
              <w:rPr>
                <w:rFonts w:ascii="Times New Roman" w:cs="Times New Roman" w:eastAsia="Times New Roman" w:hAnsi="Times New Roman"/>
                <w:sz w:val="14"/>
                <w:szCs w:val="14"/>
                <w:b w:val="1"/>
                <w:bCs w:val="1"/>
                <w:color w:val="auto"/>
              </w:rPr>
              <w:t>Account</w:t>
            </w:r>
          </w:p>
        </w:tc>
        <w:tc>
          <w:tcPr>
            <w:tcW w:w="120" w:type="dxa"/>
            <w:vAlign w:val="bottom"/>
            <w:vMerge w:val="restart"/>
          </w:tcPr>
          <w:p>
            <w:pPr>
              <w:spacing w:after="0"/>
              <w:rPr>
                <w:sz w:val="12"/>
                <w:szCs w:val="12"/>
                <w:color w:val="auto"/>
              </w:rPr>
            </w:pPr>
          </w:p>
        </w:tc>
        <w:tc>
          <w:tcPr>
            <w:tcW w:w="11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14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E5FFFF"/>
            </w:tcBorders>
            <w:vMerge w:val="continue"/>
          </w:tcPr>
          <w:p>
            <w:pPr>
              <w:spacing w:after="0"/>
              <w:rPr>
                <w:sz w:val="15"/>
                <w:szCs w:val="15"/>
                <w:color w:val="auto"/>
              </w:rPr>
            </w:pPr>
          </w:p>
        </w:tc>
        <w:tc>
          <w:tcPr>
            <w:tcW w:w="22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E5FFFF"/>
            </w:tcBorders>
            <w:vMerge w:val="continue"/>
          </w:tcPr>
          <w:p>
            <w:pPr>
              <w:spacing w:after="0"/>
              <w:rPr>
                <w:sz w:val="15"/>
                <w:szCs w:val="15"/>
                <w:color w:val="auto"/>
              </w:rPr>
            </w:pPr>
          </w:p>
        </w:tc>
        <w:tc>
          <w:tcPr>
            <w:tcW w:w="30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E5FFFF"/>
            </w:tcBorders>
            <w:vMerge w:val="continue"/>
          </w:tcPr>
          <w:p>
            <w:pPr>
              <w:spacing w:after="0"/>
              <w:rPr>
                <w:sz w:val="15"/>
                <w:szCs w:val="15"/>
                <w:color w:val="auto"/>
              </w:rPr>
            </w:pPr>
          </w:p>
        </w:tc>
        <w:tc>
          <w:tcPr>
            <w:tcW w:w="10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E5FFFF"/>
            </w:tcBorders>
          </w:tcPr>
          <w:p>
            <w:pPr>
              <w:spacing w:after="0"/>
              <w:rPr>
                <w:sz w:val="15"/>
                <w:szCs w:val="15"/>
                <w:color w:val="auto"/>
              </w:rPr>
            </w:pPr>
          </w:p>
        </w:tc>
        <w:tc>
          <w:tcPr>
            <w:tcW w:w="9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E5FFFF"/>
            </w:tcBorders>
          </w:tcPr>
          <w:p>
            <w:pPr>
              <w:spacing w:after="0"/>
              <w:rPr>
                <w:sz w:val="15"/>
                <w:szCs w:val="15"/>
                <w:color w:val="auto"/>
              </w:rPr>
            </w:pPr>
          </w:p>
        </w:tc>
        <w:tc>
          <w:tcPr>
            <w:tcW w:w="9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E5FFFF"/>
            </w:tcBorders>
          </w:tcPr>
          <w:p>
            <w:pPr>
              <w:spacing w:after="0"/>
              <w:rPr>
                <w:sz w:val="15"/>
                <w:szCs w:val="15"/>
                <w:color w:val="auto"/>
              </w:rPr>
            </w:pPr>
          </w:p>
        </w:tc>
        <w:tc>
          <w:tcPr>
            <w:tcW w:w="10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6"/>
        </w:trPr>
        <w:tc>
          <w:tcPr>
            <w:tcW w:w="160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4"/>
                <w:szCs w:val="14"/>
                <w:color w:val="auto"/>
              </w:rPr>
              <w:t>GasLog LNG Services</w:t>
            </w:r>
          </w:p>
        </w:tc>
        <w:tc>
          <w:tcPr>
            <w:tcW w:w="2380" w:type="dxa"/>
            <w:vAlign w:val="bottom"/>
            <w:gridSpan w:val="2"/>
            <w:shd w:val="clear" w:color="auto" w:fill="E5FFFF"/>
          </w:tcPr>
          <w:p>
            <w:pPr>
              <w:spacing w:after="0" w:line="196" w:lineRule="exact"/>
              <w:rPr>
                <w:sz w:val="20"/>
                <w:szCs w:val="20"/>
                <w:color w:val="auto"/>
              </w:rPr>
            </w:pPr>
            <w:r>
              <w:rPr>
                <w:rFonts w:ascii="Times New Roman" w:cs="Times New Roman" w:eastAsia="Times New Roman" w:hAnsi="Times New Roman"/>
                <w:sz w:val="14"/>
                <w:szCs w:val="14"/>
                <w:color w:val="auto"/>
              </w:rPr>
              <w:t>Commercial management fees</w:t>
            </w:r>
            <w:r>
              <w:rPr>
                <w:rFonts w:ascii="Times New Roman" w:cs="Times New Roman" w:eastAsia="Times New Roman" w:hAnsi="Times New Roman"/>
                <w:sz w:val="22"/>
                <w:szCs w:val="22"/>
                <w:color w:val="auto"/>
                <w:vertAlign w:val="superscript"/>
              </w:rPr>
              <w:t>(i)</w:t>
            </w:r>
          </w:p>
        </w:tc>
        <w:tc>
          <w:tcPr>
            <w:tcW w:w="316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11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4"/>
                <w:szCs w:val="14"/>
                <w:color w:val="auto"/>
              </w:rPr>
              <w:t>1,350</w:t>
            </w:r>
          </w:p>
        </w:tc>
        <w:tc>
          <w:tcPr>
            <w:tcW w:w="10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4"/>
                <w:szCs w:val="14"/>
                <w:color w:val="auto"/>
              </w:rPr>
              <w:t>1,194</w:t>
            </w:r>
          </w:p>
        </w:tc>
        <w:tc>
          <w:tcPr>
            <w:tcW w:w="10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4"/>
                <w:szCs w:val="14"/>
                <w:color w:val="auto"/>
              </w:rPr>
              <w:t>4,050</w:t>
            </w:r>
          </w:p>
        </w:tc>
        <w:tc>
          <w:tcPr>
            <w:tcW w:w="10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4"/>
                <w:szCs w:val="14"/>
                <w:color w:val="auto"/>
              </w:rPr>
              <w:t>3,306</w:t>
            </w: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GasLog</w:t>
            </w:r>
          </w:p>
        </w:tc>
        <w:tc>
          <w:tcPr>
            <w:tcW w:w="2380" w:type="dxa"/>
            <w:vAlign w:val="bottom"/>
            <w:gridSpan w:val="2"/>
          </w:tcPr>
          <w:p>
            <w:pPr>
              <w:spacing w:after="0" w:line="216" w:lineRule="exact"/>
              <w:rPr>
                <w:sz w:val="20"/>
                <w:szCs w:val="20"/>
                <w:color w:val="auto"/>
              </w:rPr>
            </w:pPr>
            <w:r>
              <w:rPr>
                <w:rFonts w:ascii="Times New Roman" w:cs="Times New Roman" w:eastAsia="Times New Roman" w:hAnsi="Times New Roman"/>
                <w:sz w:val="14"/>
                <w:szCs w:val="14"/>
                <w:color w:val="auto"/>
              </w:rPr>
              <w:t>Administrative services fees</w:t>
            </w:r>
            <w:r>
              <w:rPr>
                <w:rFonts w:ascii="Times New Roman" w:cs="Times New Roman" w:eastAsia="Times New Roman" w:hAnsi="Times New Roman"/>
                <w:sz w:val="23"/>
                <w:szCs w:val="23"/>
                <w:color w:val="auto"/>
                <w:vertAlign w:val="superscript"/>
              </w:rPr>
              <w:t>(ii)</w:t>
            </w:r>
          </w:p>
        </w:tc>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1,177</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2,144</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3,531</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6,486</w:t>
            </w:r>
          </w:p>
        </w:tc>
        <w:tc>
          <w:tcPr>
            <w:tcW w:w="0" w:type="dxa"/>
            <w:vAlign w:val="bottom"/>
          </w:tcPr>
          <w:p>
            <w:pPr>
              <w:spacing w:after="0"/>
              <w:rPr>
                <w:sz w:val="1"/>
                <w:szCs w:val="1"/>
                <w:color w:val="auto"/>
              </w:rPr>
            </w:pPr>
          </w:p>
        </w:tc>
      </w:tr>
      <w:tr>
        <w:trPr>
          <w:trHeight w:val="216"/>
        </w:trPr>
        <w:tc>
          <w:tcPr>
            <w:tcW w:w="160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4"/>
                <w:szCs w:val="14"/>
                <w:color w:val="auto"/>
              </w:rPr>
              <w:t>GasLog LNG Services</w:t>
            </w:r>
          </w:p>
        </w:tc>
        <w:tc>
          <w:tcPr>
            <w:tcW w:w="2380" w:type="dxa"/>
            <w:vAlign w:val="bottom"/>
            <w:gridSpan w:val="2"/>
            <w:shd w:val="clear" w:color="auto" w:fill="E5FFFF"/>
          </w:tcPr>
          <w:p>
            <w:pPr>
              <w:spacing w:after="0" w:line="216" w:lineRule="exact"/>
              <w:rPr>
                <w:sz w:val="20"/>
                <w:szCs w:val="20"/>
                <w:color w:val="auto"/>
              </w:rPr>
            </w:pPr>
            <w:r>
              <w:rPr>
                <w:rFonts w:ascii="Times New Roman" w:cs="Times New Roman" w:eastAsia="Times New Roman" w:hAnsi="Times New Roman"/>
                <w:sz w:val="14"/>
                <w:szCs w:val="14"/>
                <w:color w:val="auto"/>
              </w:rPr>
              <w:t>Management fees</w:t>
            </w:r>
            <w:r>
              <w:rPr>
                <w:rFonts w:ascii="Times New Roman" w:cs="Times New Roman" w:eastAsia="Times New Roman" w:hAnsi="Times New Roman"/>
                <w:sz w:val="23"/>
                <w:szCs w:val="23"/>
                <w:color w:val="auto"/>
                <w:vertAlign w:val="superscript"/>
              </w:rPr>
              <w:t>(iii)</w:t>
            </w:r>
          </w:p>
        </w:tc>
        <w:tc>
          <w:tcPr>
            <w:tcW w:w="316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4"/>
                <w:szCs w:val="14"/>
                <w:color w:val="auto"/>
              </w:rPr>
              <w:t>Vessel operating costs</w:t>
            </w:r>
          </w:p>
        </w:tc>
        <w:tc>
          <w:tcPr>
            <w:tcW w:w="11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4"/>
                <w:szCs w:val="14"/>
                <w:color w:val="auto"/>
              </w:rPr>
              <w:t>1,932</w:t>
            </w:r>
          </w:p>
        </w:tc>
        <w:tc>
          <w:tcPr>
            <w:tcW w:w="10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4"/>
                <w:szCs w:val="14"/>
                <w:color w:val="auto"/>
              </w:rPr>
              <w:t>1,667</w:t>
            </w:r>
          </w:p>
        </w:tc>
        <w:tc>
          <w:tcPr>
            <w:tcW w:w="10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4"/>
                <w:szCs w:val="14"/>
                <w:color w:val="auto"/>
              </w:rPr>
              <w:t>5,796</w:t>
            </w:r>
          </w:p>
        </w:tc>
        <w:tc>
          <w:tcPr>
            <w:tcW w:w="10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4"/>
                <w:szCs w:val="14"/>
                <w:color w:val="auto"/>
              </w:rPr>
              <w:t>4,923</w:t>
            </w: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GasLog LNG Services</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vessel operating costs</w:t>
            </w:r>
          </w:p>
        </w:tc>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Vessel operating costs</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26"/>
        </w:trPr>
        <w:tc>
          <w:tcPr>
            <w:tcW w:w="1600" w:type="dxa"/>
            <w:vAlign w:val="bottom"/>
            <w:gridSpan w:val="2"/>
            <w:vMerge w:val="restart"/>
            <w:shd w:val="clear" w:color="auto" w:fill="E5FFFF"/>
          </w:tcPr>
          <w:p>
            <w:pPr>
              <w:spacing w:after="0"/>
              <w:rPr>
                <w:sz w:val="20"/>
                <w:szCs w:val="20"/>
                <w:color w:val="auto"/>
              </w:rPr>
            </w:pPr>
            <w:r>
              <w:rPr>
                <w:rFonts w:ascii="Times New Roman" w:cs="Times New Roman" w:eastAsia="Times New Roman" w:hAnsi="Times New Roman"/>
                <w:sz w:val="14"/>
                <w:szCs w:val="14"/>
                <w:color w:val="auto"/>
              </w:rPr>
              <w:t>GasLog</w:t>
            </w:r>
          </w:p>
        </w:tc>
        <w:tc>
          <w:tcPr>
            <w:tcW w:w="2380" w:type="dxa"/>
            <w:vAlign w:val="bottom"/>
            <w:gridSpan w:val="2"/>
            <w:shd w:val="clear" w:color="auto" w:fill="E5FFFF"/>
          </w:tcPr>
          <w:p>
            <w:pPr>
              <w:spacing w:after="0" w:line="126" w:lineRule="exact"/>
              <w:rPr>
                <w:sz w:val="20"/>
                <w:szCs w:val="20"/>
                <w:color w:val="auto"/>
              </w:rPr>
            </w:pPr>
            <w:r>
              <w:rPr>
                <w:rFonts w:ascii="Times New Roman" w:cs="Times New Roman" w:eastAsia="Times New Roman" w:hAnsi="Times New Roman"/>
                <w:sz w:val="14"/>
                <w:szCs w:val="14"/>
                <w:color w:val="auto"/>
              </w:rPr>
              <w:t>Commitment fee under Sponsor Credit</w:t>
            </w:r>
          </w:p>
        </w:tc>
        <w:tc>
          <w:tcPr>
            <w:tcW w:w="3160" w:type="dxa"/>
            <w:vAlign w:val="bottom"/>
            <w:gridSpan w:val="2"/>
            <w:vMerge w:val="restart"/>
            <w:shd w:val="clear" w:color="auto" w:fill="E5FFFF"/>
          </w:tcPr>
          <w:p>
            <w:pPr>
              <w:spacing w:after="0"/>
              <w:rPr>
                <w:sz w:val="20"/>
                <w:szCs w:val="20"/>
                <w:color w:val="auto"/>
              </w:rPr>
            </w:pPr>
            <w:r>
              <w:rPr>
                <w:rFonts w:ascii="Times New Roman" w:cs="Times New Roman" w:eastAsia="Times New Roman" w:hAnsi="Times New Roman"/>
                <w:sz w:val="14"/>
                <w:szCs w:val="14"/>
                <w:color w:val="auto"/>
              </w:rPr>
              <w:t>Financial costs</w:t>
            </w:r>
          </w:p>
        </w:tc>
        <w:tc>
          <w:tcPr>
            <w:tcW w:w="1100" w:type="dxa"/>
            <w:vAlign w:val="bottom"/>
            <w:gridSpan w:val="2"/>
            <w:vMerge w:val="restart"/>
            <w:shd w:val="clear" w:color="auto" w:fill="E5FFFF"/>
          </w:tcPr>
          <w:p>
            <w:pPr>
              <w:jc w:val="right"/>
              <w:ind w:right="100"/>
              <w:spacing w:after="0"/>
              <w:rPr>
                <w:sz w:val="20"/>
                <w:szCs w:val="20"/>
                <w:color w:val="auto"/>
              </w:rPr>
            </w:pPr>
            <w:r>
              <w:rPr>
                <w:rFonts w:ascii="Times New Roman" w:cs="Times New Roman" w:eastAsia="Times New Roman" w:hAnsi="Times New Roman"/>
                <w:sz w:val="14"/>
                <w:szCs w:val="14"/>
                <w:color w:val="auto"/>
              </w:rPr>
              <w:t>77</w:t>
            </w:r>
          </w:p>
        </w:tc>
        <w:tc>
          <w:tcPr>
            <w:tcW w:w="1000" w:type="dxa"/>
            <w:vAlign w:val="bottom"/>
            <w:gridSpan w:val="2"/>
            <w:vMerge w:val="restart"/>
            <w:shd w:val="clear" w:color="auto" w:fill="E5FF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shd w:val="clear" w:color="auto" w:fill="E5FFFF"/>
          </w:tcPr>
          <w:p>
            <w:pPr>
              <w:jc w:val="right"/>
              <w:ind w:right="100"/>
              <w:spacing w:after="0"/>
              <w:rPr>
                <w:sz w:val="20"/>
                <w:szCs w:val="20"/>
                <w:color w:val="auto"/>
              </w:rPr>
            </w:pPr>
            <w:r>
              <w:rPr>
                <w:rFonts w:ascii="Times New Roman" w:cs="Times New Roman" w:eastAsia="Times New Roman" w:hAnsi="Times New Roman"/>
                <w:sz w:val="14"/>
                <w:szCs w:val="14"/>
                <w:color w:val="auto"/>
              </w:rPr>
              <w:t>228</w:t>
            </w:r>
          </w:p>
        </w:tc>
        <w:tc>
          <w:tcPr>
            <w:tcW w:w="1000" w:type="dxa"/>
            <w:vAlign w:val="bottom"/>
            <w:vMerge w:val="restart"/>
            <w:shd w:val="clear" w:color="auto" w:fill="E5FF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171"/>
        </w:trPr>
        <w:tc>
          <w:tcPr>
            <w:tcW w:w="1600" w:type="dxa"/>
            <w:vAlign w:val="bottom"/>
            <w:gridSpan w:val="2"/>
            <w:vMerge w:val="continue"/>
            <w:shd w:val="clear" w:color="auto" w:fill="E5FFFF"/>
          </w:tcPr>
          <w:p>
            <w:pPr>
              <w:spacing w:after="0"/>
              <w:rPr>
                <w:sz w:val="14"/>
                <w:szCs w:val="14"/>
                <w:color w:val="auto"/>
              </w:rPr>
            </w:pPr>
          </w:p>
        </w:tc>
        <w:tc>
          <w:tcPr>
            <w:tcW w:w="238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4"/>
                <w:szCs w:val="14"/>
                <w:color w:val="auto"/>
              </w:rPr>
              <w:t>Facility (Note 13)</w:t>
            </w:r>
          </w:p>
        </w:tc>
        <w:tc>
          <w:tcPr>
            <w:tcW w:w="3160" w:type="dxa"/>
            <w:vAlign w:val="bottom"/>
            <w:gridSpan w:val="2"/>
            <w:vMerge w:val="continue"/>
            <w:shd w:val="clear" w:color="auto" w:fill="E5FFFF"/>
          </w:tcPr>
          <w:p>
            <w:pPr>
              <w:spacing w:after="0"/>
              <w:rPr>
                <w:sz w:val="14"/>
                <w:szCs w:val="14"/>
                <w:color w:val="auto"/>
              </w:rPr>
            </w:pPr>
          </w:p>
        </w:tc>
        <w:tc>
          <w:tcPr>
            <w:tcW w:w="1100" w:type="dxa"/>
            <w:vAlign w:val="bottom"/>
            <w:gridSpan w:val="2"/>
            <w:vMerge w:val="continue"/>
            <w:shd w:val="clear" w:color="auto" w:fill="E5FFFF"/>
          </w:tcPr>
          <w:p>
            <w:pPr>
              <w:spacing w:after="0"/>
              <w:rPr>
                <w:sz w:val="14"/>
                <w:szCs w:val="14"/>
                <w:color w:val="auto"/>
              </w:rPr>
            </w:pPr>
          </w:p>
        </w:tc>
        <w:tc>
          <w:tcPr>
            <w:tcW w:w="1000" w:type="dxa"/>
            <w:vAlign w:val="bottom"/>
            <w:gridSpan w:val="2"/>
            <w:vMerge w:val="continue"/>
            <w:shd w:val="clear" w:color="auto" w:fill="E5FFFF"/>
          </w:tcPr>
          <w:p>
            <w:pPr>
              <w:spacing w:after="0"/>
              <w:rPr>
                <w:sz w:val="14"/>
                <w:szCs w:val="14"/>
                <w:color w:val="auto"/>
              </w:rPr>
            </w:pPr>
          </w:p>
        </w:tc>
        <w:tc>
          <w:tcPr>
            <w:tcW w:w="1000" w:type="dxa"/>
            <w:vAlign w:val="bottom"/>
            <w:gridSpan w:val="2"/>
            <w:vMerge w:val="continue"/>
            <w:shd w:val="clear" w:color="auto" w:fill="E5FFFF"/>
          </w:tcPr>
          <w:p>
            <w:pPr>
              <w:spacing w:after="0"/>
              <w:rPr>
                <w:sz w:val="14"/>
                <w:szCs w:val="14"/>
                <w:color w:val="auto"/>
              </w:rPr>
            </w:pPr>
          </w:p>
        </w:tc>
        <w:tc>
          <w:tcPr>
            <w:tcW w:w="1000" w:type="dxa"/>
            <w:vAlign w:val="bottom"/>
            <w:vMerge w:val="continue"/>
            <w:shd w:val="clear" w:color="auto" w:fill="E5FF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GasLog</w:t>
            </w:r>
          </w:p>
        </w:tc>
        <w:tc>
          <w:tcPr>
            <w:tcW w:w="23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Realized loss on interest rate swaps</w:t>
            </w:r>
          </w:p>
        </w:tc>
        <w:tc>
          <w:tcPr>
            <w:tcW w:w="3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(Loss)/gain on derivatives</w:t>
            </w:r>
          </w:p>
        </w:tc>
        <w:tc>
          <w:tcPr>
            <w:tcW w:w="11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947</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3,639</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1,347</w:t>
            </w:r>
          </w:p>
        </w:tc>
        <w:tc>
          <w:tcPr>
            <w:tcW w:w="0" w:type="dxa"/>
            <w:vAlign w:val="bottom"/>
          </w:tcPr>
          <w:p>
            <w:pPr>
              <w:spacing w:after="0"/>
              <w:rPr>
                <w:sz w:val="1"/>
                <w:szCs w:val="1"/>
                <w:color w:val="auto"/>
              </w:rPr>
            </w:pPr>
          </w:p>
        </w:tc>
      </w:tr>
      <w:tr>
        <w:trPr>
          <w:trHeight w:val="188"/>
        </w:trPr>
        <w:tc>
          <w:tcPr>
            <w:tcW w:w="1600" w:type="dxa"/>
            <w:vAlign w:val="bottom"/>
            <w:gridSpan w:val="2"/>
            <w:vMerge w:val="continue"/>
          </w:tcPr>
          <w:p>
            <w:pPr>
              <w:spacing w:after="0"/>
              <w:rPr>
                <w:sz w:val="16"/>
                <w:szCs w:val="16"/>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held for trading (Note 13)</w:t>
            </w:r>
          </w:p>
        </w:tc>
        <w:tc>
          <w:tcPr>
            <w:tcW w:w="3160" w:type="dxa"/>
            <w:vAlign w:val="bottom"/>
            <w:gridSpan w:val="2"/>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14230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460" w:hanging="331"/>
        <w:spacing w:after="0"/>
        <w:tabs>
          <w:tab w:leader="none" w:pos="46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Effective January 1, 2022, the annual commercial management fee changed from $360 for each vessel to a fixed commission of 1.25% on the annual gross charter revenues of each vessel.</w:t>
      </w:r>
    </w:p>
    <w:p>
      <w:pPr>
        <w:spacing w:after="0" w:line="217" w:lineRule="exact"/>
        <w:rPr>
          <w:rFonts w:ascii="Times New Roman" w:cs="Times New Roman" w:eastAsia="Times New Roman" w:hAnsi="Times New Roman"/>
          <w:sz w:val="12"/>
          <w:szCs w:val="12"/>
          <w:color w:val="auto"/>
        </w:rPr>
      </w:pPr>
    </w:p>
    <w:p>
      <w:pPr>
        <w:ind w:left="460" w:hanging="331"/>
        <w:spacing w:after="0"/>
        <w:tabs>
          <w:tab w:leader="none" w:pos="46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Effective January 1, 2022, the annual administrative services fee was changed to $579 per vessel, from $314 effective since January 1, 2021.</w:t>
      </w:r>
    </w:p>
    <w:p>
      <w:pPr>
        <w:spacing w:after="0" w:line="217" w:lineRule="exact"/>
        <w:rPr>
          <w:rFonts w:ascii="Times New Roman" w:cs="Times New Roman" w:eastAsia="Times New Roman" w:hAnsi="Times New Roman"/>
          <w:sz w:val="12"/>
          <w:szCs w:val="12"/>
          <w:color w:val="auto"/>
        </w:rPr>
      </w:pPr>
    </w:p>
    <w:p>
      <w:pPr>
        <w:ind w:left="460" w:right="580" w:hanging="331"/>
        <w:spacing w:after="0" w:line="261" w:lineRule="auto"/>
        <w:tabs>
          <w:tab w:leader="none" w:pos="46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 xml:space="preserve">Effective January 1, 2022, the management fee was changed to $37.5 per vessel per month (from $46 per vessel per month). In April 2022, GAS-eight Ltd. entered into a similar management agreement for the </w:t>
      </w:r>
      <w:r>
        <w:rPr>
          <w:rFonts w:ascii="Times New Roman" w:cs="Times New Roman" w:eastAsia="Times New Roman" w:hAnsi="Times New Roman"/>
          <w:sz w:val="14"/>
          <w:szCs w:val="14"/>
          <w:i w:val="1"/>
          <w:iCs w:val="1"/>
          <w:color w:val="auto"/>
        </w:rPr>
        <w:t>Solaris</w:t>
      </w:r>
      <w:r>
        <w:rPr>
          <w:rFonts w:ascii="Times New Roman" w:cs="Times New Roman" w:eastAsia="Times New Roman" w:hAnsi="Times New Roman"/>
          <w:sz w:val="14"/>
          <w:szCs w:val="14"/>
          <w:color w:val="auto"/>
        </w:rPr>
        <w:t>, previously managed by a subsidiary of Shell plc.</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 Tangible Fixed Assets</w:t>
      </w: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movement in tangible fixed assets (i.e. vessels and their associated depot spares) is reported in the following table:</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Other tangible</w:t>
            </w:r>
          </w:p>
        </w:tc>
        <w:tc>
          <w:tcPr>
            <w:tcW w:w="17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Total tangible fixed</w:t>
            </w:r>
          </w:p>
        </w:tc>
        <w:tc>
          <w:tcPr>
            <w:tcW w:w="0" w:type="dxa"/>
            <w:vAlign w:val="bottom"/>
          </w:tcPr>
          <w:p>
            <w:pPr>
              <w:spacing w:after="0"/>
              <w:rPr>
                <w:sz w:val="1"/>
                <w:szCs w:val="1"/>
                <w:color w:val="auto"/>
              </w:rPr>
            </w:pPr>
          </w:p>
        </w:tc>
      </w:tr>
      <w:tr>
        <w:trPr>
          <w:trHeight w:val="215"/>
        </w:trPr>
        <w:tc>
          <w:tcPr>
            <w:tcW w:w="3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240" w:type="dxa"/>
            <w:vAlign w:val="bottom"/>
          </w:tcPr>
          <w:p>
            <w:pPr>
              <w:ind w:left="720"/>
              <w:spacing w:after="0"/>
              <w:rPr>
                <w:sz w:val="20"/>
                <w:szCs w:val="20"/>
                <w:color w:val="auto"/>
              </w:rPr>
            </w:pPr>
            <w:r>
              <w:rPr>
                <w:rFonts w:ascii="Times New Roman" w:cs="Times New Roman" w:eastAsia="Times New Roman" w:hAnsi="Times New Roman"/>
                <w:sz w:val="16"/>
                <w:szCs w:val="16"/>
                <w:b w:val="1"/>
                <w:bCs w:val="1"/>
                <w:color w:val="auto"/>
              </w:rPr>
              <w:t>Vessels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72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0" w:type="dxa"/>
            <w:vAlign w:val="bottom"/>
          </w:tcPr>
          <w:p>
            <w:pPr>
              <w:spacing w:after="0"/>
              <w:rPr>
                <w:sz w:val="1"/>
                <w:szCs w:val="1"/>
                <w:color w:val="auto"/>
              </w:rPr>
            </w:pPr>
          </w:p>
        </w:tc>
      </w:tr>
      <w:tr>
        <w:trPr>
          <w:trHeight w:val="172"/>
        </w:trPr>
        <w:tc>
          <w:tcPr>
            <w:tcW w:w="6080" w:type="dxa"/>
            <w:vAlign w:val="bottom"/>
            <w:tcBorders>
              <w:top w:val="single" w:sz="8" w:color="E5FFFF"/>
            </w:tcBorders>
            <w:gridSpan w:val="2"/>
            <w:shd w:val="clear" w:color="auto" w:fill="E5FF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Cost</w:t>
            </w:r>
          </w:p>
        </w:tc>
        <w:tc>
          <w:tcPr>
            <w:tcW w:w="1240" w:type="dxa"/>
            <w:vAlign w:val="bottom"/>
            <w:tcBorders>
              <w:top w:val="single" w:sz="8" w:color="auto"/>
            </w:tcBorders>
            <w:shd w:val="clear" w:color="auto" w:fill="E5FFFF"/>
          </w:tcPr>
          <w:p>
            <w:pPr>
              <w:spacing w:after="0"/>
              <w:rPr>
                <w:sz w:val="14"/>
                <w:szCs w:val="14"/>
                <w:color w:val="auto"/>
              </w:rPr>
            </w:pPr>
          </w:p>
        </w:tc>
        <w:tc>
          <w:tcPr>
            <w:tcW w:w="680" w:type="dxa"/>
            <w:vAlign w:val="bottom"/>
            <w:tcBorders>
              <w:top w:val="single" w:sz="8" w:color="auto"/>
            </w:tcBorders>
            <w:shd w:val="clear" w:color="auto" w:fill="E5FFFF"/>
          </w:tcPr>
          <w:p>
            <w:pPr>
              <w:spacing w:after="0"/>
              <w:rPr>
                <w:sz w:val="14"/>
                <w:szCs w:val="14"/>
                <w:color w:val="auto"/>
              </w:rPr>
            </w:pPr>
          </w:p>
        </w:tc>
        <w:tc>
          <w:tcPr>
            <w:tcW w:w="120" w:type="dxa"/>
            <w:vAlign w:val="bottom"/>
            <w:tcBorders>
              <w:top w:val="single" w:sz="8" w:color="E5FFFF"/>
            </w:tcBorders>
            <w:shd w:val="clear" w:color="auto" w:fill="E5FFFF"/>
          </w:tcPr>
          <w:p>
            <w:pPr>
              <w:spacing w:after="0"/>
              <w:rPr>
                <w:sz w:val="14"/>
                <w:szCs w:val="14"/>
                <w:color w:val="auto"/>
              </w:rPr>
            </w:pPr>
          </w:p>
        </w:tc>
        <w:tc>
          <w:tcPr>
            <w:tcW w:w="1220" w:type="dxa"/>
            <w:vAlign w:val="bottom"/>
            <w:tcBorders>
              <w:top w:val="single" w:sz="8" w:color="auto"/>
            </w:tcBorders>
            <w:shd w:val="clear" w:color="auto" w:fill="E5FFFF"/>
          </w:tcPr>
          <w:p>
            <w:pPr>
              <w:spacing w:after="0"/>
              <w:rPr>
                <w:sz w:val="14"/>
                <w:szCs w:val="14"/>
                <w:color w:val="auto"/>
              </w:rPr>
            </w:pPr>
          </w:p>
        </w:tc>
        <w:tc>
          <w:tcPr>
            <w:tcW w:w="120" w:type="dxa"/>
            <w:vAlign w:val="bottom"/>
            <w:tcBorders>
              <w:top w:val="single" w:sz="8" w:color="E5FFFF"/>
            </w:tcBorders>
            <w:shd w:val="clear" w:color="auto" w:fill="E5FFFF"/>
          </w:tcPr>
          <w:p>
            <w:pPr>
              <w:spacing w:after="0"/>
              <w:rPr>
                <w:sz w:val="14"/>
                <w:szCs w:val="14"/>
                <w:color w:val="auto"/>
              </w:rPr>
            </w:pPr>
          </w:p>
        </w:tc>
        <w:tc>
          <w:tcPr>
            <w:tcW w:w="1680" w:type="dxa"/>
            <w:vAlign w:val="bottom"/>
            <w:tcBorders>
              <w:top w:val="single" w:sz="8" w:color="auto"/>
            </w:tcBorders>
            <w:shd w:val="clear" w:color="auto" w:fill="E5FF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320" w:type="dxa"/>
            <w:vAlign w:val="bottom"/>
            <w:tcBorders>
              <w:top w:val="single" w:sz="8" w:color="auto"/>
            </w:tcBorders>
            <w:shd w:val="clear" w:color="auto" w:fill="E5FFFF"/>
          </w:tcPr>
          <w:p>
            <w:pPr>
              <w:spacing w:after="0" w:line="20" w:lineRule="exact"/>
              <w:rPr>
                <w:sz w:val="1"/>
                <w:szCs w:val="1"/>
                <w:color w:val="auto"/>
              </w:rPr>
            </w:pPr>
          </w:p>
        </w:tc>
        <w:tc>
          <w:tcPr>
            <w:tcW w:w="5760" w:type="dxa"/>
            <w:vAlign w:val="bottom"/>
            <w:tcBorders>
              <w:top w:val="single" w:sz="8" w:color="E5FFFF"/>
            </w:tcBorders>
            <w:shd w:val="clear" w:color="auto" w:fill="E5FFFF"/>
          </w:tcPr>
          <w:p>
            <w:pPr>
              <w:spacing w:after="0" w:line="20" w:lineRule="exact"/>
              <w:rPr>
                <w:sz w:val="1"/>
                <w:szCs w:val="1"/>
                <w:color w:val="auto"/>
              </w:rPr>
            </w:pPr>
          </w:p>
        </w:tc>
        <w:tc>
          <w:tcPr>
            <w:tcW w:w="1240" w:type="dxa"/>
            <w:vAlign w:val="bottom"/>
            <w:tcBorders>
              <w:top w:val="single" w:sz="8" w:color="E5FFFF"/>
            </w:tcBorders>
            <w:shd w:val="clear" w:color="auto" w:fill="E5FFFF"/>
          </w:tcPr>
          <w:p>
            <w:pPr>
              <w:spacing w:after="0" w:line="20" w:lineRule="exact"/>
              <w:rPr>
                <w:sz w:val="1"/>
                <w:szCs w:val="1"/>
                <w:color w:val="auto"/>
              </w:rPr>
            </w:pPr>
          </w:p>
        </w:tc>
        <w:tc>
          <w:tcPr>
            <w:tcW w:w="680" w:type="dxa"/>
            <w:vAlign w:val="bottom"/>
            <w:tcBorders>
              <w:top w:val="single" w:sz="8" w:color="E5FFFF"/>
            </w:tcBorders>
            <w:shd w:val="clear" w:color="auto" w:fill="E5FFFF"/>
          </w:tcPr>
          <w:p>
            <w:pPr>
              <w:spacing w:after="0" w:line="20" w:lineRule="exact"/>
              <w:rPr>
                <w:sz w:val="1"/>
                <w:szCs w:val="1"/>
                <w:color w:val="auto"/>
              </w:rPr>
            </w:pPr>
          </w:p>
        </w:tc>
        <w:tc>
          <w:tcPr>
            <w:tcW w:w="120" w:type="dxa"/>
            <w:vAlign w:val="bottom"/>
            <w:tcBorders>
              <w:top w:val="single" w:sz="8" w:color="E5FFFF"/>
            </w:tcBorders>
            <w:shd w:val="clear" w:color="auto" w:fill="E5FFFF"/>
          </w:tcPr>
          <w:p>
            <w:pPr>
              <w:spacing w:after="0" w:line="20" w:lineRule="exact"/>
              <w:rPr>
                <w:sz w:val="1"/>
                <w:szCs w:val="1"/>
                <w:color w:val="auto"/>
              </w:rPr>
            </w:pPr>
          </w:p>
        </w:tc>
        <w:tc>
          <w:tcPr>
            <w:tcW w:w="1220" w:type="dxa"/>
            <w:vAlign w:val="bottom"/>
            <w:tcBorders>
              <w:top w:val="single" w:sz="8" w:color="E5FFFF"/>
            </w:tcBorders>
            <w:shd w:val="clear" w:color="auto" w:fill="E5FFFF"/>
          </w:tcPr>
          <w:p>
            <w:pPr>
              <w:spacing w:after="0" w:line="20" w:lineRule="exact"/>
              <w:rPr>
                <w:sz w:val="1"/>
                <w:szCs w:val="1"/>
                <w:color w:val="auto"/>
              </w:rPr>
            </w:pPr>
          </w:p>
        </w:tc>
        <w:tc>
          <w:tcPr>
            <w:tcW w:w="120" w:type="dxa"/>
            <w:vAlign w:val="bottom"/>
            <w:tcBorders>
              <w:top w:val="single" w:sz="8" w:color="E5FFFF"/>
            </w:tcBorders>
            <w:shd w:val="clear" w:color="auto" w:fill="E5FFFF"/>
          </w:tcPr>
          <w:p>
            <w:pPr>
              <w:spacing w:after="0" w:line="20" w:lineRule="exact"/>
              <w:rPr>
                <w:sz w:val="1"/>
                <w:szCs w:val="1"/>
                <w:color w:val="auto"/>
              </w:rPr>
            </w:pPr>
          </w:p>
        </w:tc>
        <w:tc>
          <w:tcPr>
            <w:tcW w:w="1680" w:type="dxa"/>
            <w:vAlign w:val="bottom"/>
            <w:tcBorders>
              <w:top w:val="single" w:sz="8" w:color="E5FFFF"/>
            </w:tcBorders>
            <w:shd w:val="clear" w:color="auto" w:fill="E5FF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As of January 1, 2022</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2,681,095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4,089</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2,685,184</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320" w:type="dxa"/>
            <w:vAlign w:val="bottom"/>
            <w:gridSpan w:val="3"/>
            <w:shd w:val="clear" w:color="auto" w:fill="E5FFFF"/>
          </w:tcPr>
          <w:p>
            <w:pPr>
              <w:spacing w:after="0"/>
              <w:rPr>
                <w:sz w:val="20"/>
                <w:szCs w:val="20"/>
                <w:color w:val="auto"/>
              </w:rPr>
            </w:pPr>
            <w:r>
              <w:rPr>
                <w:rFonts w:ascii="Times New Roman" w:cs="Times New Roman" w:eastAsia="Times New Roman" w:hAnsi="Times New Roman"/>
                <w:sz w:val="16"/>
                <w:szCs w:val="16"/>
                <w:color w:val="auto"/>
              </w:rPr>
              <w:t>Additions, net</w:t>
            </w:r>
          </w:p>
        </w:tc>
        <w:tc>
          <w:tcPr>
            <w:tcW w:w="80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6"/>
                <w:szCs w:val="16"/>
                <w:color w:val="auto"/>
              </w:rPr>
              <w:t>437</w:t>
            </w:r>
          </w:p>
        </w:tc>
        <w:tc>
          <w:tcPr>
            <w:tcW w:w="13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451</w:t>
            </w:r>
          </w:p>
        </w:tc>
        <w:tc>
          <w:tcPr>
            <w:tcW w:w="16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888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3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Transfer under Vessels held for sale</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(324,034)</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(324,034)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080" w:type="dxa"/>
            <w:vAlign w:val="bottom"/>
            <w:tcBorders>
              <w:top w:val="single" w:sz="8" w:color="E5FFFF"/>
              <w:bottom w:val="single" w:sz="8" w:color="E5FFFF"/>
            </w:tcBorders>
            <w:gridSpan w:val="2"/>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As of September 30, 2022</w:t>
            </w:r>
          </w:p>
        </w:tc>
        <w:tc>
          <w:tcPr>
            <w:tcW w:w="1240" w:type="dxa"/>
            <w:vAlign w:val="bottom"/>
            <w:tcBorders>
              <w:top w:val="single" w:sz="8" w:color="auto"/>
              <w:bottom w:val="single" w:sz="8" w:color="auto"/>
            </w:tcBorders>
            <w:shd w:val="clear" w:color="auto" w:fill="E5FFFF"/>
          </w:tcPr>
          <w:p>
            <w:pPr>
              <w:spacing w:after="0"/>
              <w:rPr>
                <w:sz w:val="17"/>
                <w:szCs w:val="17"/>
                <w:color w:val="auto"/>
              </w:rPr>
            </w:pPr>
          </w:p>
        </w:tc>
        <w:tc>
          <w:tcPr>
            <w:tcW w:w="6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2,357,498</w:t>
            </w:r>
          </w:p>
        </w:tc>
        <w:tc>
          <w:tcPr>
            <w:tcW w:w="120" w:type="dxa"/>
            <w:vAlign w:val="bottom"/>
            <w:tcBorders>
              <w:top w:val="single" w:sz="8" w:color="E5FFFF"/>
              <w:bottom w:val="single" w:sz="8" w:color="E5FFFF"/>
            </w:tcBorders>
            <w:shd w:val="clear" w:color="auto" w:fill="E5FFFF"/>
          </w:tcPr>
          <w:p>
            <w:pPr>
              <w:spacing w:after="0"/>
              <w:rPr>
                <w:sz w:val="17"/>
                <w:szCs w:val="17"/>
                <w:color w:val="auto"/>
              </w:rPr>
            </w:pPr>
          </w:p>
        </w:tc>
        <w:tc>
          <w:tcPr>
            <w:tcW w:w="12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4,540</w:t>
            </w:r>
          </w:p>
        </w:tc>
        <w:tc>
          <w:tcPr>
            <w:tcW w:w="120" w:type="dxa"/>
            <w:vAlign w:val="bottom"/>
            <w:tcBorders>
              <w:top w:val="single" w:sz="8" w:color="E5FFFF"/>
              <w:bottom w:val="single" w:sz="8" w:color="E5FFFF"/>
            </w:tcBorders>
            <w:shd w:val="clear" w:color="auto" w:fill="E5FFFF"/>
          </w:tcPr>
          <w:p>
            <w:pPr>
              <w:spacing w:after="0"/>
              <w:rPr>
                <w:sz w:val="17"/>
                <w:szCs w:val="17"/>
                <w:color w:val="auto"/>
              </w:rPr>
            </w:pPr>
          </w:p>
        </w:tc>
        <w:tc>
          <w:tcPr>
            <w:tcW w:w="16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2,362,038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4"/>
        </w:trPr>
        <w:tc>
          <w:tcPr>
            <w:tcW w:w="6080" w:type="dxa"/>
            <w:vAlign w:val="bottom"/>
            <w:gridSpan w:val="3"/>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Accumulated depreciation and impairment loss</w:t>
            </w:r>
          </w:p>
        </w:tc>
        <w:tc>
          <w:tcPr>
            <w:tcW w:w="19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680" w:type="dxa"/>
            <w:vAlign w:val="bottom"/>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2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As of January 1, 2022</w:t>
            </w:r>
          </w:p>
        </w:tc>
        <w:tc>
          <w:tcPr>
            <w:tcW w:w="2800" w:type="dxa"/>
            <w:vAlign w:val="bottom"/>
            <w:tcBorders>
              <w:top w:val="single" w:sz="8" w:color="E5FFFF"/>
            </w:tcBorders>
          </w:tcPr>
          <w:p>
            <w:pPr>
              <w:spacing w:after="0"/>
              <w:rPr>
                <w:sz w:val="18"/>
                <w:szCs w:val="18"/>
                <w:color w:val="auto"/>
              </w:rPr>
            </w:pPr>
          </w:p>
        </w:tc>
        <w:tc>
          <w:tcPr>
            <w:tcW w:w="2040" w:type="dxa"/>
            <w:vAlign w:val="bottom"/>
            <w:tcBorders>
              <w:top w:val="single" w:sz="8" w:color="E5FFFF"/>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796,601</w:t>
            </w:r>
          </w:p>
        </w:tc>
        <w:tc>
          <w:tcPr>
            <w:tcW w:w="1340" w:type="dxa"/>
            <w:vAlign w:val="bottom"/>
            <w:tcBorders>
              <w:top w:val="single" w:sz="8" w:color="E5FFFF"/>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Borders>
              <w:top w:val="single" w:sz="8" w:color="E5FFFF"/>
            </w:tcBorders>
          </w:tcPr>
          <w:p>
            <w:pPr>
              <w:jc w:val="right"/>
              <w:spacing w:after="0"/>
              <w:rPr>
                <w:sz w:val="20"/>
                <w:szCs w:val="20"/>
                <w:color w:val="auto"/>
              </w:rPr>
            </w:pPr>
            <w:r>
              <w:rPr>
                <w:rFonts w:ascii="Times New Roman" w:cs="Times New Roman" w:eastAsia="Times New Roman" w:hAnsi="Times New Roman"/>
                <w:sz w:val="16"/>
                <w:szCs w:val="16"/>
                <w:color w:val="auto"/>
              </w:rPr>
              <w:t>796,601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80" w:type="dxa"/>
            <w:vAlign w:val="bottom"/>
            <w:gridSpan w:val="3"/>
            <w:shd w:val="clear" w:color="auto" w:fill="E5FFFF"/>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204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6"/>
                <w:szCs w:val="16"/>
                <w:color w:val="auto"/>
              </w:rPr>
              <w:t>51,954</w:t>
            </w:r>
          </w:p>
        </w:tc>
        <w:tc>
          <w:tcPr>
            <w:tcW w:w="13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51,954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Transfer under Vessels held for sale</w:t>
            </w:r>
          </w:p>
        </w:tc>
        <w:tc>
          <w:tcPr>
            <w:tcW w:w="2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(182,572)</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(182,572)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080" w:type="dxa"/>
            <w:vAlign w:val="bottom"/>
            <w:tcBorders>
              <w:top w:val="single" w:sz="8" w:color="E5FFFF"/>
            </w:tcBorders>
            <w:gridSpan w:val="3"/>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As of September 30, 2022</w:t>
            </w:r>
          </w:p>
        </w:tc>
        <w:tc>
          <w:tcPr>
            <w:tcW w:w="19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665,983</w:t>
            </w:r>
          </w:p>
        </w:tc>
        <w:tc>
          <w:tcPr>
            <w:tcW w:w="120" w:type="dxa"/>
            <w:vAlign w:val="bottom"/>
            <w:tcBorders>
              <w:top w:val="single" w:sz="8" w:color="E5FFFF"/>
            </w:tcBorders>
            <w:shd w:val="clear" w:color="auto" w:fill="E5FFFF"/>
          </w:tcPr>
          <w:p>
            <w:pPr>
              <w:spacing w:after="0"/>
              <w:rPr>
                <w:sz w:val="17"/>
                <w:szCs w:val="17"/>
                <w:color w:val="auto"/>
              </w:rPr>
            </w:pPr>
          </w:p>
        </w:tc>
        <w:tc>
          <w:tcPr>
            <w:tcW w:w="12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top w:val="single" w:sz="8" w:color="E5FFFF"/>
            </w:tcBorders>
            <w:shd w:val="clear" w:color="auto" w:fill="E5FFFF"/>
          </w:tcPr>
          <w:p>
            <w:pPr>
              <w:spacing w:after="0"/>
              <w:rPr>
                <w:sz w:val="17"/>
                <w:szCs w:val="17"/>
                <w:color w:val="auto"/>
              </w:rPr>
            </w:pPr>
          </w:p>
        </w:tc>
        <w:tc>
          <w:tcPr>
            <w:tcW w:w="16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665,983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080" w:type="dxa"/>
            <w:vAlign w:val="bottom"/>
            <w:gridSpan w:val="3"/>
            <w:shd w:val="clear" w:color="auto" w:fill="E5FF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Net book value</w:t>
            </w:r>
          </w:p>
        </w:tc>
        <w:tc>
          <w:tcPr>
            <w:tcW w:w="1920" w:type="dxa"/>
            <w:vAlign w:val="bottom"/>
            <w:shd w:val="clear" w:color="auto" w:fill="E5FFFF"/>
          </w:tcPr>
          <w:p>
            <w:pPr>
              <w:spacing w:after="0"/>
              <w:rPr>
                <w:sz w:val="15"/>
                <w:szCs w:val="15"/>
                <w:color w:val="auto"/>
              </w:rPr>
            </w:pPr>
          </w:p>
        </w:tc>
        <w:tc>
          <w:tcPr>
            <w:tcW w:w="120" w:type="dxa"/>
            <w:vAlign w:val="bottom"/>
            <w:shd w:val="clear" w:color="auto" w:fill="E5FFFF"/>
          </w:tcPr>
          <w:p>
            <w:pPr>
              <w:spacing w:after="0"/>
              <w:rPr>
                <w:sz w:val="15"/>
                <w:szCs w:val="15"/>
                <w:color w:val="auto"/>
              </w:rPr>
            </w:pPr>
          </w:p>
        </w:tc>
        <w:tc>
          <w:tcPr>
            <w:tcW w:w="1220" w:type="dxa"/>
            <w:vAlign w:val="bottom"/>
            <w:shd w:val="clear" w:color="auto" w:fill="E5FFFF"/>
          </w:tcPr>
          <w:p>
            <w:pPr>
              <w:spacing w:after="0"/>
              <w:rPr>
                <w:sz w:val="15"/>
                <w:szCs w:val="15"/>
                <w:color w:val="auto"/>
              </w:rPr>
            </w:pPr>
          </w:p>
        </w:tc>
        <w:tc>
          <w:tcPr>
            <w:tcW w:w="120" w:type="dxa"/>
            <w:vAlign w:val="bottom"/>
            <w:shd w:val="clear" w:color="auto" w:fill="E5FFFF"/>
          </w:tcPr>
          <w:p>
            <w:pPr>
              <w:spacing w:after="0"/>
              <w:rPr>
                <w:sz w:val="15"/>
                <w:szCs w:val="15"/>
                <w:color w:val="auto"/>
              </w:rPr>
            </w:pPr>
          </w:p>
        </w:tc>
        <w:tc>
          <w:tcPr>
            <w:tcW w:w="1680" w:type="dxa"/>
            <w:vAlign w:val="bottom"/>
            <w:shd w:val="clear" w:color="auto" w:fill="E5FF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Borders>
              <w:top w:val="single" w:sz="8" w:color="auto"/>
            </w:tcBorders>
            <w:shd w:val="clear" w:color="auto" w:fill="E5FFFF"/>
          </w:tcPr>
          <w:p>
            <w:pPr>
              <w:spacing w:after="0" w:line="20" w:lineRule="exact"/>
              <w:rPr>
                <w:sz w:val="1"/>
                <w:szCs w:val="1"/>
                <w:color w:val="auto"/>
              </w:rPr>
            </w:pPr>
          </w:p>
        </w:tc>
        <w:tc>
          <w:tcPr>
            <w:tcW w:w="2240" w:type="dxa"/>
            <w:vAlign w:val="bottom"/>
            <w:tcBorders>
              <w:top w:val="single" w:sz="8" w:color="E5FFFF"/>
            </w:tcBorders>
            <w:shd w:val="clear" w:color="auto" w:fill="E5FFFF"/>
          </w:tcPr>
          <w:p>
            <w:pPr>
              <w:spacing w:after="0" w:line="20" w:lineRule="exact"/>
              <w:rPr>
                <w:sz w:val="1"/>
                <w:szCs w:val="1"/>
                <w:color w:val="auto"/>
              </w:rPr>
            </w:pPr>
          </w:p>
        </w:tc>
        <w:tc>
          <w:tcPr>
            <w:tcW w:w="2800" w:type="dxa"/>
            <w:vAlign w:val="bottom"/>
            <w:tcBorders>
              <w:top w:val="single" w:sz="8" w:color="E5FFFF"/>
            </w:tcBorders>
            <w:shd w:val="clear" w:color="auto" w:fill="E5FFFF"/>
          </w:tcPr>
          <w:p>
            <w:pPr>
              <w:spacing w:after="0" w:line="20" w:lineRule="exact"/>
              <w:rPr>
                <w:sz w:val="1"/>
                <w:szCs w:val="1"/>
                <w:color w:val="auto"/>
              </w:rPr>
            </w:pPr>
          </w:p>
        </w:tc>
        <w:tc>
          <w:tcPr>
            <w:tcW w:w="1920" w:type="dxa"/>
            <w:vAlign w:val="bottom"/>
            <w:tcBorders>
              <w:top w:val="single" w:sz="8" w:color="E5FFFF"/>
            </w:tcBorders>
            <w:shd w:val="clear" w:color="auto" w:fill="E5FFFF"/>
          </w:tcPr>
          <w:p>
            <w:pPr>
              <w:spacing w:after="0" w:line="20" w:lineRule="exact"/>
              <w:rPr>
                <w:sz w:val="1"/>
                <w:szCs w:val="1"/>
                <w:color w:val="auto"/>
              </w:rPr>
            </w:pPr>
          </w:p>
        </w:tc>
        <w:tc>
          <w:tcPr>
            <w:tcW w:w="120" w:type="dxa"/>
            <w:vAlign w:val="bottom"/>
            <w:tcBorders>
              <w:top w:val="single" w:sz="8" w:color="E5FFFF"/>
            </w:tcBorders>
            <w:shd w:val="clear" w:color="auto" w:fill="E5FFFF"/>
          </w:tcPr>
          <w:p>
            <w:pPr>
              <w:spacing w:after="0" w:line="20" w:lineRule="exact"/>
              <w:rPr>
                <w:sz w:val="1"/>
                <w:szCs w:val="1"/>
                <w:color w:val="auto"/>
              </w:rPr>
            </w:pPr>
          </w:p>
        </w:tc>
        <w:tc>
          <w:tcPr>
            <w:tcW w:w="1220" w:type="dxa"/>
            <w:vAlign w:val="bottom"/>
            <w:tcBorders>
              <w:top w:val="single" w:sz="8" w:color="E5FFFF"/>
            </w:tcBorders>
            <w:shd w:val="clear" w:color="auto" w:fill="E5FFFF"/>
          </w:tcPr>
          <w:p>
            <w:pPr>
              <w:spacing w:after="0" w:line="20" w:lineRule="exact"/>
              <w:rPr>
                <w:sz w:val="1"/>
                <w:szCs w:val="1"/>
                <w:color w:val="auto"/>
              </w:rPr>
            </w:pPr>
          </w:p>
        </w:tc>
        <w:tc>
          <w:tcPr>
            <w:tcW w:w="120" w:type="dxa"/>
            <w:vAlign w:val="bottom"/>
            <w:tcBorders>
              <w:top w:val="single" w:sz="8" w:color="E5FFFF"/>
            </w:tcBorders>
            <w:shd w:val="clear" w:color="auto" w:fill="E5FFFF"/>
          </w:tcPr>
          <w:p>
            <w:pPr>
              <w:spacing w:after="0" w:line="20" w:lineRule="exact"/>
              <w:rPr>
                <w:sz w:val="1"/>
                <w:szCs w:val="1"/>
                <w:color w:val="auto"/>
              </w:rPr>
            </w:pPr>
          </w:p>
        </w:tc>
        <w:tc>
          <w:tcPr>
            <w:tcW w:w="1680" w:type="dxa"/>
            <w:vAlign w:val="bottom"/>
            <w:tcBorders>
              <w:top w:val="single" w:sz="8" w:color="E5FFFF"/>
            </w:tcBorders>
            <w:shd w:val="clear" w:color="auto" w:fill="E5FF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0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As of December 31, 2021</w:t>
            </w:r>
          </w:p>
        </w:tc>
        <w:tc>
          <w:tcPr>
            <w:tcW w:w="2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1,884,494</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4,089</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1,888,583</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6080" w:type="dxa"/>
            <w:vAlign w:val="bottom"/>
            <w:tcBorders>
              <w:top w:val="single" w:sz="8" w:color="E5FFFF"/>
              <w:bottom w:val="single" w:sz="8" w:color="E5FFFF"/>
            </w:tcBorders>
            <w:gridSpan w:val="3"/>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As of September 30, 2022</w:t>
            </w:r>
          </w:p>
        </w:tc>
        <w:tc>
          <w:tcPr>
            <w:tcW w:w="19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1,691,515</w:t>
            </w:r>
          </w:p>
        </w:tc>
        <w:tc>
          <w:tcPr>
            <w:tcW w:w="120" w:type="dxa"/>
            <w:vAlign w:val="bottom"/>
            <w:tcBorders>
              <w:top w:val="single" w:sz="8" w:color="E5FFFF"/>
              <w:bottom w:val="single" w:sz="8" w:color="E5FFFF"/>
            </w:tcBorders>
            <w:shd w:val="clear" w:color="auto" w:fill="E5FFFF"/>
          </w:tcPr>
          <w:p>
            <w:pPr>
              <w:spacing w:after="0"/>
              <w:rPr>
                <w:sz w:val="17"/>
                <w:szCs w:val="17"/>
                <w:color w:val="auto"/>
              </w:rPr>
            </w:pPr>
          </w:p>
        </w:tc>
        <w:tc>
          <w:tcPr>
            <w:tcW w:w="12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4,540</w:t>
            </w:r>
          </w:p>
        </w:tc>
        <w:tc>
          <w:tcPr>
            <w:tcW w:w="120" w:type="dxa"/>
            <w:vAlign w:val="bottom"/>
            <w:tcBorders>
              <w:top w:val="single" w:sz="8" w:color="E5FFFF"/>
              <w:bottom w:val="single" w:sz="8" w:color="E5FFFF"/>
            </w:tcBorders>
            <w:shd w:val="clear" w:color="auto" w:fill="E5FFFF"/>
          </w:tcPr>
          <w:p>
            <w:pPr>
              <w:spacing w:after="0"/>
              <w:rPr>
                <w:sz w:val="17"/>
                <w:szCs w:val="17"/>
                <w:color w:val="auto"/>
              </w:rPr>
            </w:pPr>
          </w:p>
        </w:tc>
        <w:tc>
          <w:tcPr>
            <w:tcW w:w="16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1,696,055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All vessels have been pledged as collateral under the terms of the Partnership’s credit facilities.</w:t>
      </w:r>
    </w:p>
    <w:p>
      <w:pPr>
        <w:spacing w:after="0" w:line="233" w:lineRule="exact"/>
        <w:rPr>
          <w:sz w:val="20"/>
          <w:szCs w:val="20"/>
          <w:color w:val="auto"/>
        </w:rPr>
      </w:pPr>
    </w:p>
    <w:p>
      <w:pPr>
        <w:ind w:firstLine="324"/>
        <w:spacing w:after="0" w:line="269" w:lineRule="auto"/>
        <w:rPr>
          <w:sz w:val="20"/>
          <w:szCs w:val="20"/>
          <w:color w:val="auto"/>
        </w:rPr>
      </w:pPr>
      <w:r>
        <w:rPr>
          <w:rFonts w:ascii="Times New Roman" w:cs="Times New Roman" w:eastAsia="Times New Roman" w:hAnsi="Times New Roman"/>
          <w:sz w:val="16"/>
          <w:szCs w:val="16"/>
          <w:color w:val="auto"/>
        </w:rPr>
        <w:t xml:space="preserve">In June 2022, GAS-twenty Ltd., the vessel-owning entity of the </w:t>
      </w:r>
      <w:r>
        <w:rPr>
          <w:rFonts w:ascii="Times New Roman" w:cs="Times New Roman" w:eastAsia="Times New Roman" w:hAnsi="Times New Roman"/>
          <w:sz w:val="16"/>
          <w:szCs w:val="16"/>
          <w:i w:val="1"/>
          <w:iCs w:val="1"/>
          <w:color w:val="auto"/>
        </w:rPr>
        <w:t>Methane Shirley Elisabeth</w:t>
      </w:r>
      <w:r>
        <w:rPr>
          <w:rFonts w:ascii="Times New Roman" w:cs="Times New Roman" w:eastAsia="Times New Roman" w:hAnsi="Times New Roman"/>
          <w:sz w:val="16"/>
          <w:szCs w:val="16"/>
          <w:color w:val="auto"/>
        </w:rPr>
        <w:t xml:space="preserve">, entered into a Memorandum of Agreement with respect to the sale of its vessel to an unrelated third party, with the transaction completed on September 14, 2022. Also, as of June 30, 2022, GasLog Partners had been actively pursuing to enter into an agreement for the sale and lease-back of a second steam turbine propulsion (“Steam”) vessel, the </w:t>
      </w:r>
      <w:r>
        <w:rPr>
          <w:rFonts w:ascii="Times New Roman" w:cs="Times New Roman" w:eastAsia="Times New Roman" w:hAnsi="Times New Roman"/>
          <w:sz w:val="16"/>
          <w:szCs w:val="16"/>
          <w:i w:val="1"/>
          <w:iCs w:val="1"/>
          <w:color w:val="auto"/>
        </w:rPr>
        <w:t>Methane Heather Sally</w:t>
      </w:r>
      <w:r>
        <w:rPr>
          <w:rFonts w:ascii="Times New Roman" w:cs="Times New Roman" w:eastAsia="Times New Roman" w:hAnsi="Times New Roman"/>
          <w:sz w:val="16"/>
          <w:szCs w:val="16"/>
          <w:color w:val="auto"/>
        </w:rPr>
        <w:t xml:space="preserve">, which was executed in October 2022 (Note 16). All criteria outlined by IFRS 5 </w:t>
      </w:r>
      <w:r>
        <w:rPr>
          <w:rFonts w:ascii="Times New Roman" w:cs="Times New Roman" w:eastAsia="Times New Roman" w:hAnsi="Times New Roman"/>
          <w:sz w:val="16"/>
          <w:szCs w:val="16"/>
          <w:i w:val="1"/>
          <w:iCs w:val="1"/>
          <w:color w:val="auto"/>
        </w:rPr>
        <w:t>Non-current Assets Held for Sale and Discontinued Operations</w:t>
      </w:r>
      <w:r>
        <w:rPr>
          <w:rFonts w:ascii="Times New Roman" w:cs="Times New Roman" w:eastAsia="Times New Roman" w:hAnsi="Times New Roman"/>
          <w:sz w:val="16"/>
          <w:szCs w:val="16"/>
          <w:color w:val="auto"/>
        </w:rPr>
        <w:t xml:space="preserve"> were deemed to have been met as of June 30, 2022 with respect to both vessels. As a result, the carrying amounts of the </w:t>
      </w:r>
      <w:r>
        <w:rPr>
          <w:rFonts w:ascii="Times New Roman" w:cs="Times New Roman" w:eastAsia="Times New Roman" w:hAnsi="Times New Roman"/>
          <w:sz w:val="16"/>
          <w:szCs w:val="16"/>
          <w:i w:val="1"/>
          <w:iCs w:val="1"/>
          <w:color w:val="auto"/>
        </w:rPr>
        <w:t>Methane Shirley Elisabeth</w:t>
      </w:r>
      <w:r>
        <w:rPr>
          <w:rFonts w:ascii="Times New Roman" w:cs="Times New Roman" w:eastAsia="Times New Roman" w:hAnsi="Times New Roman"/>
          <w:sz w:val="16"/>
          <w:szCs w:val="16"/>
          <w:color w:val="auto"/>
        </w:rPr>
        <w:t xml:space="preserve"> ($67,339) and the </w:t>
      </w:r>
      <w:r>
        <w:rPr>
          <w:rFonts w:ascii="Times New Roman" w:cs="Times New Roman" w:eastAsia="Times New Roman" w:hAnsi="Times New Roman"/>
          <w:sz w:val="16"/>
          <w:szCs w:val="16"/>
          <w:i w:val="1"/>
          <w:iCs w:val="1"/>
          <w:color w:val="auto"/>
        </w:rPr>
        <w:t>Methane Heather Sally</w:t>
      </w:r>
      <w:r>
        <w:rPr>
          <w:rFonts w:ascii="Times New Roman" w:cs="Times New Roman" w:eastAsia="Times New Roman" w:hAnsi="Times New Roman"/>
          <w:sz w:val="16"/>
          <w:szCs w:val="16"/>
          <w:color w:val="auto"/>
        </w:rPr>
        <w:t xml:space="preserve"> ($74,123) were reclassified as “Vessels held for sale” (within current assets) and remeasured at the lower between carrying amount and fair value less costs to sell, resulting in the recognition of an impairment loss of $14,664 and $13,363, respectively, as of June 30, 2022. During the three and nine months ended September 30, 2022, a loss of $166 arising from the sale of the </w:t>
      </w:r>
      <w:r>
        <w:rPr>
          <w:rFonts w:ascii="Times New Roman" w:cs="Times New Roman" w:eastAsia="Times New Roman" w:hAnsi="Times New Roman"/>
          <w:sz w:val="16"/>
          <w:szCs w:val="16"/>
          <w:i w:val="1"/>
          <w:iCs w:val="1"/>
          <w:color w:val="auto"/>
        </w:rPr>
        <w:t>Methane Shirley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Elisabeth </w:t>
      </w:r>
      <w:r>
        <w:rPr>
          <w:rFonts w:ascii="Times New Roman" w:cs="Times New Roman" w:eastAsia="Times New Roman" w:hAnsi="Times New Roman"/>
          <w:sz w:val="16"/>
          <w:szCs w:val="16"/>
          <w:color w:val="auto"/>
        </w:rPr>
        <w:t>was recorded in the consolidated statement of profit or loss.</w:t>
      </w:r>
    </w:p>
    <w:p>
      <w:pPr>
        <w:spacing w:after="0" w:line="188" w:lineRule="exact"/>
        <w:rPr>
          <w:sz w:val="20"/>
          <w:szCs w:val="20"/>
          <w:color w:val="auto"/>
        </w:rPr>
      </w:pPr>
    </w:p>
    <w:p>
      <w:pPr>
        <w:ind w:right="600" w:firstLine="324"/>
        <w:spacing w:after="0" w:line="298" w:lineRule="auto"/>
        <w:rPr>
          <w:sz w:val="20"/>
          <w:szCs w:val="20"/>
          <w:color w:val="auto"/>
        </w:rPr>
      </w:pPr>
      <w:r>
        <w:rPr>
          <w:rFonts w:ascii="Times New Roman" w:cs="Times New Roman" w:eastAsia="Times New Roman" w:hAnsi="Times New Roman"/>
          <w:sz w:val="16"/>
          <w:szCs w:val="16"/>
          <w:color w:val="auto"/>
        </w:rPr>
        <w:t>As of September 30, 2022, the Partnership concluded that there were no events or circumstances triggering the existence of potential impairment or reversal of impairment of its remaining vessels.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5. Leases</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418"/>
        </w:trPr>
        <w:tc>
          <w:tcPr>
            <w:tcW w:w="5140" w:type="dxa"/>
            <w:vAlign w:val="bottom"/>
            <w:gridSpan w:val="4"/>
          </w:tcPr>
          <w:p>
            <w:pPr>
              <w:ind w:left="340"/>
              <w:spacing w:after="0"/>
              <w:rPr>
                <w:sz w:val="20"/>
                <w:szCs w:val="20"/>
                <w:color w:val="auto"/>
              </w:rPr>
            </w:pPr>
            <w:r>
              <w:rPr>
                <w:rFonts w:ascii="Times New Roman" w:cs="Times New Roman" w:eastAsia="Times New Roman" w:hAnsi="Times New Roman"/>
                <w:sz w:val="16"/>
                <w:szCs w:val="16"/>
                <w:color w:val="auto"/>
              </w:rPr>
              <w:t>The movements in right-of-use assets are reported in the following table:</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09"/>
        </w:trPr>
        <w:tc>
          <w:tcPr>
            <w:tcW w:w="17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Vessels’</w:t>
            </w:r>
          </w:p>
        </w:tc>
        <w:tc>
          <w:tcPr>
            <w:tcW w:w="1460" w:type="dxa"/>
            <w:vAlign w:val="bottom"/>
          </w:tcPr>
          <w:p>
            <w:pPr>
              <w:spacing w:after="0"/>
              <w:rPr>
                <w:sz w:val="24"/>
                <w:szCs w:val="24"/>
                <w:color w:val="auto"/>
              </w:rPr>
            </w:pPr>
          </w:p>
        </w:tc>
      </w:tr>
      <w:tr>
        <w:trPr>
          <w:trHeight w:val="215"/>
        </w:trPr>
        <w:tc>
          <w:tcPr>
            <w:tcW w:w="1700" w:type="dxa"/>
            <w:vAlign w:val="bottom"/>
          </w:tcPr>
          <w:p>
            <w:pPr>
              <w:spacing w:after="0"/>
              <w:rPr>
                <w:sz w:val="18"/>
                <w:szCs w:val="18"/>
                <w:color w:val="auto"/>
              </w:rPr>
            </w:pPr>
          </w:p>
        </w:tc>
        <w:tc>
          <w:tcPr>
            <w:tcW w:w="344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Right-of-Use Assets</w:t>
            </w: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Vessel</w:t>
            </w: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Equipment</w:t>
            </w:r>
          </w:p>
        </w:tc>
        <w:tc>
          <w:tcPr>
            <w:tcW w:w="146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9"/>
        </w:trPr>
        <w:tc>
          <w:tcPr>
            <w:tcW w:w="1700" w:type="dxa"/>
            <w:vAlign w:val="bottom"/>
          </w:tcPr>
          <w:p>
            <w:pPr>
              <w:spacing w:after="0"/>
              <w:rPr>
                <w:sz w:val="17"/>
                <w:szCs w:val="17"/>
                <w:color w:val="auto"/>
              </w:rPr>
            </w:pPr>
          </w:p>
        </w:tc>
        <w:tc>
          <w:tcPr>
            <w:tcW w:w="2780" w:type="dxa"/>
            <w:vAlign w:val="bottom"/>
            <w:tcBorders>
              <w:top w:val="single" w:sz="8" w:color="auto"/>
            </w:tcBorders>
            <w:shd w:val="clear" w:color="auto" w:fill="E5FFFF"/>
          </w:tcPr>
          <w:p>
            <w:pPr>
              <w:ind w:left="100"/>
              <w:spacing w:after="0"/>
              <w:rPr>
                <w:sz w:val="20"/>
                <w:szCs w:val="20"/>
                <w:color w:val="auto"/>
              </w:rPr>
            </w:pPr>
            <w:r>
              <w:rPr>
                <w:rFonts w:ascii="Times New Roman" w:cs="Times New Roman" w:eastAsia="Times New Roman" w:hAnsi="Times New Roman"/>
                <w:sz w:val="16"/>
                <w:szCs w:val="16"/>
                <w:b w:val="1"/>
                <w:bCs w:val="1"/>
                <w:color w:val="auto"/>
              </w:rPr>
              <w:t>As of January 1, 2022</w:t>
            </w:r>
          </w:p>
        </w:tc>
        <w:tc>
          <w:tcPr>
            <w:tcW w:w="260" w:type="dxa"/>
            <w:vAlign w:val="bottom"/>
            <w:tcBorders>
              <w:top w:val="single" w:sz="8" w:color="E5FFFF"/>
            </w:tcBorders>
            <w:shd w:val="clear" w:color="auto" w:fill="E5FFFF"/>
          </w:tcPr>
          <w:p>
            <w:pPr>
              <w:spacing w:after="0"/>
              <w:rPr>
                <w:sz w:val="17"/>
                <w:szCs w:val="17"/>
                <w:color w:val="auto"/>
              </w:rPr>
            </w:pPr>
          </w:p>
        </w:tc>
        <w:tc>
          <w:tcPr>
            <w:tcW w:w="400" w:type="dxa"/>
            <w:vAlign w:val="bottom"/>
            <w:tcBorders>
              <w:top w:val="single" w:sz="8" w:color="auto"/>
            </w:tcBorders>
            <w:shd w:val="clear" w:color="auto" w:fill="E5FFFF"/>
          </w:tcPr>
          <w:p>
            <w:pPr>
              <w:spacing w:after="0"/>
              <w:rPr>
                <w:sz w:val="17"/>
                <w:szCs w:val="17"/>
                <w:color w:val="auto"/>
              </w:rPr>
            </w:pPr>
          </w:p>
        </w:tc>
        <w:tc>
          <w:tcPr>
            <w:tcW w:w="1020" w:type="dxa"/>
            <w:vAlign w:val="bottom"/>
            <w:tcBorders>
              <w:top w:val="single" w:sz="8" w:color="auto"/>
            </w:tcBorders>
            <w:shd w:val="clear" w:color="auto" w:fill="E5FF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81,651</w:t>
            </w:r>
          </w:p>
        </w:tc>
        <w:tc>
          <w:tcPr>
            <w:tcW w:w="240" w:type="dxa"/>
            <w:vAlign w:val="bottom"/>
            <w:tcBorders>
              <w:top w:val="single" w:sz="8" w:color="E5FFFF"/>
            </w:tcBorders>
            <w:shd w:val="clear" w:color="auto" w:fill="E5FFFF"/>
          </w:tcPr>
          <w:p>
            <w:pPr>
              <w:spacing w:after="0"/>
              <w:rPr>
                <w:sz w:val="17"/>
                <w:szCs w:val="17"/>
                <w:color w:val="auto"/>
              </w:rPr>
            </w:pPr>
          </w:p>
        </w:tc>
        <w:tc>
          <w:tcPr>
            <w:tcW w:w="1460" w:type="dxa"/>
            <w:vAlign w:val="bottom"/>
            <w:tcBorders>
              <w:top w:val="single" w:sz="8" w:color="auto"/>
            </w:tcBorders>
            <w:shd w:val="clear" w:color="auto" w:fill="E5FF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345</w:t>
            </w:r>
          </w:p>
        </w:tc>
        <w:tc>
          <w:tcPr>
            <w:tcW w:w="240" w:type="dxa"/>
            <w:vAlign w:val="bottom"/>
            <w:tcBorders>
              <w:top w:val="single" w:sz="8" w:color="E5FFFF"/>
            </w:tcBorders>
            <w:shd w:val="clear" w:color="auto" w:fill="E5FFFF"/>
          </w:tcPr>
          <w:p>
            <w:pPr>
              <w:spacing w:after="0"/>
              <w:rPr>
                <w:sz w:val="17"/>
                <w:szCs w:val="17"/>
                <w:color w:val="auto"/>
              </w:rPr>
            </w:pPr>
          </w:p>
        </w:tc>
        <w:tc>
          <w:tcPr>
            <w:tcW w:w="1460" w:type="dxa"/>
            <w:vAlign w:val="bottom"/>
            <w:tcBorders>
              <w:top w:val="single" w:sz="8" w:color="auto"/>
            </w:tcBorders>
            <w:shd w:val="clear" w:color="auto" w:fill="E5FF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81,996</w:t>
            </w:r>
          </w:p>
        </w:tc>
      </w:tr>
      <w:tr>
        <w:trPr>
          <w:trHeight w:val="213"/>
        </w:trPr>
        <w:tc>
          <w:tcPr>
            <w:tcW w:w="1700" w:type="dxa"/>
            <w:vAlign w:val="bottom"/>
          </w:tcPr>
          <w:p>
            <w:pPr>
              <w:spacing w:after="0"/>
              <w:rPr>
                <w:sz w:val="18"/>
                <w:szCs w:val="18"/>
                <w:color w:val="auto"/>
              </w:rPr>
            </w:pPr>
          </w:p>
        </w:tc>
        <w:tc>
          <w:tcPr>
            <w:tcW w:w="344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Additions, net</w:t>
            </w: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149</w:t>
            </w:r>
          </w:p>
        </w:tc>
        <w:tc>
          <w:tcPr>
            <w:tcW w:w="240" w:type="dxa"/>
            <w:vAlign w:val="bottom"/>
          </w:tcPr>
          <w:p>
            <w:pPr>
              <w:spacing w:after="0"/>
              <w:rPr>
                <w:sz w:val="18"/>
                <w:szCs w:val="18"/>
                <w:color w:val="auto"/>
              </w:rPr>
            </w:pP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149</w:t>
            </w:r>
          </w:p>
        </w:tc>
      </w:tr>
      <w:tr>
        <w:trPr>
          <w:trHeight w:val="219"/>
        </w:trPr>
        <w:tc>
          <w:tcPr>
            <w:tcW w:w="1700" w:type="dxa"/>
            <w:vAlign w:val="bottom"/>
          </w:tcPr>
          <w:p>
            <w:pPr>
              <w:spacing w:after="0"/>
              <w:rPr>
                <w:sz w:val="19"/>
                <w:szCs w:val="19"/>
                <w:color w:val="auto"/>
              </w:rPr>
            </w:pPr>
          </w:p>
        </w:tc>
        <w:tc>
          <w:tcPr>
            <w:tcW w:w="3440" w:type="dxa"/>
            <w:vAlign w:val="bottom"/>
            <w:gridSpan w:val="3"/>
            <w:shd w:val="clear" w:color="auto" w:fill="E5FFFF"/>
          </w:tcPr>
          <w:p>
            <w:pPr>
              <w:ind w:left="100"/>
              <w:spacing w:after="0"/>
              <w:rPr>
                <w:sz w:val="20"/>
                <w:szCs w:val="20"/>
                <w:color w:val="auto"/>
              </w:rPr>
            </w:pPr>
            <w:r>
              <w:rPr>
                <w:rFonts w:ascii="Times New Roman" w:cs="Times New Roman" w:eastAsia="Times New Roman" w:hAnsi="Times New Roman"/>
                <w:sz w:val="16"/>
                <w:szCs w:val="16"/>
                <w:color w:val="auto"/>
              </w:rPr>
              <w:t>Depreciation</w:t>
            </w:r>
          </w:p>
        </w:tc>
        <w:tc>
          <w:tcPr>
            <w:tcW w:w="1020" w:type="dxa"/>
            <w:vAlign w:val="bottom"/>
            <w:shd w:val="clear" w:color="auto" w:fill="E5FFFF"/>
          </w:tcPr>
          <w:p>
            <w:pPr>
              <w:jc w:val="right"/>
              <w:ind w:right="19"/>
              <w:spacing w:after="0"/>
              <w:rPr>
                <w:sz w:val="20"/>
                <w:szCs w:val="20"/>
                <w:color w:val="auto"/>
              </w:rPr>
            </w:pPr>
            <w:r>
              <w:rPr>
                <w:rFonts w:ascii="Times New Roman" w:cs="Times New Roman" w:eastAsia="Times New Roman" w:hAnsi="Times New Roman"/>
                <w:sz w:val="16"/>
                <w:szCs w:val="16"/>
                <w:color w:val="auto"/>
              </w:rPr>
              <w:t>(12,658)</w:t>
            </w:r>
          </w:p>
        </w:tc>
        <w:tc>
          <w:tcPr>
            <w:tcW w:w="240" w:type="dxa"/>
            <w:vAlign w:val="bottom"/>
            <w:shd w:val="clear" w:color="auto" w:fill="E5FFFF"/>
          </w:tcPr>
          <w:p>
            <w:pPr>
              <w:spacing w:after="0"/>
              <w:rPr>
                <w:sz w:val="19"/>
                <w:szCs w:val="19"/>
                <w:color w:val="auto"/>
              </w:rPr>
            </w:pPr>
          </w:p>
        </w:tc>
        <w:tc>
          <w:tcPr>
            <w:tcW w:w="1460" w:type="dxa"/>
            <w:vAlign w:val="bottom"/>
            <w:shd w:val="clear" w:color="auto" w:fill="E5FFFF"/>
          </w:tcPr>
          <w:p>
            <w:pPr>
              <w:jc w:val="right"/>
              <w:ind w:right="19"/>
              <w:spacing w:after="0"/>
              <w:rPr>
                <w:sz w:val="20"/>
                <w:szCs w:val="20"/>
                <w:color w:val="auto"/>
              </w:rPr>
            </w:pPr>
            <w:r>
              <w:rPr>
                <w:rFonts w:ascii="Times New Roman" w:cs="Times New Roman" w:eastAsia="Times New Roman" w:hAnsi="Times New Roman"/>
                <w:sz w:val="16"/>
                <w:szCs w:val="16"/>
                <w:color w:val="auto"/>
              </w:rPr>
              <w:t>(295)</w:t>
            </w:r>
          </w:p>
        </w:tc>
        <w:tc>
          <w:tcPr>
            <w:tcW w:w="240" w:type="dxa"/>
            <w:vAlign w:val="bottom"/>
            <w:shd w:val="clear" w:color="auto" w:fill="E5FFFF"/>
          </w:tcPr>
          <w:p>
            <w:pPr>
              <w:spacing w:after="0"/>
              <w:rPr>
                <w:sz w:val="19"/>
                <w:szCs w:val="19"/>
                <w:color w:val="auto"/>
              </w:rPr>
            </w:pPr>
          </w:p>
        </w:tc>
        <w:tc>
          <w:tcPr>
            <w:tcW w:w="1460" w:type="dxa"/>
            <w:vAlign w:val="bottom"/>
            <w:shd w:val="clear" w:color="auto" w:fill="E5FFFF"/>
          </w:tcPr>
          <w:p>
            <w:pPr>
              <w:jc w:val="right"/>
              <w:ind w:right="19"/>
              <w:spacing w:after="0"/>
              <w:rPr>
                <w:sz w:val="20"/>
                <w:szCs w:val="20"/>
                <w:color w:val="auto"/>
              </w:rPr>
            </w:pPr>
            <w:r>
              <w:rPr>
                <w:rFonts w:ascii="Times New Roman" w:cs="Times New Roman" w:eastAsia="Times New Roman" w:hAnsi="Times New Roman"/>
                <w:sz w:val="16"/>
                <w:szCs w:val="16"/>
                <w:color w:val="auto"/>
              </w:rPr>
              <w:t>(12,953)</w:t>
            </w:r>
          </w:p>
        </w:tc>
      </w:tr>
      <w:tr>
        <w:trPr>
          <w:trHeight w:val="196"/>
        </w:trPr>
        <w:tc>
          <w:tcPr>
            <w:tcW w:w="1700" w:type="dxa"/>
            <w:vAlign w:val="bottom"/>
          </w:tcPr>
          <w:p>
            <w:pPr>
              <w:spacing w:after="0"/>
              <w:rPr>
                <w:sz w:val="17"/>
                <w:szCs w:val="17"/>
                <w:color w:val="auto"/>
              </w:rPr>
            </w:pPr>
          </w:p>
        </w:tc>
        <w:tc>
          <w:tcPr>
            <w:tcW w:w="30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As of September 30, 2022</w:t>
            </w:r>
          </w:p>
        </w:tc>
        <w:tc>
          <w:tcPr>
            <w:tcW w:w="4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68,993</w:t>
            </w:r>
          </w:p>
        </w:tc>
        <w:tc>
          <w:tcPr>
            <w:tcW w:w="240" w:type="dxa"/>
            <w:vAlign w:val="bottom"/>
          </w:tcPr>
          <w:p>
            <w:pPr>
              <w:spacing w:after="0"/>
              <w:rPr>
                <w:sz w:val="17"/>
                <w:szCs w:val="17"/>
                <w:color w:val="auto"/>
              </w:rPr>
            </w:pPr>
          </w:p>
        </w:tc>
        <w:tc>
          <w:tcPr>
            <w:tcW w:w="14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199</w:t>
            </w:r>
          </w:p>
        </w:tc>
        <w:tc>
          <w:tcPr>
            <w:tcW w:w="240" w:type="dxa"/>
            <w:vAlign w:val="bottom"/>
          </w:tcPr>
          <w:p>
            <w:pPr>
              <w:spacing w:after="0"/>
              <w:rPr>
                <w:sz w:val="17"/>
                <w:szCs w:val="17"/>
                <w:color w:val="auto"/>
              </w:rPr>
            </w:pPr>
          </w:p>
        </w:tc>
        <w:tc>
          <w:tcPr>
            <w:tcW w:w="14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69,192</w:t>
            </w:r>
          </w:p>
        </w:tc>
      </w:tr>
      <w:tr>
        <w:trPr>
          <w:trHeight w:val="20"/>
        </w:trPr>
        <w:tc>
          <w:tcPr>
            <w:tcW w:w="17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An analysis of the lease liabilities is as follows:</w:t>
      </w:r>
    </w:p>
    <w:p>
      <w:pPr>
        <w:sectPr>
          <w:pgSz w:w="11900" w:h="16838" w:orient="portrait"/>
          <w:cols w:equalWidth="0" w:num="1">
            <w:col w:w="11220"/>
          </w:cols>
          <w:pgMar w:left="320" w:top="941" w:right="359" w:bottom="1440" w:gutter="0" w:footer="0" w:header="0"/>
        </w:sectPr>
      </w:pPr>
    </w:p>
    <w:p>
      <w:pPr>
        <w:spacing w:after="0" w:line="200" w:lineRule="exact"/>
        <w:rPr>
          <w:sz w:val="20"/>
          <w:szCs w:val="20"/>
          <w:color w:val="auto"/>
        </w:rPr>
      </w:pPr>
    </w:p>
    <w:p>
      <w:pPr>
        <w:spacing w:after="0" w:line="26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6"/>
          <w:szCs w:val="16"/>
          <w:b w:val="1"/>
          <w:bCs w:val="1"/>
          <w:color w:val="auto"/>
        </w:rPr>
        <w:t>As of January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-114935</wp:posOffset>
            </wp:positionV>
            <wp:extent cx="496316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963160" cy="137160"/>
                    </a:xfrm>
                    <a:prstGeom prst="rect">
                      <a:avLst/>
                    </a:prstGeom>
                    <a:noFill/>
                  </pic:spPr>
                </pic:pic>
              </a:graphicData>
            </a:graphic>
          </wp:anchor>
        </w:drawing>
      </w:r>
    </w:p>
    <w:p>
      <w:pPr>
        <w:spacing w:after="0" w:line="1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6"/>
          <w:szCs w:val="16"/>
          <w:color w:val="auto"/>
        </w:rPr>
        <w:t>Additions, net</w:t>
      </w:r>
    </w:p>
    <w:p>
      <w:pPr>
        <w:spacing w:after="0" w:line="3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6"/>
          <w:szCs w:val="16"/>
          <w:color w:val="auto"/>
        </w:rPr>
        <w:t>Interest expense on leases (Note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-116205</wp:posOffset>
            </wp:positionV>
            <wp:extent cx="496316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963160" cy="137160"/>
                    </a:xfrm>
                    <a:prstGeom prst="rect">
                      <a:avLst/>
                    </a:prstGeom>
                    <a:noFill/>
                  </pic:spPr>
                </pic:pic>
              </a:graphicData>
            </a:graphic>
          </wp:anchor>
        </w:drawing>
      </w:r>
    </w:p>
    <w:p>
      <w:pPr>
        <w:spacing w:after="0" w:line="1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6"/>
          <w:szCs w:val="16"/>
          <w:color w:val="auto"/>
        </w:rPr>
        <w:t>Payments</w:t>
      </w:r>
    </w:p>
    <w:p>
      <w:pPr>
        <w:spacing w:after="0" w:line="3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6"/>
          <w:szCs w:val="16"/>
          <w:b w:val="1"/>
          <w:bCs w:val="1"/>
          <w:color w:val="auto"/>
        </w:rPr>
        <w:t>As of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-114935</wp:posOffset>
            </wp:positionV>
            <wp:extent cx="496316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963160" cy="137160"/>
                    </a:xfrm>
                    <a:prstGeom prst="rect">
                      <a:avLst/>
                    </a:prstGeom>
                    <a:noFill/>
                  </pic:spPr>
                </pic:pic>
              </a:graphicData>
            </a:graphic>
          </wp:anchor>
        </w:drawing>
      </w:r>
    </w:p>
    <w:p>
      <w:pPr>
        <w:spacing w:after="0" w:line="1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6"/>
          <w:szCs w:val="16"/>
          <w:color w:val="auto"/>
        </w:rPr>
        <w:t>Lease liabilities—current portion</w:t>
      </w:r>
    </w:p>
    <w:p>
      <w:pPr>
        <w:spacing w:after="0" w:line="3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6"/>
          <w:szCs w:val="16"/>
          <w:color w:val="auto"/>
        </w:rPr>
        <w:t>Lease liabilities—non-current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-116205</wp:posOffset>
            </wp:positionV>
            <wp:extent cx="496316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963160" cy="137160"/>
                    </a:xfrm>
                    <a:prstGeom prst="rect">
                      <a:avLst/>
                    </a:prstGeom>
                    <a:noFill/>
                  </pic:spPr>
                </pic:pic>
              </a:graphicData>
            </a:graphic>
          </wp:anchor>
        </w:drawing>
      </w:r>
    </w:p>
    <w:p>
      <w:pPr>
        <w:spacing w:after="0" w:line="2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6"/>
          <w:szCs w:val="16"/>
          <w:b w:val="1"/>
          <w:bCs w:val="1"/>
          <w:color w:val="auto"/>
        </w:rPr>
        <w:t>Total</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6. Partners’ Equity</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Lease Liabilities</w:t>
      </w:r>
    </w:p>
    <w:p>
      <w:pPr>
        <w:spacing w:after="0" w:line="3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b w:val="1"/>
          <w:bCs w:val="1"/>
          <w:color w:val="auto"/>
        </w:rPr>
        <w:t>55,898</w:t>
      </w:r>
    </w:p>
    <w:p>
      <w:pPr>
        <w:spacing w:after="0" w:line="3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149</w:t>
      </w:r>
    </w:p>
    <w:p>
      <w:pPr>
        <w:spacing w:after="0" w:line="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1,189</w:t>
      </w:r>
    </w:p>
    <w:p>
      <w:pPr>
        <w:spacing w:after="0" w:line="26" w:lineRule="exact"/>
        <w:rPr>
          <w:sz w:val="20"/>
          <w:szCs w:val="20"/>
          <w:color w:val="auto"/>
        </w:rPr>
      </w:pPr>
    </w:p>
    <w:p>
      <w:pPr>
        <w:jc w:val="right"/>
        <w:ind w:right="1700"/>
        <w:spacing w:after="0"/>
        <w:rPr>
          <w:sz w:val="20"/>
          <w:szCs w:val="20"/>
          <w:color w:val="auto"/>
        </w:rPr>
      </w:pPr>
      <w:r>
        <w:rPr>
          <w:rFonts w:ascii="Times New Roman" w:cs="Times New Roman" w:eastAsia="Times New Roman" w:hAnsi="Times New Roman"/>
          <w:sz w:val="16"/>
          <w:szCs w:val="16"/>
          <w:color w:val="auto"/>
        </w:rPr>
        <w:t>(9,021)</w:t>
      </w:r>
    </w:p>
    <w:p>
      <w:pPr>
        <w:spacing w:after="0" w:line="3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b w:val="1"/>
          <w:bCs w:val="1"/>
          <w:color w:val="auto"/>
        </w:rPr>
        <w:t>48,215</w:t>
      </w:r>
    </w:p>
    <w:p>
      <w:pPr>
        <w:spacing w:after="0" w:line="3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color w:val="auto"/>
        </w:rPr>
        <w:t>10,535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-116205</wp:posOffset>
            </wp:positionV>
            <wp:extent cx="121729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1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color w:val="auto"/>
        </w:rPr>
        <w:t>37,680</w:t>
      </w:r>
    </w:p>
    <w:p>
      <w:pPr>
        <w:spacing w:after="0" w:line="3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b w:val="1"/>
          <w:bCs w:val="1"/>
          <w:color w:val="auto"/>
        </w:rPr>
        <w:t>48,215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21590</wp:posOffset>
            </wp:positionV>
            <wp:extent cx="121729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17295" cy="8255"/>
                    </a:xfrm>
                    <a:prstGeom prst="rect">
                      <a:avLst/>
                    </a:prstGeom>
                    <a:noFill/>
                  </pic:spPr>
                </pic:pic>
              </a:graphicData>
            </a:graphic>
          </wp:anchor>
        </w:drawing>
        <w:drawing>
          <wp:anchor simplePos="0" relativeHeight="251657728" behindDoc="1" locked="0" layoutInCell="0" allowOverlap="1">
            <wp:simplePos x="0" y="0"/>
            <wp:positionH relativeFrom="column">
              <wp:posOffset>-252730</wp:posOffset>
            </wp:positionH>
            <wp:positionV relativeFrom="paragraph">
              <wp:posOffset>38735</wp:posOffset>
            </wp:positionV>
            <wp:extent cx="121729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17295" cy="8255"/>
                    </a:xfrm>
                    <a:prstGeom prst="rect">
                      <a:avLst/>
                    </a:prstGeom>
                    <a:noFill/>
                  </pic:spPr>
                </pic:pic>
              </a:graphicData>
            </a:graphic>
          </wp:anchor>
        </w:drawing>
        <w:drawing>
          <wp:anchor simplePos="0" relativeHeight="251657728" behindDoc="1" locked="0" layoutInCell="0" allowOverlap="1">
            <wp:simplePos x="0" y="0"/>
            <wp:positionH relativeFrom="column">
              <wp:posOffset>-252730</wp:posOffset>
            </wp:positionH>
            <wp:positionV relativeFrom="paragraph">
              <wp:posOffset>-114935</wp:posOffset>
            </wp:positionV>
            <wp:extent cx="12172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17295" cy="8890"/>
                    </a:xfrm>
                    <a:prstGeom prst="rect">
                      <a:avLst/>
                    </a:prstGeom>
                    <a:noFill/>
                  </pic:spPr>
                </pic:pic>
              </a:graphicData>
            </a:graphic>
          </wp:anchor>
        </w:drawing>
      </w:r>
    </w:p>
    <w:p>
      <w:pPr>
        <w:spacing w:after="0" w:line="875" w:lineRule="exact"/>
        <w:rPr>
          <w:sz w:val="20"/>
          <w:szCs w:val="20"/>
          <w:color w:val="auto"/>
        </w:rPr>
      </w:pPr>
    </w:p>
    <w:p>
      <w:pPr>
        <w:sectPr>
          <w:pgSz w:w="11900" w:h="16838" w:orient="portrait"/>
          <w:cols w:equalWidth="0" w:num="2">
            <w:col w:w="7220" w:space="720"/>
            <w:col w:w="3280"/>
          </w:cols>
          <w:pgMar w:left="320" w:top="941" w:right="359" w:bottom="1440" w:gutter="0" w:footer="0" w:header="0"/>
          <w:type w:val="continuous"/>
        </w:sectPr>
      </w:pPr>
    </w:p>
    <w:p>
      <w:pPr>
        <w:spacing w:after="0" w:line="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Partnership’s cash distributions for the nine months ended September 30, 2022 are presented in the following table:</w:t>
      </w:r>
    </w:p>
    <w:p>
      <w:pPr>
        <w:spacing w:after="0" w:line="233" w:lineRule="exact"/>
        <w:rPr>
          <w:sz w:val="20"/>
          <w:szCs w:val="20"/>
          <w:color w:val="auto"/>
        </w:rPr>
      </w:pPr>
    </w:p>
    <w:tbl>
      <w:tblPr>
        <w:tblLayout w:type="fixed"/>
        <w:tblInd w:w="340" w:type="dxa"/>
        <w:tblCellMar>
          <w:top w:w="0" w:type="dxa"/>
          <w:left w:w="0" w:type="dxa"/>
          <w:bottom w:w="0" w:type="dxa"/>
          <w:right w:w="0" w:type="dxa"/>
        </w:tblCellMar>
      </w:tblPr>
      <w:tr>
        <w:trPr>
          <w:trHeight w:val="226"/>
        </w:trPr>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Declaration date</w:t>
            </w:r>
          </w:p>
        </w:tc>
        <w:tc>
          <w:tcPr>
            <w:tcW w:w="2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Type of units</w:t>
            </w:r>
          </w:p>
        </w:tc>
        <w:tc>
          <w:tcPr>
            <w:tcW w:w="3060" w:type="dxa"/>
            <w:vAlign w:val="bottom"/>
            <w:gridSpan w:val="2"/>
          </w:tcPr>
          <w:p>
            <w:pPr>
              <w:ind w:left="760"/>
              <w:spacing w:after="0"/>
              <w:rPr>
                <w:sz w:val="20"/>
                <w:szCs w:val="20"/>
                <w:color w:val="auto"/>
              </w:rPr>
            </w:pPr>
            <w:r>
              <w:rPr>
                <w:rFonts w:ascii="Times New Roman" w:cs="Times New Roman" w:eastAsia="Times New Roman" w:hAnsi="Times New Roman"/>
                <w:sz w:val="16"/>
                <w:szCs w:val="16"/>
                <w:b w:val="1"/>
                <w:bCs w:val="1"/>
                <w:color w:val="auto"/>
              </w:rPr>
              <w:t>Distribution per unit</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Payment date</w:t>
            </w:r>
          </w:p>
        </w:tc>
        <w:tc>
          <w:tcPr>
            <w:tcW w:w="12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Amount paid</w:t>
            </w:r>
          </w:p>
        </w:tc>
      </w:tr>
      <w:tr>
        <w:trPr>
          <w:trHeight w:val="202"/>
        </w:trPr>
        <w:tc>
          <w:tcPr>
            <w:tcW w:w="1700" w:type="dxa"/>
            <w:vAlign w:val="bottom"/>
            <w:tcBorders>
              <w:top w:val="single" w:sz="8" w:color="auto"/>
            </w:tcBorders>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rPr>
              <w:t>January 26, 2022</w:t>
            </w:r>
          </w:p>
        </w:tc>
        <w:tc>
          <w:tcPr>
            <w:tcW w:w="100" w:type="dxa"/>
            <w:vAlign w:val="bottom"/>
            <w:tcBorders>
              <w:top w:val="single" w:sz="8" w:color="E5FFFF"/>
            </w:tcBorders>
            <w:shd w:val="clear" w:color="auto" w:fill="E5FFFF"/>
          </w:tcPr>
          <w:p>
            <w:pPr>
              <w:spacing w:after="0"/>
              <w:rPr>
                <w:sz w:val="17"/>
                <w:szCs w:val="17"/>
                <w:color w:val="auto"/>
              </w:rPr>
            </w:pPr>
          </w:p>
        </w:tc>
        <w:tc>
          <w:tcPr>
            <w:tcW w:w="2340" w:type="dxa"/>
            <w:vAlign w:val="bottom"/>
            <w:tcBorders>
              <w:top w:val="single" w:sz="8" w:color="auto"/>
            </w:tcBorders>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rPr>
              <w:t>Common</w:t>
            </w:r>
          </w:p>
        </w:tc>
        <w:tc>
          <w:tcPr>
            <w:tcW w:w="100" w:type="dxa"/>
            <w:vAlign w:val="bottom"/>
            <w:tcBorders>
              <w:top w:val="single" w:sz="8" w:color="E5FFFF"/>
            </w:tcBorders>
            <w:shd w:val="clear" w:color="auto" w:fill="E5FFFF"/>
          </w:tcPr>
          <w:p>
            <w:pPr>
              <w:spacing w:after="0"/>
              <w:rPr>
                <w:sz w:val="17"/>
                <w:szCs w:val="17"/>
                <w:color w:val="auto"/>
              </w:rPr>
            </w:pPr>
          </w:p>
        </w:tc>
        <w:tc>
          <w:tcPr>
            <w:tcW w:w="2960" w:type="dxa"/>
            <w:vAlign w:val="bottom"/>
            <w:tcBorders>
              <w:top w:val="single" w:sz="8" w:color="auto"/>
            </w:tcBorders>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$0.01</w:t>
            </w:r>
          </w:p>
        </w:tc>
        <w:tc>
          <w:tcPr>
            <w:tcW w:w="100" w:type="dxa"/>
            <w:vAlign w:val="bottom"/>
            <w:tcBorders>
              <w:top w:val="single" w:sz="8" w:color="E5FFFF"/>
            </w:tcBorders>
            <w:shd w:val="clear" w:color="auto" w:fill="E5FFFF"/>
          </w:tcPr>
          <w:p>
            <w:pPr>
              <w:spacing w:after="0"/>
              <w:rPr>
                <w:sz w:val="17"/>
                <w:szCs w:val="17"/>
                <w:color w:val="auto"/>
              </w:rPr>
            </w:pPr>
          </w:p>
        </w:tc>
        <w:tc>
          <w:tcPr>
            <w:tcW w:w="1900" w:type="dxa"/>
            <w:vAlign w:val="bottom"/>
            <w:tcBorders>
              <w:top w:val="single" w:sz="8" w:color="auto"/>
            </w:tcBorders>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rPr>
              <w:t>February 9, 2022</w:t>
            </w:r>
          </w:p>
        </w:tc>
        <w:tc>
          <w:tcPr>
            <w:tcW w:w="10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522</w:t>
            </w:r>
          </w:p>
        </w:tc>
      </w:tr>
      <w:tr>
        <w:trPr>
          <w:trHeight w:val="210"/>
        </w:trPr>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February 25, 2022</w:t>
            </w:r>
          </w:p>
        </w:tc>
        <w:tc>
          <w:tcPr>
            <w:tcW w:w="2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Preference (Series A, B, C)</w:t>
            </w:r>
          </w:p>
        </w:tc>
        <w:tc>
          <w:tcPr>
            <w:tcW w:w="2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$0.5390625, $0.5125, $0.53125</w:t>
            </w:r>
          </w:p>
        </w:tc>
        <w:tc>
          <w:tcPr>
            <w:tcW w:w="100" w:type="dxa"/>
            <w:vAlign w:val="bottom"/>
          </w:tcPr>
          <w:p>
            <w:pPr>
              <w:spacing w:after="0"/>
              <w:rPr>
                <w:sz w:val="18"/>
                <w:szCs w:val="18"/>
                <w:color w:val="auto"/>
              </w:rPr>
            </w:pP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March 15, 2022</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7,112</w:t>
            </w:r>
          </w:p>
        </w:tc>
      </w:tr>
      <w:tr>
        <w:trPr>
          <w:trHeight w:val="222"/>
        </w:trPr>
        <w:tc>
          <w:tcPr>
            <w:tcW w:w="1800" w:type="dxa"/>
            <w:vAlign w:val="bottom"/>
            <w:gridSpan w:val="2"/>
            <w:shd w:val="clear" w:color="auto" w:fill="E5FFFF"/>
          </w:tcPr>
          <w:p>
            <w:pPr>
              <w:jc w:val="center"/>
              <w:ind w:right="120"/>
              <w:spacing w:after="0"/>
              <w:rPr>
                <w:sz w:val="20"/>
                <w:szCs w:val="20"/>
                <w:color w:val="auto"/>
              </w:rPr>
            </w:pPr>
            <w:r>
              <w:rPr>
                <w:rFonts w:ascii="Times New Roman" w:cs="Times New Roman" w:eastAsia="Times New Roman" w:hAnsi="Times New Roman"/>
                <w:sz w:val="16"/>
                <w:szCs w:val="16"/>
                <w:color w:val="auto"/>
              </w:rPr>
              <w:t>April 27, 2022</w:t>
            </w:r>
          </w:p>
        </w:tc>
        <w:tc>
          <w:tcPr>
            <w:tcW w:w="2440" w:type="dxa"/>
            <w:vAlign w:val="bottom"/>
            <w:gridSpan w:val="2"/>
            <w:shd w:val="clear" w:color="auto" w:fill="E5FFFF"/>
          </w:tcPr>
          <w:p>
            <w:pPr>
              <w:jc w:val="center"/>
              <w:ind w:right="100"/>
              <w:spacing w:after="0"/>
              <w:rPr>
                <w:sz w:val="20"/>
                <w:szCs w:val="20"/>
                <w:color w:val="auto"/>
              </w:rPr>
            </w:pPr>
            <w:r>
              <w:rPr>
                <w:rFonts w:ascii="Times New Roman" w:cs="Times New Roman" w:eastAsia="Times New Roman" w:hAnsi="Times New Roman"/>
                <w:sz w:val="16"/>
                <w:szCs w:val="16"/>
                <w:color w:val="auto"/>
              </w:rPr>
              <w:t>Common</w:t>
            </w:r>
          </w:p>
        </w:tc>
        <w:tc>
          <w:tcPr>
            <w:tcW w:w="296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$0.01</w:t>
            </w:r>
          </w:p>
        </w:tc>
        <w:tc>
          <w:tcPr>
            <w:tcW w:w="100" w:type="dxa"/>
            <w:vAlign w:val="bottom"/>
            <w:shd w:val="clear" w:color="auto" w:fill="E5FFFF"/>
          </w:tcPr>
          <w:p>
            <w:pPr>
              <w:spacing w:after="0"/>
              <w:rPr>
                <w:sz w:val="19"/>
                <w:szCs w:val="19"/>
                <w:color w:val="auto"/>
              </w:rPr>
            </w:pPr>
          </w:p>
        </w:tc>
        <w:tc>
          <w:tcPr>
            <w:tcW w:w="2000" w:type="dxa"/>
            <w:vAlign w:val="bottom"/>
            <w:gridSpan w:val="2"/>
            <w:shd w:val="clear" w:color="auto" w:fill="E5FFFF"/>
          </w:tcPr>
          <w:p>
            <w:pPr>
              <w:jc w:val="center"/>
              <w:ind w:right="100"/>
              <w:spacing w:after="0"/>
              <w:rPr>
                <w:sz w:val="20"/>
                <w:szCs w:val="20"/>
                <w:color w:val="auto"/>
              </w:rPr>
            </w:pPr>
            <w:r>
              <w:rPr>
                <w:rFonts w:ascii="Times New Roman" w:cs="Times New Roman" w:eastAsia="Times New Roman" w:hAnsi="Times New Roman"/>
                <w:sz w:val="16"/>
                <w:szCs w:val="16"/>
                <w:color w:val="auto"/>
              </w:rPr>
              <w:t>May 11, 2022</w:t>
            </w: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522</w:t>
            </w:r>
          </w:p>
        </w:tc>
      </w:tr>
      <w:tr>
        <w:trPr>
          <w:trHeight w:val="210"/>
        </w:trPr>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May 12, 2022</w:t>
            </w:r>
          </w:p>
        </w:tc>
        <w:tc>
          <w:tcPr>
            <w:tcW w:w="2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Preference (Series A, B, C)</w:t>
            </w:r>
          </w:p>
        </w:tc>
        <w:tc>
          <w:tcPr>
            <w:tcW w:w="2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$0.5390625, $0.5125, $0.53125</w:t>
            </w:r>
          </w:p>
        </w:tc>
        <w:tc>
          <w:tcPr>
            <w:tcW w:w="100" w:type="dxa"/>
            <w:vAlign w:val="bottom"/>
          </w:tcPr>
          <w:p>
            <w:pPr>
              <w:spacing w:after="0"/>
              <w:rPr>
                <w:sz w:val="18"/>
                <w:szCs w:val="18"/>
                <w:color w:val="auto"/>
              </w:rPr>
            </w:pP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June 15, 2022</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6,898</w:t>
            </w:r>
          </w:p>
        </w:tc>
      </w:tr>
      <w:tr>
        <w:trPr>
          <w:trHeight w:val="222"/>
        </w:trPr>
        <w:tc>
          <w:tcPr>
            <w:tcW w:w="1800" w:type="dxa"/>
            <w:vAlign w:val="bottom"/>
            <w:gridSpan w:val="2"/>
            <w:shd w:val="clear" w:color="auto" w:fill="E5FFFF"/>
          </w:tcPr>
          <w:p>
            <w:pPr>
              <w:jc w:val="center"/>
              <w:ind w:right="120"/>
              <w:spacing w:after="0"/>
              <w:rPr>
                <w:sz w:val="20"/>
                <w:szCs w:val="20"/>
                <w:color w:val="auto"/>
              </w:rPr>
            </w:pPr>
            <w:r>
              <w:rPr>
                <w:rFonts w:ascii="Times New Roman" w:cs="Times New Roman" w:eastAsia="Times New Roman" w:hAnsi="Times New Roman"/>
                <w:sz w:val="16"/>
                <w:szCs w:val="16"/>
                <w:color w:val="auto"/>
              </w:rPr>
              <w:t>July 27, 2022</w:t>
            </w:r>
          </w:p>
        </w:tc>
        <w:tc>
          <w:tcPr>
            <w:tcW w:w="2440" w:type="dxa"/>
            <w:vAlign w:val="bottom"/>
            <w:gridSpan w:val="2"/>
            <w:shd w:val="clear" w:color="auto" w:fill="E5FFFF"/>
          </w:tcPr>
          <w:p>
            <w:pPr>
              <w:jc w:val="center"/>
              <w:ind w:right="100"/>
              <w:spacing w:after="0"/>
              <w:rPr>
                <w:sz w:val="20"/>
                <w:szCs w:val="20"/>
                <w:color w:val="auto"/>
              </w:rPr>
            </w:pPr>
            <w:r>
              <w:rPr>
                <w:rFonts w:ascii="Times New Roman" w:cs="Times New Roman" w:eastAsia="Times New Roman" w:hAnsi="Times New Roman"/>
                <w:sz w:val="16"/>
                <w:szCs w:val="16"/>
                <w:color w:val="auto"/>
              </w:rPr>
              <w:t>Common</w:t>
            </w:r>
          </w:p>
        </w:tc>
        <w:tc>
          <w:tcPr>
            <w:tcW w:w="296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$0.01</w:t>
            </w:r>
          </w:p>
        </w:tc>
        <w:tc>
          <w:tcPr>
            <w:tcW w:w="100" w:type="dxa"/>
            <w:vAlign w:val="bottom"/>
            <w:shd w:val="clear" w:color="auto" w:fill="E5FFFF"/>
          </w:tcPr>
          <w:p>
            <w:pPr>
              <w:spacing w:after="0"/>
              <w:rPr>
                <w:sz w:val="19"/>
                <w:szCs w:val="19"/>
                <w:color w:val="auto"/>
              </w:rPr>
            </w:pPr>
          </w:p>
        </w:tc>
        <w:tc>
          <w:tcPr>
            <w:tcW w:w="2000" w:type="dxa"/>
            <w:vAlign w:val="bottom"/>
            <w:gridSpan w:val="2"/>
            <w:shd w:val="clear" w:color="auto" w:fill="E5FF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August 11, 2022</w:t>
            </w: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528</w:t>
            </w:r>
          </w:p>
        </w:tc>
      </w:tr>
      <w:tr>
        <w:trPr>
          <w:trHeight w:val="210"/>
        </w:trPr>
        <w:tc>
          <w:tcPr>
            <w:tcW w:w="1800" w:type="dxa"/>
            <w:vAlign w:val="bottom"/>
            <w:tcBorders>
              <w:bottom w:val="single" w:sz="8" w:color="E5FFFF"/>
            </w:tcBorders>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July 27, 2022</w:t>
            </w:r>
          </w:p>
        </w:tc>
        <w:tc>
          <w:tcPr>
            <w:tcW w:w="2440" w:type="dxa"/>
            <w:vAlign w:val="bottom"/>
            <w:tcBorders>
              <w:bottom w:val="single" w:sz="8" w:color="E5FFFF"/>
            </w:tcBorders>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Preference (Series A, B, C)</w:t>
            </w:r>
          </w:p>
        </w:tc>
        <w:tc>
          <w:tcPr>
            <w:tcW w:w="2960" w:type="dxa"/>
            <w:vAlign w:val="bottom"/>
            <w:tcBorders>
              <w:bottom w:val="single" w:sz="8" w:color="E5FFFF"/>
            </w:tcBorders>
          </w:tcPr>
          <w:p>
            <w:pPr>
              <w:jc w:val="center"/>
              <w:spacing w:after="0"/>
              <w:rPr>
                <w:sz w:val="20"/>
                <w:szCs w:val="20"/>
                <w:color w:val="auto"/>
              </w:rPr>
            </w:pPr>
            <w:r>
              <w:rPr>
                <w:rFonts w:ascii="Times New Roman" w:cs="Times New Roman" w:eastAsia="Times New Roman" w:hAnsi="Times New Roman"/>
                <w:sz w:val="16"/>
                <w:szCs w:val="16"/>
                <w:color w:val="auto"/>
              </w:rPr>
              <w:t>$0.5390625, $0.5125, $0.53125</w:t>
            </w:r>
          </w:p>
        </w:tc>
        <w:tc>
          <w:tcPr>
            <w:tcW w:w="100" w:type="dxa"/>
            <w:vAlign w:val="bottom"/>
            <w:tcBorders>
              <w:bottom w:val="single" w:sz="8" w:color="E5FFFF"/>
            </w:tcBorders>
          </w:tcPr>
          <w:p>
            <w:pPr>
              <w:spacing w:after="0"/>
              <w:rPr>
                <w:sz w:val="18"/>
                <w:szCs w:val="18"/>
                <w:color w:val="auto"/>
              </w:rPr>
            </w:pPr>
          </w:p>
        </w:tc>
        <w:tc>
          <w:tcPr>
            <w:tcW w:w="2000" w:type="dxa"/>
            <w:vAlign w:val="bottom"/>
            <w:tcBorders>
              <w:bottom w:val="single" w:sz="8" w:color="E5FFFF"/>
            </w:tcBorders>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September 15, 2022</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6,777</w:t>
            </w:r>
          </w:p>
        </w:tc>
      </w:tr>
      <w:tr>
        <w:trPr>
          <w:trHeight w:val="202"/>
        </w:trPr>
        <w:tc>
          <w:tcPr>
            <w:tcW w:w="1700" w:type="dxa"/>
            <w:vAlign w:val="bottom"/>
            <w:tcBorders>
              <w:bottom w:val="single" w:sz="8" w:color="E5FFFF"/>
            </w:tcBorders>
            <w:shd w:val="clear" w:color="auto" w:fill="E5FFFF"/>
          </w:tcPr>
          <w:p>
            <w:pPr>
              <w:spacing w:after="0"/>
              <w:rPr>
                <w:sz w:val="17"/>
                <w:szCs w:val="17"/>
                <w:color w:val="auto"/>
              </w:rPr>
            </w:pPr>
          </w:p>
        </w:tc>
        <w:tc>
          <w:tcPr>
            <w:tcW w:w="100" w:type="dxa"/>
            <w:vAlign w:val="bottom"/>
            <w:tcBorders>
              <w:bottom w:val="single" w:sz="8" w:color="E5FFFF"/>
            </w:tcBorders>
            <w:shd w:val="clear" w:color="auto" w:fill="E5FFFF"/>
          </w:tcPr>
          <w:p>
            <w:pPr>
              <w:spacing w:after="0"/>
              <w:rPr>
                <w:sz w:val="17"/>
                <w:szCs w:val="17"/>
                <w:color w:val="auto"/>
              </w:rPr>
            </w:pPr>
          </w:p>
        </w:tc>
        <w:tc>
          <w:tcPr>
            <w:tcW w:w="2340" w:type="dxa"/>
            <w:vAlign w:val="bottom"/>
            <w:tcBorders>
              <w:bottom w:val="single" w:sz="8" w:color="E5FFFF"/>
            </w:tcBorders>
            <w:shd w:val="clear" w:color="auto" w:fill="E5FFFF"/>
          </w:tcPr>
          <w:p>
            <w:pPr>
              <w:spacing w:after="0"/>
              <w:rPr>
                <w:sz w:val="17"/>
                <w:szCs w:val="17"/>
                <w:color w:val="auto"/>
              </w:rPr>
            </w:pPr>
          </w:p>
        </w:tc>
        <w:tc>
          <w:tcPr>
            <w:tcW w:w="100" w:type="dxa"/>
            <w:vAlign w:val="bottom"/>
            <w:tcBorders>
              <w:bottom w:val="single" w:sz="8" w:color="E5FFFF"/>
            </w:tcBorders>
            <w:shd w:val="clear" w:color="auto" w:fill="E5FFFF"/>
          </w:tcPr>
          <w:p>
            <w:pPr>
              <w:spacing w:after="0"/>
              <w:rPr>
                <w:sz w:val="17"/>
                <w:szCs w:val="17"/>
                <w:color w:val="auto"/>
              </w:rPr>
            </w:pPr>
          </w:p>
        </w:tc>
        <w:tc>
          <w:tcPr>
            <w:tcW w:w="2960" w:type="dxa"/>
            <w:vAlign w:val="bottom"/>
            <w:tcBorders>
              <w:bottom w:val="single" w:sz="8" w:color="E5FFFF"/>
            </w:tcBorders>
            <w:shd w:val="clear" w:color="auto" w:fill="E5FFFF"/>
          </w:tcPr>
          <w:p>
            <w:pPr>
              <w:spacing w:after="0"/>
              <w:rPr>
                <w:sz w:val="17"/>
                <w:szCs w:val="17"/>
                <w:color w:val="auto"/>
              </w:rPr>
            </w:pPr>
          </w:p>
        </w:tc>
        <w:tc>
          <w:tcPr>
            <w:tcW w:w="100" w:type="dxa"/>
            <w:vAlign w:val="bottom"/>
            <w:tcBorders>
              <w:bottom w:val="single" w:sz="8" w:color="E5FFFF"/>
            </w:tcBorders>
            <w:shd w:val="clear" w:color="auto" w:fill="E5FFFF"/>
          </w:tcPr>
          <w:p>
            <w:pPr>
              <w:spacing w:after="0"/>
              <w:rPr>
                <w:sz w:val="17"/>
                <w:szCs w:val="17"/>
                <w:color w:val="auto"/>
              </w:rPr>
            </w:pPr>
          </w:p>
        </w:tc>
        <w:tc>
          <w:tcPr>
            <w:tcW w:w="2000" w:type="dxa"/>
            <w:vAlign w:val="bottom"/>
            <w:tcBorders>
              <w:bottom w:val="single" w:sz="8" w:color="E5FFFF"/>
            </w:tcBorders>
            <w:gridSpan w:val="2"/>
            <w:shd w:val="clear" w:color="auto" w:fill="E5FF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12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$22,359</w:t>
            </w:r>
          </w:p>
        </w:tc>
      </w:tr>
      <w:tr>
        <w:trPr>
          <w:trHeight w:val="20"/>
        </w:trPr>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41" w:right="359" w:bottom="1440" w:gutter="0" w:footer="0" w:header="0"/>
          <w:type w:val="continuous"/>
        </w:sectPr>
      </w:pPr>
    </w:p>
    <w:bookmarkStart w:id="29" w:name="page30"/>
    <w:bookmarkEnd w:id="29"/>
    <w:p>
      <w:pPr>
        <w:ind w:right="20" w:firstLine="324"/>
        <w:spacing w:after="0" w:line="275" w:lineRule="auto"/>
        <w:rPr>
          <w:sz w:val="20"/>
          <w:szCs w:val="20"/>
          <w:color w:val="auto"/>
        </w:rPr>
      </w:pPr>
      <w:r>
        <w:rPr>
          <w:rFonts w:ascii="Times New Roman" w:cs="Times New Roman" w:eastAsia="Times New Roman" w:hAnsi="Times New Roman"/>
          <w:sz w:val="16"/>
          <w:szCs w:val="16"/>
          <w:color w:val="auto"/>
        </w:rPr>
        <w:t>On April 1, 2022, GasLog Partners issued 33,700 common units in connection with the vesting of 19,638 Restricted Common Units (“RCUs”) and 14,062 Performance Common Units (“PCUs”) under its 2015 Long-Term Incentive Plan (the “2015 Plan”). On June 30, 2022, GasLog Partners issued 101,964 common units in connection with the vesting of 50,982 RCUs and 50,982 PCUs under its 2015 Plan. During this period, the Partnership also issued 2,769 general partner units to its general partner in order for GasLog to retain its 2.0% general partner interest for net proceeds of $16.</w:t>
      </w:r>
    </w:p>
    <w:p>
      <w:pPr>
        <w:spacing w:after="0" w:line="183" w:lineRule="exact"/>
        <w:rPr>
          <w:sz w:val="20"/>
          <w:szCs w:val="20"/>
          <w:color w:val="auto"/>
        </w:rPr>
      </w:pPr>
    </w:p>
    <w:p>
      <w:pPr>
        <w:ind w:right="240" w:firstLine="324"/>
        <w:spacing w:after="0" w:line="298" w:lineRule="auto"/>
        <w:rPr>
          <w:sz w:val="20"/>
          <w:szCs w:val="20"/>
          <w:color w:val="auto"/>
        </w:rPr>
      </w:pPr>
      <w:r>
        <w:rPr>
          <w:rFonts w:ascii="Times New Roman" w:cs="Times New Roman" w:eastAsia="Times New Roman" w:hAnsi="Times New Roman"/>
          <w:sz w:val="16"/>
          <w:szCs w:val="16"/>
          <w:color w:val="auto"/>
        </w:rPr>
        <w:t>On July 1, 2022, GasLog Partners issued 415,000 common units in connection with GasLog’s option to convert the third tranche of its Class B units issued upon the elimination of incentive distributions rights in June 2019.</w:t>
      </w:r>
    </w:p>
    <w:p>
      <w:pPr>
        <w:spacing w:after="0" w:line="164" w:lineRule="exact"/>
        <w:rPr>
          <w:sz w:val="20"/>
          <w:szCs w:val="20"/>
          <w:color w:val="auto"/>
        </w:rPr>
      </w:pPr>
    </w:p>
    <w:p>
      <w:pPr>
        <w:ind w:right="340" w:firstLine="324"/>
        <w:spacing w:after="0" w:line="271" w:lineRule="auto"/>
        <w:rPr>
          <w:sz w:val="20"/>
          <w:szCs w:val="20"/>
          <w:color w:val="auto"/>
        </w:rPr>
      </w:pPr>
      <w:r>
        <w:rPr>
          <w:rFonts w:ascii="Times New Roman" w:cs="Times New Roman" w:eastAsia="Times New Roman" w:hAnsi="Times New Roman"/>
          <w:sz w:val="16"/>
          <w:szCs w:val="16"/>
          <w:color w:val="auto"/>
        </w:rPr>
        <w:t>In the nine months ended September 30, 2022, under the Partnership’s preference unit repurchase programme established in March 2021 and covering the period March 11, 2021 to March 31, 2023, GasLog Partners repurchased and cancelled 313,779 8.625% Series A Cumulative Redeemable Perpetual Fixed to Floating Rate Preference Units (the “Series A Preference Units”), 511,537 8.200% Series B Cumulative Redeemable Perpetual Fixed to Floating Rate Preference Units (the “Series B Preference Units”) and 524,594 8.500% Series C Cumulative Redeemable Perpetual Fixed to Floating Rate Preference Units (the “Series C Preference Units”). The aggregate amount paid during the period for repurchases of preference units was $38,744, including commissions and an amount of $4,678 relating to 90,841 Series A Preference Units, 70,000 Series B Preference Units and 27,000 Series C Preference Units, which were cancelled on October 3, 2022 (Note 16).</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4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7. Borrowings</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14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2"/>
        </w:trPr>
        <w:tc>
          <w:tcPr>
            <w:tcW w:w="140" w:type="dxa"/>
            <w:vAlign w:val="bottom"/>
          </w:tcPr>
          <w:p>
            <w:pPr>
              <w:spacing w:after="0"/>
              <w:rPr>
                <w:sz w:val="18"/>
                <w:szCs w:val="18"/>
                <w:color w:val="auto"/>
              </w:rPr>
            </w:pPr>
          </w:p>
        </w:tc>
        <w:tc>
          <w:tcPr>
            <w:tcW w:w="8280" w:type="dxa"/>
            <w:vAlign w:val="bottom"/>
            <w:tcBorders>
              <w:bottom w:val="single" w:sz="8" w:color="E5FFFF"/>
            </w:tcBorders>
          </w:tcPr>
          <w:p>
            <w:pPr>
              <w:spacing w:after="0"/>
              <w:rPr>
                <w:sz w:val="18"/>
                <w:szCs w:val="18"/>
                <w:color w:val="auto"/>
              </w:rPr>
            </w:pPr>
          </w:p>
        </w:tc>
        <w:tc>
          <w:tcPr>
            <w:tcW w:w="13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E5FFFF"/>
            </w:tcBorders>
          </w:tcPr>
          <w:p>
            <w:pPr>
              <w:spacing w:after="0"/>
              <w:rPr>
                <w:sz w:val="18"/>
                <w:szCs w:val="18"/>
                <w:color w:val="auto"/>
              </w:rPr>
            </w:pPr>
          </w:p>
        </w:tc>
        <w:tc>
          <w:tcPr>
            <w:tcW w:w="12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40" w:type="dxa"/>
            <w:vAlign w:val="bottom"/>
          </w:tcPr>
          <w:p>
            <w:pPr>
              <w:spacing w:after="0"/>
              <w:rPr>
                <w:sz w:val="17"/>
                <w:szCs w:val="17"/>
                <w:color w:val="auto"/>
              </w:rPr>
            </w:pPr>
          </w:p>
        </w:tc>
        <w:tc>
          <w:tcPr>
            <w:tcW w:w="82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Amounts due within one year</w:t>
            </w:r>
          </w:p>
        </w:tc>
        <w:tc>
          <w:tcPr>
            <w:tcW w:w="13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103,493</w:t>
            </w:r>
          </w:p>
        </w:tc>
        <w:tc>
          <w:tcPr>
            <w:tcW w:w="120" w:type="dxa"/>
            <w:vAlign w:val="bottom"/>
            <w:shd w:val="clear" w:color="auto" w:fill="E5FFFF"/>
          </w:tcPr>
          <w:p>
            <w:pPr>
              <w:spacing w:after="0"/>
              <w:rPr>
                <w:sz w:val="17"/>
                <w:szCs w:val="17"/>
                <w:color w:val="auto"/>
              </w:rPr>
            </w:pPr>
          </w:p>
        </w:tc>
        <w:tc>
          <w:tcPr>
            <w:tcW w:w="12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126,903</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Times New Roman" w:cs="Times New Roman" w:eastAsia="Times New Roman" w:hAnsi="Times New Roman"/>
                <w:sz w:val="16"/>
                <w:szCs w:val="16"/>
                <w:color w:val="auto"/>
              </w:rPr>
              <w:t>Less: unamortized deferred loan issuance costs</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(4,186)</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(4,052</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40" w:type="dxa"/>
            <w:vAlign w:val="bottom"/>
          </w:tcPr>
          <w:p>
            <w:pPr>
              <w:spacing w:after="0"/>
              <w:rPr>
                <w:sz w:val="17"/>
                <w:szCs w:val="17"/>
                <w:color w:val="auto"/>
              </w:rPr>
            </w:pPr>
          </w:p>
        </w:tc>
        <w:tc>
          <w:tcPr>
            <w:tcW w:w="828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Borrowings – current portion</w:t>
            </w:r>
          </w:p>
        </w:tc>
        <w:tc>
          <w:tcPr>
            <w:tcW w:w="13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99,307</w:t>
            </w:r>
          </w:p>
        </w:tc>
        <w:tc>
          <w:tcPr>
            <w:tcW w:w="120" w:type="dxa"/>
            <w:vAlign w:val="bottom"/>
            <w:tcBorders>
              <w:top w:val="single" w:sz="8" w:color="E5FFFF"/>
            </w:tcBorders>
            <w:shd w:val="clear" w:color="auto" w:fill="E5FFFF"/>
          </w:tcPr>
          <w:p>
            <w:pPr>
              <w:spacing w:after="0"/>
              <w:rPr>
                <w:sz w:val="17"/>
                <w:szCs w:val="17"/>
                <w:color w:val="auto"/>
              </w:rPr>
            </w:pPr>
          </w:p>
        </w:tc>
        <w:tc>
          <w:tcPr>
            <w:tcW w:w="12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122,851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8280" w:type="dxa"/>
            <w:vAlign w:val="bottom"/>
          </w:tcPr>
          <w:p>
            <w:pPr>
              <w:spacing w:after="0"/>
              <w:rPr>
                <w:sz w:val="20"/>
                <w:szCs w:val="20"/>
                <w:color w:val="auto"/>
              </w:rPr>
            </w:pPr>
            <w:r>
              <w:rPr>
                <w:rFonts w:ascii="Times New Roman" w:cs="Times New Roman" w:eastAsia="Times New Roman" w:hAnsi="Times New Roman"/>
                <w:sz w:val="16"/>
                <w:szCs w:val="16"/>
                <w:color w:val="auto"/>
              </w:rPr>
              <w:t>Amounts due after one year</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996,242</w:t>
            </w: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854,461</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82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Less: unamortized deferred loan issuance costs</w:t>
            </w:r>
          </w:p>
        </w:tc>
        <w:tc>
          <w:tcPr>
            <w:tcW w:w="130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(9,791)</w:t>
            </w:r>
          </w:p>
        </w:tc>
        <w:tc>
          <w:tcPr>
            <w:tcW w:w="120" w:type="dxa"/>
            <w:vAlign w:val="bottom"/>
          </w:tcPr>
          <w:p>
            <w:pPr>
              <w:spacing w:after="0"/>
              <w:rPr>
                <w:sz w:val="18"/>
                <w:szCs w:val="18"/>
                <w:color w:val="auto"/>
              </w:rPr>
            </w:pPr>
          </w:p>
        </w:tc>
        <w:tc>
          <w:tcPr>
            <w:tcW w:w="120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(6,473</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828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b w:val="1"/>
                <w:bCs w:val="1"/>
                <w:color w:val="auto"/>
              </w:rPr>
              <w:t>Borrowings – non-current portion</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986,451</w:t>
            </w:r>
          </w:p>
        </w:tc>
        <w:tc>
          <w:tcPr>
            <w:tcW w:w="120" w:type="dxa"/>
            <w:vAlign w:val="bottom"/>
            <w:tcBorders>
              <w:bottom w:val="single" w:sz="8" w:color="E5FFFF"/>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847,988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8280" w:type="dxa"/>
            <w:vAlign w:val="bottom"/>
            <w:tcBorders>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30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1,085,758</w:t>
            </w:r>
          </w:p>
        </w:tc>
        <w:tc>
          <w:tcPr>
            <w:tcW w:w="120" w:type="dxa"/>
            <w:vAlign w:val="bottom"/>
            <w:tcBorders>
              <w:bottom w:val="single" w:sz="8" w:color="E5FFFF"/>
            </w:tcBorders>
            <w:shd w:val="clear" w:color="auto" w:fill="E5FFFF"/>
          </w:tcPr>
          <w:p>
            <w:pPr>
              <w:spacing w:after="0"/>
              <w:rPr>
                <w:sz w:val="17"/>
                <w:szCs w:val="17"/>
                <w:color w:val="auto"/>
              </w:rPr>
            </w:pPr>
          </w:p>
        </w:tc>
        <w:tc>
          <w:tcPr>
            <w:tcW w:w="120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970,839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80" w:firstLine="324"/>
        <w:spacing w:after="0" w:line="298" w:lineRule="auto"/>
        <w:rPr>
          <w:sz w:val="20"/>
          <w:szCs w:val="20"/>
          <w:color w:val="auto"/>
        </w:rPr>
      </w:pPr>
      <w:r>
        <w:rPr>
          <w:rFonts w:ascii="Times New Roman" w:cs="Times New Roman" w:eastAsia="Times New Roman" w:hAnsi="Times New Roman"/>
          <w:sz w:val="16"/>
          <w:szCs w:val="16"/>
          <w:color w:val="auto"/>
        </w:rPr>
        <w:t>The main terms of the credit facilities, including financial covenants, and the Sponsor Credit Facility have been disclosed in the annual consolidated financial statements for the year ended December 31, 2021. Refer to Note 7 “Borrowings”.</w:t>
      </w:r>
    </w:p>
    <w:p>
      <w:pPr>
        <w:spacing w:after="0" w:line="164" w:lineRule="exact"/>
        <w:rPr>
          <w:sz w:val="20"/>
          <w:szCs w:val="20"/>
          <w:color w:val="auto"/>
        </w:rPr>
      </w:pPr>
    </w:p>
    <w:p>
      <w:pPr>
        <w:ind w:firstLine="324"/>
        <w:spacing w:after="0" w:line="272" w:lineRule="auto"/>
        <w:rPr>
          <w:sz w:val="20"/>
          <w:szCs w:val="20"/>
          <w:color w:val="auto"/>
        </w:rPr>
      </w:pPr>
      <w:r>
        <w:rPr>
          <w:rFonts w:ascii="Times New Roman" w:cs="Times New Roman" w:eastAsia="Times New Roman" w:hAnsi="Times New Roman"/>
          <w:sz w:val="16"/>
          <w:szCs w:val="16"/>
          <w:color w:val="auto"/>
        </w:rPr>
        <w:t>In July 2022, pursuant to a “margin reset clause” included in the credit agreement of $193,713 with DNB Bank ASA, London Branch and ING Bank N.V., London Branch (the “Lenders”), which required the Lenders and GAS-nineteen Ltd., GAS-twenty one Ltd., and GAS-twenty seven Ltd. (together, the “Borrowers”) to renegotiate the facility’s margin, the Borrowers and Lenders agreed for the margin to remain unchanged and the facility to be transitioned from the three-month USD London Interbank Offered Rate (“LIBOR”) to the three-month Chicago Mercantile Exchange (“CME”) Term Secured Overnight Financing Rate (“SOFR”) Reference Rates as administered by CME Group Benchmark Administration Limited (“CBA”), effective July 21, 2022.</w:t>
      </w:r>
    </w:p>
    <w:p>
      <w:pPr>
        <w:spacing w:after="0" w:line="184"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6"/>
          <w:szCs w:val="16"/>
          <w:color w:val="auto"/>
        </w:rPr>
        <w:t xml:space="preserve">On September 14, 2022, the outstanding indebtedness of GAS-twenty Ltd. in the amount of $32,154 was prepaid pursuant to the sale of the </w:t>
      </w:r>
      <w:r>
        <w:rPr>
          <w:rFonts w:ascii="Times New Roman" w:cs="Times New Roman" w:eastAsia="Times New Roman" w:hAnsi="Times New Roman"/>
          <w:sz w:val="16"/>
          <w:szCs w:val="16"/>
          <w:i w:val="1"/>
          <w:iCs w:val="1"/>
          <w:color w:val="auto"/>
        </w:rPr>
        <w:t>Methane Shirley Elisabeth</w:t>
      </w:r>
      <w:r>
        <w:rPr>
          <w:rFonts w:ascii="Times New Roman" w:cs="Times New Roman" w:eastAsia="Times New Roman" w:hAnsi="Times New Roman"/>
          <w:sz w:val="16"/>
          <w:szCs w:val="16"/>
          <w:color w:val="auto"/>
        </w:rPr>
        <w:t xml:space="preserve"> (refer to Note 4). The relevant advance of the loan agreement was cancelled and the respective unamortized loan fees of $294 written-off to the consolidated statement of profit or loss. Also, in the nine months ended September 30, 2022, the Partnership repaid $86,217 in accordance with the repayment terms under its credit facilities.</w:t>
      </w:r>
    </w:p>
    <w:p>
      <w:pPr>
        <w:spacing w:after="0" w:line="175"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6"/>
          <w:szCs w:val="16"/>
          <w:color w:val="auto"/>
        </w:rPr>
        <w:t xml:space="preserve">The current portion of borrowings includes an amount of $32,565 (debt less unamortized loan issuance costs) with respect to the Steam vessel </w:t>
      </w:r>
      <w:r>
        <w:rPr>
          <w:rFonts w:ascii="Times New Roman" w:cs="Times New Roman" w:eastAsia="Times New Roman" w:hAnsi="Times New Roman"/>
          <w:sz w:val="16"/>
          <w:szCs w:val="16"/>
          <w:i w:val="1"/>
          <w:iCs w:val="1"/>
          <w:color w:val="auto"/>
        </w:rPr>
        <w:t>Methane Heather Sally</w:t>
      </w:r>
      <w:r>
        <w:rPr>
          <w:rFonts w:ascii="Times New Roman" w:cs="Times New Roman" w:eastAsia="Times New Roman" w:hAnsi="Times New Roman"/>
          <w:sz w:val="16"/>
          <w:szCs w:val="16"/>
          <w:color w:val="auto"/>
        </w:rPr>
        <w:t>, classified as “Vessel held for sale” as of September 30, 2022 (Note 4). The amount is expected to be prepaid pursuant to the completion of the sale and lease-back transaction (Note 16).</w:t>
      </w:r>
    </w:p>
    <w:p>
      <w:pPr>
        <w:spacing w:after="0" w:line="177" w:lineRule="exact"/>
        <w:rPr>
          <w:sz w:val="20"/>
          <w:szCs w:val="20"/>
          <w:color w:val="auto"/>
        </w:rPr>
      </w:pPr>
    </w:p>
    <w:p>
      <w:pPr>
        <w:ind w:right="220" w:firstLine="324"/>
        <w:spacing w:after="0" w:line="298" w:lineRule="auto"/>
        <w:rPr>
          <w:sz w:val="20"/>
          <w:szCs w:val="20"/>
          <w:color w:val="auto"/>
        </w:rPr>
      </w:pPr>
      <w:r>
        <w:rPr>
          <w:rFonts w:ascii="Times New Roman" w:cs="Times New Roman" w:eastAsia="Times New Roman" w:hAnsi="Times New Roman"/>
          <w:sz w:val="16"/>
          <w:szCs w:val="16"/>
          <w:color w:val="auto"/>
        </w:rPr>
        <w:t>The carrying amount of the Partnership’s credit facilities recognized in the unaudited condensed consolidated financial statements approximates their fair value after adjusting for the unamortized loan issuance costs.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40" w:type="dxa"/>
            <w:vAlign w:val="bottom"/>
          </w:tcPr>
          <w:p>
            <w:pPr>
              <w:spacing w:after="0"/>
              <w:rPr>
                <w:sz w:val="18"/>
                <w:szCs w:val="18"/>
                <w:color w:val="auto"/>
              </w:rPr>
            </w:pPr>
          </w:p>
        </w:tc>
        <w:tc>
          <w:tcPr>
            <w:tcW w:w="8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GasLog Partners was in compliance with its financial covenants as of September 30, 2022.</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418"/>
        </w:trPr>
        <w:tc>
          <w:tcPr>
            <w:tcW w:w="84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8. Other Payables and Accruals</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18"/>
        </w:trPr>
        <w:tc>
          <w:tcPr>
            <w:tcW w:w="140" w:type="dxa"/>
            <w:vAlign w:val="bottom"/>
          </w:tcPr>
          <w:p>
            <w:pPr>
              <w:spacing w:after="0"/>
              <w:rPr>
                <w:sz w:val="24"/>
                <w:szCs w:val="24"/>
                <w:color w:val="auto"/>
              </w:rPr>
            </w:pPr>
          </w:p>
        </w:tc>
        <w:tc>
          <w:tcPr>
            <w:tcW w:w="8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An analysis of other payables and accruals is as follows:</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09"/>
        </w:trPr>
        <w:tc>
          <w:tcPr>
            <w:tcW w:w="14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2"/>
        </w:trPr>
        <w:tc>
          <w:tcPr>
            <w:tcW w:w="140" w:type="dxa"/>
            <w:vAlign w:val="bottom"/>
          </w:tcPr>
          <w:p>
            <w:pPr>
              <w:spacing w:after="0"/>
              <w:rPr>
                <w:sz w:val="18"/>
                <w:szCs w:val="18"/>
                <w:color w:val="auto"/>
              </w:rPr>
            </w:pPr>
          </w:p>
        </w:tc>
        <w:tc>
          <w:tcPr>
            <w:tcW w:w="8280" w:type="dxa"/>
            <w:vAlign w:val="bottom"/>
            <w:tcBorders>
              <w:bottom w:val="single" w:sz="8" w:color="E5FFFF"/>
            </w:tcBorders>
          </w:tcPr>
          <w:p>
            <w:pPr>
              <w:spacing w:after="0"/>
              <w:rPr>
                <w:sz w:val="18"/>
                <w:szCs w:val="18"/>
                <w:color w:val="auto"/>
              </w:rPr>
            </w:pPr>
          </w:p>
        </w:tc>
        <w:tc>
          <w:tcPr>
            <w:tcW w:w="13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E5FFFF"/>
            </w:tcBorders>
          </w:tcPr>
          <w:p>
            <w:pPr>
              <w:spacing w:after="0"/>
              <w:rPr>
                <w:sz w:val="18"/>
                <w:szCs w:val="18"/>
                <w:color w:val="auto"/>
              </w:rPr>
            </w:pPr>
          </w:p>
        </w:tc>
        <w:tc>
          <w:tcPr>
            <w:tcW w:w="12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2"/>
        </w:trPr>
        <w:tc>
          <w:tcPr>
            <w:tcW w:w="140" w:type="dxa"/>
            <w:vAlign w:val="bottom"/>
          </w:tcPr>
          <w:p>
            <w:pPr>
              <w:spacing w:after="0"/>
              <w:rPr>
                <w:sz w:val="17"/>
                <w:szCs w:val="17"/>
                <w:color w:val="auto"/>
              </w:rPr>
            </w:pPr>
          </w:p>
        </w:tc>
        <w:tc>
          <w:tcPr>
            <w:tcW w:w="82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Unearned revenue</w:t>
            </w:r>
          </w:p>
        </w:tc>
        <w:tc>
          <w:tcPr>
            <w:tcW w:w="13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28,325</w:t>
            </w:r>
          </w:p>
        </w:tc>
        <w:tc>
          <w:tcPr>
            <w:tcW w:w="120" w:type="dxa"/>
            <w:vAlign w:val="bottom"/>
            <w:shd w:val="clear" w:color="auto" w:fill="E5FFFF"/>
          </w:tcPr>
          <w:p>
            <w:pPr>
              <w:spacing w:after="0"/>
              <w:rPr>
                <w:sz w:val="17"/>
                <w:szCs w:val="17"/>
                <w:color w:val="auto"/>
              </w:rPr>
            </w:pPr>
          </w:p>
        </w:tc>
        <w:tc>
          <w:tcPr>
            <w:tcW w:w="12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28,244</w:t>
            </w:r>
          </w:p>
        </w:tc>
      </w:tr>
      <w:tr>
        <w:trPr>
          <w:trHeight w:val="210"/>
        </w:trPr>
        <w:tc>
          <w:tcPr>
            <w:tcW w:w="14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Times New Roman" w:cs="Times New Roman" w:eastAsia="Times New Roman" w:hAnsi="Times New Roman"/>
                <w:sz w:val="16"/>
                <w:szCs w:val="16"/>
                <w:color w:val="auto"/>
              </w:rPr>
              <w:t>Accrued off-hire</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1,768</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1,801</w:t>
            </w:r>
          </w:p>
        </w:tc>
      </w:tr>
      <w:tr>
        <w:trPr>
          <w:trHeight w:val="222"/>
        </w:trPr>
        <w:tc>
          <w:tcPr>
            <w:tcW w:w="140" w:type="dxa"/>
            <w:vAlign w:val="bottom"/>
          </w:tcPr>
          <w:p>
            <w:pPr>
              <w:spacing w:after="0"/>
              <w:rPr>
                <w:sz w:val="19"/>
                <w:szCs w:val="19"/>
                <w:color w:val="auto"/>
              </w:rPr>
            </w:pPr>
          </w:p>
        </w:tc>
        <w:tc>
          <w:tcPr>
            <w:tcW w:w="82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Accrued purchases</w:t>
            </w:r>
          </w:p>
        </w:tc>
        <w:tc>
          <w:tcPr>
            <w:tcW w:w="13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3,273</w:t>
            </w:r>
          </w:p>
        </w:tc>
        <w:tc>
          <w:tcPr>
            <w:tcW w:w="120" w:type="dxa"/>
            <w:vAlign w:val="bottom"/>
            <w:shd w:val="clear" w:color="auto" w:fill="E5FFFF"/>
          </w:tcPr>
          <w:p>
            <w:pPr>
              <w:spacing w:after="0"/>
              <w:rPr>
                <w:sz w:val="19"/>
                <w:szCs w:val="19"/>
                <w:color w:val="auto"/>
              </w:rPr>
            </w:pPr>
          </w:p>
        </w:tc>
        <w:tc>
          <w:tcPr>
            <w:tcW w:w="12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2,373</w:t>
            </w:r>
          </w:p>
        </w:tc>
      </w:tr>
      <w:tr>
        <w:trPr>
          <w:trHeight w:val="210"/>
        </w:trPr>
        <w:tc>
          <w:tcPr>
            <w:tcW w:w="14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Times New Roman" w:cs="Times New Roman" w:eastAsia="Times New Roman" w:hAnsi="Times New Roman"/>
                <w:sz w:val="16"/>
                <w:szCs w:val="16"/>
                <w:color w:val="auto"/>
              </w:rPr>
              <w:t>Accrued interest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9,180</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8,597</w:t>
            </w:r>
          </w:p>
        </w:tc>
      </w:tr>
      <w:tr>
        <w:trPr>
          <w:trHeight w:val="222"/>
        </w:trPr>
        <w:tc>
          <w:tcPr>
            <w:tcW w:w="140" w:type="dxa"/>
            <w:vAlign w:val="bottom"/>
          </w:tcPr>
          <w:p>
            <w:pPr>
              <w:spacing w:after="0"/>
              <w:rPr>
                <w:sz w:val="19"/>
                <w:szCs w:val="19"/>
                <w:color w:val="auto"/>
              </w:rPr>
            </w:pPr>
          </w:p>
        </w:tc>
        <w:tc>
          <w:tcPr>
            <w:tcW w:w="82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Other accruals</w:t>
            </w:r>
          </w:p>
        </w:tc>
        <w:tc>
          <w:tcPr>
            <w:tcW w:w="130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7,625</w:t>
            </w:r>
          </w:p>
        </w:tc>
        <w:tc>
          <w:tcPr>
            <w:tcW w:w="120" w:type="dxa"/>
            <w:vAlign w:val="bottom"/>
            <w:shd w:val="clear" w:color="auto" w:fill="E5FFFF"/>
          </w:tcPr>
          <w:p>
            <w:pPr>
              <w:spacing w:after="0"/>
              <w:rPr>
                <w:sz w:val="19"/>
                <w:szCs w:val="19"/>
                <w:color w:val="auto"/>
              </w:rPr>
            </w:pPr>
          </w:p>
        </w:tc>
        <w:tc>
          <w:tcPr>
            <w:tcW w:w="120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8,900</w:t>
            </w:r>
          </w:p>
        </w:tc>
      </w:tr>
      <w:tr>
        <w:trPr>
          <w:trHeight w:val="196"/>
        </w:trPr>
        <w:tc>
          <w:tcPr>
            <w:tcW w:w="84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50,171</w:t>
            </w:r>
          </w:p>
        </w:tc>
        <w:tc>
          <w:tcPr>
            <w:tcW w:w="12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49,915</w:t>
            </w:r>
          </w:p>
        </w:tc>
      </w:tr>
      <w:tr>
        <w:trPr>
          <w:trHeight w:val="20"/>
        </w:trPr>
        <w:tc>
          <w:tcPr>
            <w:tcW w:w="14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9" w:right="35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12"/>
        </w:trPr>
        <w:tc>
          <w:tcPr>
            <w:tcW w:w="5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9. Revenues</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418"/>
        </w:trPr>
        <w:tc>
          <w:tcPr>
            <w:tcW w:w="120" w:type="dxa"/>
            <w:vAlign w:val="bottom"/>
          </w:tcPr>
          <w:p>
            <w:pPr>
              <w:spacing w:after="0"/>
              <w:rPr>
                <w:sz w:val="24"/>
                <w:szCs w:val="24"/>
                <w:color w:val="auto"/>
              </w:rPr>
            </w:pPr>
          </w:p>
        </w:tc>
        <w:tc>
          <w:tcPr>
            <w:tcW w:w="5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The Partnership has recognized the following amounts relating to revenues:</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22"/>
        </w:trPr>
        <w:tc>
          <w:tcPr>
            <w:tcW w:w="1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2860" w:type="dxa"/>
            <w:vAlign w:val="bottom"/>
            <w:gridSpan w:val="4"/>
          </w:tcPr>
          <w:p>
            <w:pPr>
              <w:ind w:left="40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620" w:type="dxa"/>
            <w:vAlign w:val="bottom"/>
            <w:gridSpan w:val="3"/>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03"/>
        </w:trPr>
        <w:tc>
          <w:tcPr>
            <w:tcW w:w="12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2"/>
        </w:trPr>
        <w:tc>
          <w:tcPr>
            <w:tcW w:w="120" w:type="dxa"/>
            <w:vAlign w:val="bottom"/>
          </w:tcPr>
          <w:p>
            <w:pPr>
              <w:spacing w:after="0"/>
              <w:rPr>
                <w:sz w:val="18"/>
                <w:szCs w:val="18"/>
                <w:color w:val="auto"/>
              </w:rPr>
            </w:pPr>
          </w:p>
        </w:tc>
        <w:tc>
          <w:tcPr>
            <w:tcW w:w="5540" w:type="dxa"/>
            <w:vAlign w:val="bottom"/>
            <w:tcBorders>
              <w:bottom w:val="single" w:sz="8" w:color="E5FFFF"/>
            </w:tcBorders>
          </w:tcPr>
          <w:p>
            <w:pPr>
              <w:spacing w:after="0"/>
              <w:rPr>
                <w:sz w:val="18"/>
                <w:szCs w:val="18"/>
                <w:color w:val="auto"/>
              </w:rPr>
            </w:pPr>
          </w:p>
        </w:tc>
        <w:tc>
          <w:tcPr>
            <w:tcW w:w="13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E5FFFF"/>
            </w:tcBorders>
          </w:tcPr>
          <w:p>
            <w:pPr>
              <w:spacing w:after="0"/>
              <w:rPr>
                <w:sz w:val="18"/>
                <w:szCs w:val="18"/>
                <w:color w:val="auto"/>
              </w:rPr>
            </w:pPr>
          </w:p>
        </w:tc>
        <w:tc>
          <w:tcPr>
            <w:tcW w:w="13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E5FFFF"/>
            </w:tcBorders>
          </w:tcPr>
          <w:p>
            <w:pPr>
              <w:spacing w:after="0"/>
              <w:rPr>
                <w:sz w:val="18"/>
                <w:szCs w:val="18"/>
                <w:color w:val="auto"/>
              </w:rPr>
            </w:pPr>
          </w:p>
        </w:tc>
        <w:tc>
          <w:tcPr>
            <w:tcW w:w="13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E5FFFF"/>
            </w:tcBorders>
          </w:tcPr>
          <w:p>
            <w:pPr>
              <w:spacing w:after="0"/>
              <w:rPr>
                <w:sz w:val="18"/>
                <w:szCs w:val="18"/>
                <w:color w:val="auto"/>
              </w:rPr>
            </w:pPr>
          </w:p>
        </w:tc>
        <w:tc>
          <w:tcPr>
            <w:tcW w:w="12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2"/>
        </w:trPr>
        <w:tc>
          <w:tcPr>
            <w:tcW w:w="120" w:type="dxa"/>
            <w:vAlign w:val="bottom"/>
          </w:tcPr>
          <w:p>
            <w:pPr>
              <w:spacing w:after="0"/>
              <w:rPr>
                <w:sz w:val="17"/>
                <w:szCs w:val="17"/>
                <w:color w:val="auto"/>
              </w:rPr>
            </w:pPr>
          </w:p>
        </w:tc>
        <w:tc>
          <w:tcPr>
            <w:tcW w:w="55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Revenues from long-term time charters</w:t>
            </w:r>
          </w:p>
        </w:tc>
        <w:tc>
          <w:tcPr>
            <w:tcW w:w="13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39,960</w:t>
            </w:r>
          </w:p>
        </w:tc>
        <w:tc>
          <w:tcPr>
            <w:tcW w:w="120" w:type="dxa"/>
            <w:vAlign w:val="bottom"/>
            <w:shd w:val="clear" w:color="auto" w:fill="E5FFFF"/>
          </w:tcPr>
          <w:p>
            <w:pPr>
              <w:spacing w:after="0"/>
              <w:rPr>
                <w:sz w:val="17"/>
                <w:szCs w:val="17"/>
                <w:color w:val="auto"/>
              </w:rPr>
            </w:pPr>
          </w:p>
        </w:tc>
        <w:tc>
          <w:tcPr>
            <w:tcW w:w="13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38,422</w:t>
            </w:r>
          </w:p>
        </w:tc>
        <w:tc>
          <w:tcPr>
            <w:tcW w:w="120" w:type="dxa"/>
            <w:vAlign w:val="bottom"/>
            <w:shd w:val="clear" w:color="auto" w:fill="E5FFFF"/>
          </w:tcPr>
          <w:p>
            <w:pPr>
              <w:spacing w:after="0"/>
              <w:rPr>
                <w:sz w:val="17"/>
                <w:szCs w:val="17"/>
                <w:color w:val="auto"/>
              </w:rPr>
            </w:pPr>
          </w:p>
        </w:tc>
        <w:tc>
          <w:tcPr>
            <w:tcW w:w="13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132,875</w:t>
            </w:r>
          </w:p>
        </w:tc>
        <w:tc>
          <w:tcPr>
            <w:tcW w:w="120" w:type="dxa"/>
            <w:vAlign w:val="bottom"/>
            <w:shd w:val="clear" w:color="auto" w:fill="E5FFFF"/>
          </w:tcPr>
          <w:p>
            <w:pPr>
              <w:spacing w:after="0"/>
              <w:rPr>
                <w:sz w:val="17"/>
                <w:szCs w:val="17"/>
                <w:color w:val="auto"/>
              </w:rPr>
            </w:pPr>
          </w:p>
        </w:tc>
        <w:tc>
          <w:tcPr>
            <w:tcW w:w="12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122,983</w:t>
            </w:r>
          </w:p>
        </w:tc>
      </w:tr>
      <w:tr>
        <w:trPr>
          <w:trHeight w:val="213"/>
        </w:trPr>
        <w:tc>
          <w:tcPr>
            <w:tcW w:w="120" w:type="dxa"/>
            <w:vAlign w:val="bottom"/>
          </w:tcPr>
          <w:p>
            <w:pPr>
              <w:spacing w:after="0"/>
              <w:rPr>
                <w:sz w:val="18"/>
                <w:szCs w:val="18"/>
                <w:color w:val="auto"/>
              </w:rPr>
            </w:pPr>
          </w:p>
        </w:tc>
        <w:tc>
          <w:tcPr>
            <w:tcW w:w="554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color w:val="auto"/>
              </w:rPr>
              <w:t>Revenues from spot time charters</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40,575</w:t>
            </w:r>
          </w:p>
        </w:tc>
        <w:tc>
          <w:tcPr>
            <w:tcW w:w="120" w:type="dxa"/>
            <w:vAlign w:val="bottom"/>
            <w:tcBorders>
              <w:bottom w:val="single" w:sz="8" w:color="E5FFFF"/>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57,257</w:t>
            </w:r>
          </w:p>
        </w:tc>
        <w:tc>
          <w:tcPr>
            <w:tcW w:w="120" w:type="dxa"/>
            <w:vAlign w:val="bottom"/>
            <w:tcBorders>
              <w:bottom w:val="single" w:sz="8" w:color="E5FFFF"/>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105,100</w:t>
            </w:r>
          </w:p>
        </w:tc>
        <w:tc>
          <w:tcPr>
            <w:tcW w:w="120" w:type="dxa"/>
            <w:vAlign w:val="bottom"/>
            <w:tcBorders>
              <w:bottom w:val="single" w:sz="8" w:color="E5FF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143,077</w:t>
            </w:r>
          </w:p>
        </w:tc>
      </w:tr>
      <w:tr>
        <w:trPr>
          <w:trHeight w:val="199"/>
        </w:trPr>
        <w:tc>
          <w:tcPr>
            <w:tcW w:w="120" w:type="dxa"/>
            <w:vAlign w:val="bottom"/>
          </w:tcPr>
          <w:p>
            <w:pPr>
              <w:spacing w:after="0"/>
              <w:rPr>
                <w:sz w:val="17"/>
                <w:szCs w:val="17"/>
                <w:color w:val="auto"/>
              </w:rPr>
            </w:pPr>
          </w:p>
        </w:tc>
        <w:tc>
          <w:tcPr>
            <w:tcW w:w="5540" w:type="dxa"/>
            <w:vAlign w:val="bottom"/>
            <w:tcBorders>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32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80,535</w:t>
            </w:r>
          </w:p>
        </w:tc>
        <w:tc>
          <w:tcPr>
            <w:tcW w:w="120" w:type="dxa"/>
            <w:vAlign w:val="bottom"/>
            <w:tcBorders>
              <w:bottom w:val="single" w:sz="8" w:color="E5FFFF"/>
            </w:tcBorders>
            <w:shd w:val="clear" w:color="auto" w:fill="E5FFFF"/>
          </w:tcPr>
          <w:p>
            <w:pPr>
              <w:spacing w:after="0"/>
              <w:rPr>
                <w:sz w:val="17"/>
                <w:szCs w:val="17"/>
                <w:color w:val="auto"/>
              </w:rPr>
            </w:pPr>
          </w:p>
        </w:tc>
        <w:tc>
          <w:tcPr>
            <w:tcW w:w="130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95,679</w:t>
            </w:r>
          </w:p>
        </w:tc>
        <w:tc>
          <w:tcPr>
            <w:tcW w:w="120" w:type="dxa"/>
            <w:vAlign w:val="bottom"/>
            <w:tcBorders>
              <w:bottom w:val="single" w:sz="8" w:color="E5FFFF"/>
            </w:tcBorders>
            <w:shd w:val="clear" w:color="auto" w:fill="E5FFFF"/>
          </w:tcPr>
          <w:p>
            <w:pPr>
              <w:spacing w:after="0"/>
              <w:rPr>
                <w:sz w:val="17"/>
                <w:szCs w:val="17"/>
                <w:color w:val="auto"/>
              </w:rPr>
            </w:pPr>
          </w:p>
        </w:tc>
        <w:tc>
          <w:tcPr>
            <w:tcW w:w="130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237,975</w:t>
            </w:r>
          </w:p>
        </w:tc>
        <w:tc>
          <w:tcPr>
            <w:tcW w:w="120" w:type="dxa"/>
            <w:vAlign w:val="bottom"/>
            <w:tcBorders>
              <w:bottom w:val="single" w:sz="8" w:color="E5FFFF"/>
            </w:tcBorders>
            <w:shd w:val="clear" w:color="auto" w:fill="E5FFFF"/>
          </w:tcPr>
          <w:p>
            <w:pPr>
              <w:spacing w:after="0"/>
              <w:rPr>
                <w:sz w:val="17"/>
                <w:szCs w:val="17"/>
                <w:color w:val="auto"/>
              </w:rPr>
            </w:pPr>
          </w:p>
        </w:tc>
        <w:tc>
          <w:tcPr>
            <w:tcW w:w="120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266,060</w:t>
            </w:r>
          </w:p>
        </w:tc>
      </w:tr>
      <w:tr>
        <w:trPr>
          <w:trHeight w:val="20"/>
        </w:trPr>
        <w:tc>
          <w:tcPr>
            <w:tcW w:w="1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40" w:firstLine="324"/>
        <w:spacing w:after="0" w:line="298" w:lineRule="auto"/>
        <w:rPr>
          <w:sz w:val="20"/>
          <w:szCs w:val="20"/>
          <w:color w:val="auto"/>
        </w:rPr>
      </w:pPr>
      <w:r>
        <w:rPr>
          <w:rFonts w:ascii="Times New Roman" w:cs="Times New Roman" w:eastAsia="Times New Roman" w:hAnsi="Times New Roman"/>
          <w:sz w:val="16"/>
          <w:szCs w:val="16"/>
          <w:color w:val="auto"/>
        </w:rPr>
        <w:t>The Partnership defines long-term time charters as charter party agreements with an initial duration of more than five years (excluding any optional periods), while all charter party agreements of an initial duration of less than (or equal to) five years (excluding any optional periods) are classified as spot time charters.</w:t>
      </w:r>
    </w:p>
    <w:p>
      <w:pPr>
        <w:sectPr>
          <w:pgSz w:w="11900" w:h="16838" w:orient="portrait"/>
          <w:cols w:equalWidth="0" w:num="1">
            <w:col w:w="11140"/>
          </w:cols>
          <w:pgMar w:left="320" w:top="907" w:right="43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 General and Administrative Expenses</w:t>
      </w: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An analysis of general and administrative expenses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Administrative services fees (Note 3)</w:t>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Commercial management fees (Note 3)</w:t>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Share-based compensation</w:t>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Other expenses</w:t>
      </w:r>
    </w:p>
    <w:p>
      <w:pPr>
        <w:spacing w:after="0" w:line="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11. Vessel Operating Costs</w:t>
      </w: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An analysis of vessel operating costs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Crew costs</w:t>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Technical maintenance expenses</w:t>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Other operating expenses</w:t>
      </w:r>
    </w:p>
    <w:p>
      <w:pPr>
        <w:spacing w:after="0" w:line="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12. Derivative Financial Instruments</w:t>
      </w: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fair value of the Partnership’s derivative assets is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860" w:type="dxa"/>
            <w:vAlign w:val="bottom"/>
            <w:gridSpan w:val="4"/>
          </w:tcPr>
          <w:p>
            <w:pPr>
              <w:ind w:left="40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620" w:type="dxa"/>
            <w:vAlign w:val="bottom"/>
            <w:gridSpan w:val="3"/>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03"/>
        </w:trPr>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5"/>
        </w:trPr>
        <w:tc>
          <w:tcPr>
            <w:tcW w:w="13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13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13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12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85"/>
        </w:trPr>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1,177</w:t>
            </w: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2,144</w:t>
            </w: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3,531</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6,486</w:t>
            </w:r>
          </w:p>
        </w:tc>
      </w:tr>
      <w:tr>
        <w:trPr>
          <w:trHeight w:val="210"/>
        </w:trPr>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1,194</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4,050</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3,306</w:t>
            </w:r>
          </w:p>
        </w:tc>
      </w:tr>
      <w:tr>
        <w:trPr>
          <w:trHeight w:val="216"/>
        </w:trPr>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w:t>
            </w:r>
          </w:p>
        </w:tc>
      </w:tr>
      <w:tr>
        <w:trPr>
          <w:trHeight w:val="229"/>
        </w:trPr>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776</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2,007</w:t>
            </w:r>
          </w:p>
        </w:tc>
        <w:tc>
          <w:tcPr>
            <w:tcW w:w="12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2,930</w:t>
            </w:r>
          </w:p>
        </w:tc>
      </w:tr>
      <w:tr>
        <w:trPr>
          <w:trHeight w:val="203"/>
        </w:trPr>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3,295</w:t>
            </w:r>
          </w:p>
        </w:tc>
        <w:tc>
          <w:tcPr>
            <w:tcW w:w="12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4,263</w:t>
            </w:r>
          </w:p>
        </w:tc>
        <w:tc>
          <w:tcPr>
            <w:tcW w:w="12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9,854</w:t>
            </w:r>
          </w:p>
        </w:tc>
        <w:tc>
          <w:tcPr>
            <w:tcW w:w="12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13,334</w:t>
            </w:r>
          </w:p>
        </w:tc>
      </w:tr>
      <w:tr>
        <w:trPr>
          <w:trHeight w:val="20"/>
        </w:trPr>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-710565</wp:posOffset>
            </wp:positionV>
            <wp:extent cx="698627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86270" cy="13716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-436245</wp:posOffset>
            </wp:positionV>
            <wp:extent cx="698627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86270" cy="13716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-162560</wp:posOffset>
            </wp:positionV>
            <wp:extent cx="6986270"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8627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60" w:type="dxa"/>
            <w:vAlign w:val="bottom"/>
            <w:gridSpan w:val="4"/>
          </w:tcPr>
          <w:p>
            <w:pPr>
              <w:ind w:left="40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620" w:type="dxa"/>
            <w:vAlign w:val="bottom"/>
            <w:gridSpan w:val="3"/>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03"/>
        </w:trPr>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5"/>
        </w:trPr>
        <w:tc>
          <w:tcPr>
            <w:tcW w:w="13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13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13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12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85"/>
        </w:trPr>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10,324</w:t>
            </w: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9,621</w:t>
            </w: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28,971</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30,907</w:t>
            </w:r>
          </w:p>
        </w:tc>
      </w:tr>
      <w:tr>
        <w:trPr>
          <w:trHeight w:val="210"/>
        </w:trPr>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4,418</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3,242</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14,632</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11,179</w:t>
            </w:r>
          </w:p>
        </w:tc>
      </w:tr>
      <w:tr>
        <w:trPr>
          <w:trHeight w:val="229"/>
        </w:trPr>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3,813</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3,881</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12,803</w:t>
            </w:r>
          </w:p>
        </w:tc>
        <w:tc>
          <w:tcPr>
            <w:tcW w:w="12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12,279</w:t>
            </w:r>
          </w:p>
        </w:tc>
      </w:tr>
      <w:tr>
        <w:trPr>
          <w:trHeight w:val="203"/>
        </w:trPr>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18,555</w:t>
            </w:r>
          </w:p>
        </w:tc>
        <w:tc>
          <w:tcPr>
            <w:tcW w:w="12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16,744</w:t>
            </w:r>
          </w:p>
        </w:tc>
        <w:tc>
          <w:tcPr>
            <w:tcW w:w="12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56,406</w:t>
            </w:r>
          </w:p>
        </w:tc>
        <w:tc>
          <w:tcPr>
            <w:tcW w:w="12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54,365</w:t>
            </w:r>
          </w:p>
        </w:tc>
      </w:tr>
      <w:tr>
        <w:trPr>
          <w:trHeight w:val="20"/>
        </w:trPr>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-573405</wp:posOffset>
            </wp:positionV>
            <wp:extent cx="698627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86270" cy="13716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-299085</wp:posOffset>
            </wp:positionV>
            <wp:extent cx="698627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8627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920"/>
        <w:spacing w:after="0"/>
        <w:tabs>
          <w:tab w:leader="none" w:pos="4300" w:val="left"/>
        </w:tabs>
        <w:rPr>
          <w:sz w:val="20"/>
          <w:szCs w:val="20"/>
          <w:color w:val="auto"/>
        </w:rPr>
      </w:pPr>
      <w:r>
        <w:rPr>
          <w:rFonts w:ascii="Times New Roman" w:cs="Times New Roman" w:eastAsia="Times New Roman" w:hAnsi="Times New Roman"/>
          <w:sz w:val="16"/>
          <w:szCs w:val="16"/>
          <w:b w:val="1"/>
          <w:bCs w:val="1"/>
          <w:color w:val="auto"/>
        </w:rPr>
        <w:t>December 31,</w:t>
      </w:r>
      <w:r>
        <w:rPr>
          <w:sz w:val="20"/>
          <w:szCs w:val="20"/>
          <w:color w:val="auto"/>
        </w:rPr>
        <w:tab/>
      </w:r>
      <w:r>
        <w:rPr>
          <w:rFonts w:ascii="Times New Roman" w:cs="Times New Roman" w:eastAsia="Times New Roman" w:hAnsi="Times New Roman"/>
          <w:sz w:val="16"/>
          <w:szCs w:val="16"/>
          <w:b w:val="1"/>
          <w:bCs w:val="1"/>
          <w:color w:val="auto"/>
        </w:rPr>
        <w:t>September 30,</w:t>
      </w:r>
    </w:p>
    <w:p>
      <w:pPr>
        <w:spacing w:after="0" w:line="28" w:lineRule="exact"/>
        <w:rPr>
          <w:sz w:val="20"/>
          <w:szCs w:val="20"/>
          <w:color w:val="auto"/>
        </w:rPr>
      </w:pPr>
    </w:p>
    <w:p>
      <w:pPr>
        <w:ind w:left="3240"/>
        <w:spacing w:after="0"/>
        <w:tabs>
          <w:tab w:leader="none" w:pos="4620" w:val="left"/>
        </w:tabs>
        <w:rPr>
          <w:sz w:val="20"/>
          <w:szCs w:val="20"/>
          <w:color w:val="auto"/>
        </w:rPr>
      </w:pPr>
      <w:r>
        <w:rPr>
          <w:rFonts w:ascii="Times New Roman" w:cs="Times New Roman" w:eastAsia="Times New Roman" w:hAnsi="Times New Roman"/>
          <w:sz w:val="16"/>
          <w:szCs w:val="16"/>
          <w:b w:val="1"/>
          <w:bCs w:val="1"/>
          <w:color w:val="auto"/>
        </w:rPr>
        <w:t>2021</w:t>
      </w:r>
      <w:r>
        <w:rPr>
          <w:sz w:val="20"/>
          <w:szCs w:val="20"/>
          <w:color w:val="auto"/>
        </w:rPr>
        <w:tab/>
      </w:r>
      <w:r>
        <w:rPr>
          <w:rFonts w:ascii="Times New Roman" w:cs="Times New Roman" w:eastAsia="Times New Roman" w:hAnsi="Times New Roman"/>
          <w:sz w:val="16"/>
          <w:szCs w:val="16"/>
          <w:b w:val="1"/>
          <w:bCs w:val="1"/>
          <w:color w:val="auto"/>
        </w:rPr>
        <w:t>2022</w:t>
      </w:r>
    </w:p>
    <w:p>
      <w:pPr>
        <w:spacing w:after="0" w:line="19" w:lineRule="exact"/>
        <w:rPr>
          <w:sz w:val="20"/>
          <w:szCs w:val="20"/>
          <w:color w:val="auto"/>
        </w:rPr>
      </w:pPr>
    </w:p>
    <w:p>
      <w:pPr>
        <w:sectPr>
          <w:pgSz w:w="11900" w:h="16838" w:orient="portrait"/>
          <w:cols w:equalWidth="0" w:num="2">
            <w:col w:w="4940" w:space="720"/>
            <w:col w:w="5480"/>
          </w:cols>
          <w:pgMar w:left="320" w:top="907" w:right="439" w:bottom="1440" w:gutter="0" w:footer="0" w:header="0"/>
          <w:type w:val="continuous"/>
        </w:sectPr>
      </w:pPr>
    </w:p>
    <w:tbl>
      <w:tblPr>
        <w:tblLayout w:type="fixed"/>
        <w:tblInd w:w="120" w:type="dxa"/>
        <w:tblCellMar>
          <w:top w:w="0" w:type="dxa"/>
          <w:left w:w="0" w:type="dxa"/>
          <w:bottom w:w="0" w:type="dxa"/>
          <w:right w:w="0" w:type="dxa"/>
        </w:tblCellMar>
      </w:tblPr>
      <w:tr>
        <w:trPr>
          <w:trHeight w:val="215"/>
        </w:trPr>
        <w:tc>
          <w:tcPr>
            <w:tcW w:w="828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Derivative assets carried at fair value through profit or loss (FVTPL)</w:t>
            </w:r>
          </w:p>
        </w:tc>
        <w:tc>
          <w:tcPr>
            <w:tcW w:w="120" w:type="dxa"/>
            <w:vAlign w:val="bottom"/>
            <w:tcBorders>
              <w:top w:val="single" w:sz="8" w:color="auto"/>
            </w:tcBorders>
            <w:shd w:val="clear" w:color="auto" w:fill="E5FFFF"/>
          </w:tcPr>
          <w:p>
            <w:pPr>
              <w:spacing w:after="0"/>
              <w:rPr>
                <w:sz w:val="18"/>
                <w:szCs w:val="18"/>
                <w:color w:val="auto"/>
              </w:rPr>
            </w:pPr>
          </w:p>
        </w:tc>
        <w:tc>
          <w:tcPr>
            <w:tcW w:w="120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E5FFFF"/>
            </w:tcBorders>
            <w:shd w:val="clear" w:color="auto" w:fill="E5FFFF"/>
          </w:tcPr>
          <w:p>
            <w:pPr>
              <w:spacing w:after="0"/>
              <w:rPr>
                <w:sz w:val="18"/>
                <w:szCs w:val="18"/>
                <w:color w:val="auto"/>
              </w:rPr>
            </w:pPr>
          </w:p>
        </w:tc>
        <w:tc>
          <w:tcPr>
            <w:tcW w:w="120" w:type="dxa"/>
            <w:vAlign w:val="bottom"/>
            <w:tcBorders>
              <w:top w:val="single" w:sz="8" w:color="auto"/>
            </w:tcBorders>
            <w:shd w:val="clear" w:color="auto" w:fill="E5FFFF"/>
          </w:tcPr>
          <w:p>
            <w:pPr>
              <w:spacing w:after="0"/>
              <w:rPr>
                <w:sz w:val="18"/>
                <w:szCs w:val="18"/>
                <w:color w:val="auto"/>
              </w:rPr>
            </w:pPr>
          </w:p>
        </w:tc>
        <w:tc>
          <w:tcPr>
            <w:tcW w:w="1200" w:type="dxa"/>
            <w:vAlign w:val="bottom"/>
            <w:tcBorders>
              <w:top w:val="single" w:sz="8" w:color="auto"/>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8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 swaps</w:t>
            </w:r>
          </w:p>
        </w:tc>
        <w:tc>
          <w:tcPr>
            <w:tcW w:w="120" w:type="dxa"/>
            <w:vAlign w:val="bottom"/>
          </w:tcPr>
          <w:p>
            <w:pPr>
              <w:spacing w:after="0"/>
              <w:rPr>
                <w:sz w:val="18"/>
                <w:szCs w:val="18"/>
                <w:color w:val="auto"/>
              </w:rPr>
            </w:pPr>
          </w:p>
        </w:tc>
        <w:tc>
          <w:tcPr>
            <w:tcW w:w="1300" w:type="dxa"/>
            <w:vAlign w:val="bottom"/>
            <w:gridSpan w:val="2"/>
          </w:tcPr>
          <w:p>
            <w:pPr>
              <w:jc w:val="center"/>
              <w:ind w:left="8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3,334</w:t>
            </w:r>
          </w:p>
        </w:tc>
        <w:tc>
          <w:tcPr>
            <w:tcW w:w="0" w:type="dxa"/>
            <w:vAlign w:val="bottom"/>
          </w:tcPr>
          <w:p>
            <w:pPr>
              <w:spacing w:after="0"/>
              <w:rPr>
                <w:sz w:val="1"/>
                <w:szCs w:val="1"/>
                <w:color w:val="auto"/>
              </w:rPr>
            </w:pPr>
          </w:p>
        </w:tc>
      </w:tr>
      <w:tr>
        <w:trPr>
          <w:trHeight w:val="199"/>
        </w:trPr>
        <w:tc>
          <w:tcPr>
            <w:tcW w:w="8280" w:type="dxa"/>
            <w:vAlign w:val="bottom"/>
            <w:tcBorders>
              <w:top w:val="single" w:sz="8" w:color="E5FFFF"/>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Borders>
              <w:top w:val="single" w:sz="8" w:color="auto"/>
              <w:bottom w:val="single" w:sz="8" w:color="auto"/>
            </w:tcBorders>
            <w:shd w:val="clear" w:color="auto" w:fill="E5FFFF"/>
          </w:tcPr>
          <w:p>
            <w:pPr>
              <w:spacing w:after="0"/>
              <w:rPr>
                <w:sz w:val="17"/>
                <w:szCs w:val="17"/>
                <w:color w:val="auto"/>
              </w:rPr>
            </w:pPr>
          </w:p>
        </w:tc>
        <w:tc>
          <w:tcPr>
            <w:tcW w:w="1200" w:type="dxa"/>
            <w:vAlign w:val="bottom"/>
            <w:tcBorders>
              <w:top w:val="single" w:sz="8" w:color="auto"/>
              <w:bottom w:val="single" w:sz="8" w:color="auto"/>
            </w:tcBorders>
            <w:shd w:val="clear" w:color="auto" w:fill="E5FFFF"/>
          </w:tcPr>
          <w:p>
            <w:pPr>
              <w:jc w:val="center"/>
              <w:ind w:left="9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c>
          <w:tcPr>
            <w:tcW w:w="132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3,334</w:t>
            </w:r>
          </w:p>
        </w:tc>
        <w:tc>
          <w:tcPr>
            <w:tcW w:w="0" w:type="dxa"/>
            <w:vAlign w:val="bottom"/>
          </w:tcPr>
          <w:p>
            <w:pPr>
              <w:spacing w:after="0"/>
              <w:rPr>
                <w:sz w:val="1"/>
                <w:szCs w:val="1"/>
                <w:color w:val="auto"/>
              </w:rPr>
            </w:pPr>
          </w:p>
        </w:tc>
      </w:tr>
      <w:tr>
        <w:trPr>
          <w:trHeight w:val="20"/>
        </w:trPr>
        <w:tc>
          <w:tcPr>
            <w:tcW w:w="82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Derivative financial instruments, current assets</w:t>
            </w: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center"/>
              <w:ind w:left="91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vMerge w:val="continue"/>
          </w:tcPr>
          <w:p>
            <w:pPr>
              <w:spacing w:after="0"/>
              <w:rPr>
                <w:sz w:val="15"/>
                <w:szCs w:val="15"/>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1,718</w:t>
            </w:r>
          </w:p>
        </w:tc>
        <w:tc>
          <w:tcPr>
            <w:tcW w:w="0" w:type="dxa"/>
            <w:vAlign w:val="bottom"/>
          </w:tcPr>
          <w:p>
            <w:pPr>
              <w:spacing w:after="0"/>
              <w:rPr>
                <w:sz w:val="1"/>
                <w:szCs w:val="1"/>
                <w:color w:val="auto"/>
              </w:rPr>
            </w:pPr>
          </w:p>
        </w:tc>
      </w:tr>
      <w:tr>
        <w:trPr>
          <w:trHeight w:val="216"/>
        </w:trPr>
        <w:tc>
          <w:tcPr>
            <w:tcW w:w="82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Derivative financial instruments, non-current assets</w:t>
            </w:r>
          </w:p>
        </w:tc>
        <w:tc>
          <w:tcPr>
            <w:tcW w:w="120" w:type="dxa"/>
            <w:vAlign w:val="bottom"/>
            <w:shd w:val="clear" w:color="auto" w:fill="E5FFFF"/>
          </w:tcPr>
          <w:p>
            <w:pPr>
              <w:spacing w:after="0"/>
              <w:rPr>
                <w:sz w:val="18"/>
                <w:szCs w:val="18"/>
                <w:color w:val="auto"/>
              </w:rPr>
            </w:pPr>
          </w:p>
        </w:tc>
        <w:tc>
          <w:tcPr>
            <w:tcW w:w="1300" w:type="dxa"/>
            <w:vAlign w:val="bottom"/>
            <w:gridSpan w:val="2"/>
            <w:shd w:val="clear" w:color="auto" w:fill="E5FFFF"/>
          </w:tcPr>
          <w:p>
            <w:pPr>
              <w:jc w:val="center"/>
              <w:ind w:left="8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1,616</w:t>
            </w:r>
          </w:p>
        </w:tc>
        <w:tc>
          <w:tcPr>
            <w:tcW w:w="0" w:type="dxa"/>
            <w:vAlign w:val="bottom"/>
          </w:tcPr>
          <w:p>
            <w:pPr>
              <w:spacing w:after="0"/>
              <w:rPr>
                <w:sz w:val="1"/>
                <w:szCs w:val="1"/>
                <w:color w:val="auto"/>
              </w:rPr>
            </w:pPr>
          </w:p>
        </w:tc>
      </w:tr>
      <w:tr>
        <w:trPr>
          <w:trHeight w:val="196"/>
        </w:trPr>
        <w:tc>
          <w:tcPr>
            <w:tcW w:w="8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center"/>
              <w:ind w:left="9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7"/>
                <w:szCs w:val="17"/>
                <w:color w:val="auto"/>
              </w:rPr>
            </w:pPr>
          </w:p>
        </w:tc>
        <w:tc>
          <w:tcPr>
            <w:tcW w:w="13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3,334</w:t>
            </w:r>
          </w:p>
        </w:tc>
        <w:tc>
          <w:tcPr>
            <w:tcW w:w="0" w:type="dxa"/>
            <w:vAlign w:val="bottom"/>
          </w:tcPr>
          <w:p>
            <w:pPr>
              <w:spacing w:after="0"/>
              <w:rPr>
                <w:sz w:val="1"/>
                <w:szCs w:val="1"/>
                <w:color w:val="auto"/>
              </w:rPr>
            </w:pPr>
          </w:p>
        </w:tc>
      </w:tr>
      <w:tr>
        <w:trPr>
          <w:trHeight w:val="20"/>
        </w:trPr>
        <w:tc>
          <w:tcPr>
            <w:tcW w:w="828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auto"/>
              </w:rPr>
              <w:t>The fair value of the Partnership’s derivative liabilities is as follows:</w:t>
            </w: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82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8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24"/>
                <w:szCs w:val="24"/>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5"/>
        </w:trPr>
        <w:tc>
          <w:tcPr>
            <w:tcW w:w="8280" w:type="dxa"/>
            <w:vAlign w:val="bottom"/>
          </w:tcPr>
          <w:p>
            <w:pPr>
              <w:spacing w:after="0"/>
              <w:rPr>
                <w:sz w:val="18"/>
                <w:szCs w:val="18"/>
                <w:color w:val="auto"/>
              </w:rPr>
            </w:pPr>
          </w:p>
        </w:tc>
        <w:tc>
          <w:tcPr>
            <w:tcW w:w="1320" w:type="dxa"/>
            <w:vAlign w:val="bottom"/>
            <w:gridSpan w:val="2"/>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1320" w:type="dxa"/>
            <w:vAlign w:val="bottom"/>
            <w:gridSpan w:val="2"/>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13"/>
        </w:trPr>
        <w:tc>
          <w:tcPr>
            <w:tcW w:w="828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Derivative liabilities carried at fair value through profit or loss (FVTPL)</w:t>
            </w:r>
          </w:p>
        </w:tc>
        <w:tc>
          <w:tcPr>
            <w:tcW w:w="120" w:type="dxa"/>
            <w:vAlign w:val="bottom"/>
            <w:tcBorders>
              <w:top w:val="single" w:sz="8" w:color="E5FFFF"/>
            </w:tcBorders>
            <w:shd w:val="clear" w:color="auto" w:fill="E5FFFF"/>
          </w:tcPr>
          <w:p>
            <w:pPr>
              <w:spacing w:after="0"/>
              <w:rPr>
                <w:sz w:val="18"/>
                <w:szCs w:val="18"/>
                <w:color w:val="auto"/>
              </w:rPr>
            </w:pPr>
          </w:p>
        </w:tc>
        <w:tc>
          <w:tcPr>
            <w:tcW w:w="120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auto"/>
            </w:tcBorders>
            <w:shd w:val="clear" w:color="auto" w:fill="E5FFFF"/>
          </w:tcPr>
          <w:p>
            <w:pPr>
              <w:spacing w:after="0"/>
              <w:rPr>
                <w:sz w:val="18"/>
                <w:szCs w:val="18"/>
                <w:color w:val="auto"/>
              </w:rPr>
            </w:pPr>
          </w:p>
        </w:tc>
        <w:tc>
          <w:tcPr>
            <w:tcW w:w="120" w:type="dxa"/>
            <w:vAlign w:val="bottom"/>
            <w:tcBorders>
              <w:top w:val="single" w:sz="8" w:color="E5FFFF"/>
            </w:tcBorders>
            <w:shd w:val="clear" w:color="auto" w:fill="E5FFFF"/>
          </w:tcPr>
          <w:p>
            <w:pPr>
              <w:spacing w:after="0"/>
              <w:rPr>
                <w:sz w:val="18"/>
                <w:szCs w:val="18"/>
                <w:color w:val="auto"/>
              </w:rPr>
            </w:pPr>
          </w:p>
        </w:tc>
        <w:tc>
          <w:tcPr>
            <w:tcW w:w="1200" w:type="dxa"/>
            <w:vAlign w:val="bottom"/>
            <w:tcBorders>
              <w:top w:val="single" w:sz="8" w:color="auto"/>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8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 swaps</w:t>
            </w:r>
          </w:p>
        </w:tc>
        <w:tc>
          <w:tcPr>
            <w:tcW w:w="1420" w:type="dxa"/>
            <w:vAlign w:val="bottom"/>
            <w:gridSpan w:val="3"/>
          </w:tcPr>
          <w:p>
            <w:pPr>
              <w:jc w:val="center"/>
              <w:ind w:left="979"/>
              <w:spacing w:after="0"/>
              <w:rPr>
                <w:sz w:val="20"/>
                <w:szCs w:val="20"/>
                <w:color w:val="auto"/>
              </w:rPr>
            </w:pPr>
            <w:r>
              <w:rPr>
                <w:rFonts w:ascii="Times New Roman" w:cs="Times New Roman" w:eastAsia="Times New Roman" w:hAnsi="Times New Roman"/>
                <w:sz w:val="16"/>
                <w:szCs w:val="16"/>
                <w:color w:val="auto"/>
                <w:w w:val="99"/>
              </w:rPr>
              <w:t>9,245</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9"/>
        </w:trPr>
        <w:tc>
          <w:tcPr>
            <w:tcW w:w="8280" w:type="dxa"/>
            <w:vAlign w:val="bottom"/>
            <w:tcBorders>
              <w:top w:val="single" w:sz="8" w:color="E5FFFF"/>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Borders>
              <w:top w:val="single" w:sz="8" w:color="E5FFFF"/>
              <w:bottom w:val="single" w:sz="8" w:color="E5FFFF"/>
            </w:tcBorders>
            <w:shd w:val="clear" w:color="auto" w:fill="E5FFFF"/>
          </w:tcPr>
          <w:p>
            <w:pPr>
              <w:spacing w:after="0"/>
              <w:rPr>
                <w:sz w:val="17"/>
                <w:szCs w:val="17"/>
                <w:color w:val="auto"/>
              </w:rPr>
            </w:pPr>
          </w:p>
        </w:tc>
        <w:tc>
          <w:tcPr>
            <w:tcW w:w="1300" w:type="dxa"/>
            <w:vAlign w:val="bottom"/>
            <w:tcBorders>
              <w:top w:val="single" w:sz="8" w:color="auto"/>
              <w:bottom w:val="single" w:sz="8" w:color="auto"/>
            </w:tcBorders>
            <w:gridSpan w:val="2"/>
            <w:shd w:val="clear" w:color="auto" w:fill="E5FFFF"/>
          </w:tcPr>
          <w:p>
            <w:pPr>
              <w:jc w:val="center"/>
              <w:ind w:left="859"/>
              <w:spacing w:after="0"/>
              <w:rPr>
                <w:sz w:val="20"/>
                <w:szCs w:val="20"/>
                <w:color w:val="auto"/>
              </w:rPr>
            </w:pPr>
            <w:r>
              <w:rPr>
                <w:rFonts w:ascii="Times New Roman" w:cs="Times New Roman" w:eastAsia="Times New Roman" w:hAnsi="Times New Roman"/>
                <w:sz w:val="16"/>
                <w:szCs w:val="16"/>
                <w:b w:val="1"/>
                <w:bCs w:val="1"/>
                <w:color w:val="auto"/>
                <w:w w:val="99"/>
              </w:rPr>
              <w:t>9,245</w:t>
            </w:r>
          </w:p>
        </w:tc>
        <w:tc>
          <w:tcPr>
            <w:tcW w:w="120" w:type="dxa"/>
            <w:vAlign w:val="bottom"/>
            <w:tcBorders>
              <w:top w:val="single" w:sz="8" w:color="E5FFFF"/>
              <w:bottom w:val="single" w:sz="8" w:color="E5FFFF"/>
            </w:tcBorders>
            <w:shd w:val="clear" w:color="auto" w:fill="E5FFFF"/>
          </w:tcPr>
          <w:p>
            <w:pPr>
              <w:spacing w:after="0"/>
              <w:rPr>
                <w:sz w:val="17"/>
                <w:szCs w:val="17"/>
                <w:color w:val="auto"/>
              </w:rPr>
            </w:pPr>
          </w:p>
        </w:tc>
        <w:tc>
          <w:tcPr>
            <w:tcW w:w="12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82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Derivative financial instruments, current liability</w:t>
            </w:r>
          </w:p>
        </w:tc>
        <w:tc>
          <w:tcPr>
            <w:tcW w:w="120" w:type="dxa"/>
            <w:vAlign w:val="bottom"/>
            <w:vMerge w:val="restart"/>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8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300" w:type="dxa"/>
            <w:vAlign w:val="bottom"/>
            <w:gridSpan w:val="2"/>
          </w:tcPr>
          <w:p>
            <w:pPr>
              <w:jc w:val="center"/>
              <w:ind w:left="859"/>
              <w:spacing w:after="0"/>
              <w:rPr>
                <w:sz w:val="20"/>
                <w:szCs w:val="20"/>
                <w:color w:val="auto"/>
              </w:rPr>
            </w:pPr>
            <w:r>
              <w:rPr>
                <w:rFonts w:ascii="Times New Roman" w:cs="Times New Roman" w:eastAsia="Times New Roman" w:hAnsi="Times New Roman"/>
                <w:sz w:val="16"/>
                <w:szCs w:val="16"/>
                <w:color w:val="auto"/>
                <w:w w:val="99"/>
              </w:rPr>
              <w:t>5,184</w:t>
            </w: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82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Derivative financial instruments, non-current liability</w:t>
            </w:r>
          </w:p>
        </w:tc>
        <w:tc>
          <w:tcPr>
            <w:tcW w:w="1420" w:type="dxa"/>
            <w:vAlign w:val="bottom"/>
            <w:gridSpan w:val="3"/>
            <w:shd w:val="clear" w:color="auto" w:fill="E5FFFF"/>
          </w:tcPr>
          <w:p>
            <w:pPr>
              <w:jc w:val="center"/>
              <w:ind w:left="979"/>
              <w:spacing w:after="0"/>
              <w:rPr>
                <w:sz w:val="20"/>
                <w:szCs w:val="20"/>
                <w:color w:val="auto"/>
              </w:rPr>
            </w:pPr>
            <w:r>
              <w:rPr>
                <w:rFonts w:ascii="Times New Roman" w:cs="Times New Roman" w:eastAsia="Times New Roman" w:hAnsi="Times New Roman"/>
                <w:sz w:val="16"/>
                <w:szCs w:val="16"/>
                <w:color w:val="auto"/>
                <w:w w:val="99"/>
              </w:rPr>
              <w:t>4,061</w:t>
            </w:r>
          </w:p>
        </w:tc>
        <w:tc>
          <w:tcPr>
            <w:tcW w:w="120" w:type="dxa"/>
            <w:vAlign w:val="bottom"/>
            <w:shd w:val="clear" w:color="auto" w:fill="E5FFFF"/>
          </w:tcPr>
          <w:p>
            <w:pPr>
              <w:spacing w:after="0"/>
              <w:rPr>
                <w:sz w:val="18"/>
                <w:szCs w:val="18"/>
                <w:color w:val="auto"/>
              </w:rPr>
            </w:pPr>
          </w:p>
        </w:tc>
        <w:tc>
          <w:tcPr>
            <w:tcW w:w="12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8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7"/>
                <w:szCs w:val="17"/>
                <w:color w:val="auto"/>
              </w:rPr>
            </w:pPr>
          </w:p>
        </w:tc>
        <w:tc>
          <w:tcPr>
            <w:tcW w:w="1300" w:type="dxa"/>
            <w:vAlign w:val="bottom"/>
            <w:tcBorders>
              <w:top w:val="single" w:sz="8" w:color="auto"/>
              <w:bottom w:val="single" w:sz="8" w:color="auto"/>
            </w:tcBorders>
            <w:gridSpan w:val="2"/>
          </w:tcPr>
          <w:p>
            <w:pPr>
              <w:jc w:val="center"/>
              <w:ind w:left="859"/>
              <w:spacing w:after="0"/>
              <w:rPr>
                <w:sz w:val="20"/>
                <w:szCs w:val="20"/>
                <w:color w:val="auto"/>
              </w:rPr>
            </w:pPr>
            <w:r>
              <w:rPr>
                <w:rFonts w:ascii="Times New Roman" w:cs="Times New Roman" w:eastAsia="Times New Roman" w:hAnsi="Times New Roman"/>
                <w:sz w:val="16"/>
                <w:szCs w:val="16"/>
                <w:b w:val="1"/>
                <w:bCs w:val="1"/>
                <w:color w:val="auto"/>
                <w:w w:val="99"/>
              </w:rPr>
              <w:t>9,245</w:t>
            </w:r>
          </w:p>
        </w:tc>
        <w:tc>
          <w:tcPr>
            <w:tcW w:w="12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7" w:right="439" w:bottom="1440" w:gutter="0" w:footer="0" w:header="0"/>
          <w:type w:val="continuous"/>
        </w:sectPr>
      </w:pPr>
    </w:p>
    <w:bookmarkStart w:id="31" w:name="page32"/>
    <w:bookmarkEnd w:id="31"/>
    <w:p>
      <w:pPr>
        <w:ind w:left="340"/>
        <w:spacing w:after="0"/>
        <w:rPr>
          <w:sz w:val="20"/>
          <w:szCs w:val="20"/>
          <w:color w:val="auto"/>
        </w:rPr>
      </w:pPr>
      <w:r>
        <w:rPr>
          <w:rFonts w:ascii="Times New Roman" w:cs="Times New Roman" w:eastAsia="Times New Roman" w:hAnsi="Times New Roman"/>
          <w:sz w:val="16"/>
          <w:szCs w:val="16"/>
          <w:b w:val="1"/>
          <w:bCs w:val="1"/>
          <w:color w:val="auto"/>
        </w:rPr>
        <w:t>Interest rate swap agreements</w:t>
      </w:r>
    </w:p>
    <w:p>
      <w:pPr>
        <w:spacing w:after="0" w:line="237" w:lineRule="exact"/>
        <w:rPr>
          <w:sz w:val="20"/>
          <w:szCs w:val="20"/>
          <w:color w:val="auto"/>
        </w:rPr>
      </w:pPr>
    </w:p>
    <w:p>
      <w:pPr>
        <w:ind w:right="260" w:firstLine="324"/>
        <w:spacing w:after="0" w:line="275" w:lineRule="auto"/>
        <w:rPr>
          <w:sz w:val="20"/>
          <w:szCs w:val="20"/>
          <w:color w:val="auto"/>
        </w:rPr>
      </w:pPr>
      <w:r>
        <w:rPr>
          <w:rFonts w:ascii="Times New Roman" w:cs="Times New Roman" w:eastAsia="Times New Roman" w:hAnsi="Times New Roman"/>
          <w:sz w:val="16"/>
          <w:szCs w:val="16"/>
          <w:color w:val="auto"/>
        </w:rPr>
        <w:t>The Partnership enters into interest rate swap agreements which convert the floating interest rate exposure into a fixed interest rate in order to economically hedge a portion of the Partnership’s exposure to fluctuations in prevailing market interest rates. Under the interest rate swaps, the counterparty effects quarterly floating-rate payments to the Partnership for the notional amount based on LIBOR, and the Partnership effects quarterly payments to the counterparty on the notional amount at the respective fixed rates.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Interest rate swaps held for trading</w:t>
      </w:r>
    </w:p>
    <w:p>
      <w:pPr>
        <w:spacing w:after="0" w:line="239" w:lineRule="exact"/>
        <w:rPr>
          <w:sz w:val="20"/>
          <w:szCs w:val="20"/>
          <w:color w:val="auto"/>
        </w:rPr>
      </w:pPr>
    </w:p>
    <w:p>
      <w:pPr>
        <w:ind w:right="320" w:firstLine="324"/>
        <w:spacing w:after="0" w:line="298" w:lineRule="auto"/>
        <w:rPr>
          <w:sz w:val="20"/>
          <w:szCs w:val="20"/>
          <w:color w:val="auto"/>
        </w:rPr>
      </w:pPr>
      <w:r>
        <w:rPr>
          <w:rFonts w:ascii="Times New Roman" w:cs="Times New Roman" w:eastAsia="Times New Roman" w:hAnsi="Times New Roman"/>
          <w:sz w:val="16"/>
          <w:szCs w:val="16"/>
          <w:color w:val="auto"/>
        </w:rPr>
        <w:t>The principal terms of the Partnership’s interest rate swaps held for trading have been disclosed in the annual audited consolidated financial statements for the year ended December 31, 2021. Refer to Note 18 “Derivative Financial Instruments”.</w:t>
      </w:r>
    </w:p>
    <w:p>
      <w:pPr>
        <w:spacing w:after="0" w:line="164" w:lineRule="exact"/>
        <w:rPr>
          <w:sz w:val="20"/>
          <w:szCs w:val="20"/>
          <w:color w:val="auto"/>
        </w:rPr>
      </w:pPr>
    </w:p>
    <w:p>
      <w:pPr>
        <w:ind w:firstLine="324"/>
        <w:spacing w:after="0" w:line="271" w:lineRule="auto"/>
        <w:rPr>
          <w:sz w:val="20"/>
          <w:szCs w:val="20"/>
          <w:color w:val="auto"/>
        </w:rPr>
      </w:pPr>
      <w:r>
        <w:rPr>
          <w:rFonts w:ascii="Times New Roman" w:cs="Times New Roman" w:eastAsia="Times New Roman" w:hAnsi="Times New Roman"/>
          <w:sz w:val="16"/>
          <w:szCs w:val="16"/>
          <w:color w:val="auto"/>
        </w:rPr>
        <w:t>The derivative instruments of the Partnership were not designated as cash flow hedging instruments as of September 30, 2022. The change in the fair value of the interest rate swaps for the three and nine months ended September 30, 2022 amounted to a gain of $3,297 and a gain of $12,579, respectively (for the three and nine months ended September 30, 2021, a gain of $1,787 and a gain of $7,356, respectively), which was recognized in profit or loss in the period incurred and is included in (Loss)/gain on derivatives. During the three and nine months ended September 30, 2022, the gain of $3,297 and the gain of $12,579, respectively (Note 13), was mainly attributable to changes in the USD LIBOR yield curve, which was used to calculate the present value of the estimated future cash flows, resulting in a decrease in derivative liabilities from interest rate swaps held for trading.</w:t>
      </w:r>
    </w:p>
    <w:p>
      <w:pPr>
        <w:spacing w:after="0" w:line="398" w:lineRule="exact"/>
        <w:rPr>
          <w:sz w:val="20"/>
          <w:szCs w:val="20"/>
          <w:color w:val="auto"/>
        </w:rPr>
      </w:pPr>
    </w:p>
    <w:p>
      <w:pPr>
        <w:jc w:val="center"/>
        <w:ind w:right="7760"/>
        <w:spacing w:after="0"/>
        <w:rPr>
          <w:sz w:val="20"/>
          <w:szCs w:val="20"/>
          <w:color w:val="auto"/>
        </w:rPr>
      </w:pPr>
      <w:r>
        <w:rPr>
          <w:rFonts w:ascii="Times New Roman" w:cs="Times New Roman" w:eastAsia="Times New Roman" w:hAnsi="Times New Roman"/>
          <w:sz w:val="16"/>
          <w:szCs w:val="16"/>
          <w:b w:val="1"/>
          <w:bCs w:val="1"/>
          <w:color w:val="auto"/>
        </w:rPr>
        <w:t>13. Financial Costs and (Loss)/gain on Derivatives</w:t>
      </w: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An analysis of financial costs is as follows:</w:t>
      </w:r>
    </w:p>
    <w:p>
      <w:pPr>
        <w:spacing w:after="0" w:line="200" w:lineRule="exact"/>
        <w:rPr>
          <w:sz w:val="20"/>
          <w:szCs w:val="20"/>
          <w:color w:val="auto"/>
        </w:rPr>
      </w:pPr>
    </w:p>
    <w:p>
      <w:pPr>
        <w:spacing w:after="0" w:line="262"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5420" w:type="dxa"/>
            <w:vAlign w:val="bottom"/>
          </w:tcPr>
          <w:p>
            <w:pPr>
              <w:spacing w:after="0"/>
              <w:rPr>
                <w:sz w:val="17"/>
                <w:szCs w:val="17"/>
                <w:color w:val="auto"/>
              </w:rPr>
            </w:pPr>
          </w:p>
        </w:tc>
        <w:tc>
          <w:tcPr>
            <w:tcW w:w="2860" w:type="dxa"/>
            <w:vAlign w:val="bottom"/>
            <w:gridSpan w:val="4"/>
          </w:tcPr>
          <w:p>
            <w:pPr>
              <w:ind w:left="4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680" w:type="dxa"/>
            <w:vAlign w:val="bottom"/>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0" w:type="dxa"/>
            <w:vAlign w:val="bottom"/>
          </w:tcPr>
          <w:p>
            <w:pPr>
              <w:spacing w:after="0"/>
              <w:rPr>
                <w:sz w:val="1"/>
                <w:szCs w:val="1"/>
                <w:color w:val="auto"/>
              </w:rPr>
            </w:pPr>
          </w:p>
        </w:tc>
      </w:tr>
      <w:tr>
        <w:trPr>
          <w:trHeight w:val="203"/>
        </w:trPr>
        <w:tc>
          <w:tcPr>
            <w:tcW w:w="5420" w:type="dxa"/>
            <w:vAlign w:val="bottom"/>
          </w:tcPr>
          <w:p>
            <w:pPr>
              <w:spacing w:after="0"/>
              <w:rPr>
                <w:sz w:val="17"/>
                <w:szCs w:val="17"/>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2"/>
        </w:trPr>
        <w:tc>
          <w:tcPr>
            <w:tcW w:w="5420" w:type="dxa"/>
            <w:vAlign w:val="bottom"/>
            <w:tcBorders>
              <w:bottom w:val="single" w:sz="8" w:color="E5FFFF"/>
            </w:tcBorders>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20" w:type="dxa"/>
            <w:vAlign w:val="bottom"/>
            <w:tcBorders>
              <w:bottom w:val="single" w:sz="8" w:color="E5FFFF"/>
            </w:tcBorders>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Borders>
              <w:bottom w:val="single" w:sz="8" w:color="E5FFFF"/>
            </w:tcBorders>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Borders>
              <w:bottom w:val="single" w:sz="8" w:color="E5FFFF"/>
            </w:tcBorders>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4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Amortization and write-off of deferred loan issuance costs</w:t>
            </w:r>
          </w:p>
        </w:tc>
        <w:tc>
          <w:tcPr>
            <w:tcW w:w="13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1,209</w:t>
            </w:r>
          </w:p>
        </w:tc>
        <w:tc>
          <w:tcPr>
            <w:tcW w:w="120" w:type="dxa"/>
            <w:vAlign w:val="bottom"/>
            <w:shd w:val="clear" w:color="auto" w:fill="E5FFFF"/>
          </w:tcPr>
          <w:p>
            <w:pPr>
              <w:spacing w:after="0"/>
              <w:rPr>
                <w:sz w:val="17"/>
                <w:szCs w:val="17"/>
                <w:color w:val="auto"/>
              </w:rPr>
            </w:pPr>
          </w:p>
        </w:tc>
        <w:tc>
          <w:tcPr>
            <w:tcW w:w="13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1,334</w:t>
            </w:r>
          </w:p>
        </w:tc>
        <w:tc>
          <w:tcPr>
            <w:tcW w:w="100" w:type="dxa"/>
            <w:vAlign w:val="bottom"/>
            <w:shd w:val="clear" w:color="auto" w:fill="E5FFFF"/>
          </w:tcPr>
          <w:p>
            <w:pPr>
              <w:spacing w:after="0"/>
              <w:rPr>
                <w:sz w:val="17"/>
                <w:szCs w:val="17"/>
                <w:color w:val="auto"/>
              </w:rPr>
            </w:pPr>
          </w:p>
        </w:tc>
        <w:tc>
          <w:tcPr>
            <w:tcW w:w="13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3,648</w:t>
            </w:r>
          </w:p>
        </w:tc>
        <w:tc>
          <w:tcPr>
            <w:tcW w:w="100" w:type="dxa"/>
            <w:vAlign w:val="bottom"/>
            <w:shd w:val="clear" w:color="auto" w:fill="E5FFFF"/>
          </w:tcPr>
          <w:p>
            <w:pPr>
              <w:spacing w:after="0"/>
              <w:rPr>
                <w:sz w:val="17"/>
                <w:szCs w:val="17"/>
                <w:color w:val="auto"/>
              </w:rPr>
            </w:pPr>
          </w:p>
        </w:tc>
        <w:tc>
          <w:tcPr>
            <w:tcW w:w="12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3,466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 on loans</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7,538</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11,469</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23,137</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Interest expense on leases</w:t>
            </w:r>
          </w:p>
        </w:tc>
        <w:tc>
          <w:tcPr>
            <w:tcW w:w="13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E5FFFF"/>
          </w:tcPr>
          <w:p>
            <w:pPr>
              <w:spacing w:after="0"/>
              <w:rPr>
                <w:sz w:val="19"/>
                <w:szCs w:val="19"/>
                <w:color w:val="auto"/>
              </w:rPr>
            </w:pPr>
          </w:p>
        </w:tc>
        <w:tc>
          <w:tcPr>
            <w:tcW w:w="13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shd w:val="clear" w:color="auto" w:fill="E5FFFF"/>
          </w:tcPr>
          <w:p>
            <w:pPr>
              <w:spacing w:after="0"/>
              <w:rPr>
                <w:sz w:val="19"/>
                <w:szCs w:val="19"/>
                <w:color w:val="auto"/>
              </w:rPr>
            </w:pPr>
          </w:p>
        </w:tc>
        <w:tc>
          <w:tcPr>
            <w:tcW w:w="13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E5FFFF"/>
          </w:tcPr>
          <w:p>
            <w:pPr>
              <w:spacing w:after="0"/>
              <w:rPr>
                <w:sz w:val="19"/>
                <w:szCs w:val="19"/>
                <w:color w:val="auto"/>
              </w:rPr>
            </w:pPr>
          </w:p>
        </w:tc>
        <w:tc>
          <w:tcPr>
            <w:tcW w:w="12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1,189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Commitment fees</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Other financial costs including bank commissions</w:t>
            </w:r>
          </w:p>
        </w:tc>
        <w:tc>
          <w:tcPr>
            <w:tcW w:w="132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120" w:type="dxa"/>
            <w:vAlign w:val="bottom"/>
            <w:shd w:val="clear" w:color="auto" w:fill="E5FFFF"/>
          </w:tcPr>
          <w:p>
            <w:pPr>
              <w:spacing w:after="0"/>
              <w:rPr>
                <w:sz w:val="19"/>
                <w:szCs w:val="19"/>
                <w:color w:val="auto"/>
              </w:rPr>
            </w:pPr>
          </w:p>
        </w:tc>
        <w:tc>
          <w:tcPr>
            <w:tcW w:w="132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shd w:val="clear" w:color="auto" w:fill="E5FFFF"/>
          </w:tcPr>
          <w:p>
            <w:pPr>
              <w:spacing w:after="0"/>
              <w:rPr>
                <w:sz w:val="19"/>
                <w:szCs w:val="19"/>
                <w:color w:val="auto"/>
              </w:rPr>
            </w:pPr>
          </w:p>
        </w:tc>
        <w:tc>
          <w:tcPr>
            <w:tcW w:w="132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877</w:t>
            </w:r>
          </w:p>
        </w:tc>
        <w:tc>
          <w:tcPr>
            <w:tcW w:w="100" w:type="dxa"/>
            <w:vAlign w:val="bottom"/>
            <w:shd w:val="clear" w:color="auto" w:fill="E5FFFF"/>
          </w:tcPr>
          <w:p>
            <w:pPr>
              <w:spacing w:after="0"/>
              <w:rPr>
                <w:sz w:val="19"/>
                <w:szCs w:val="19"/>
                <w:color w:val="auto"/>
              </w:rPr>
            </w:pPr>
          </w:p>
        </w:tc>
        <w:tc>
          <w:tcPr>
            <w:tcW w:w="120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671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financial costs</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9,373</w:t>
            </w:r>
          </w:p>
        </w:tc>
        <w:tc>
          <w:tcPr>
            <w:tcW w:w="12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13,381</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27,904</w:t>
            </w:r>
          </w:p>
        </w:tc>
        <w:tc>
          <w:tcPr>
            <w:tcW w:w="10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31,940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auto"/>
              </w:rPr>
              <w:t>An analysis of loss/(gain) on derivatives is as follows:</w:t>
            </w: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542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5420" w:type="dxa"/>
            <w:vAlign w:val="bottom"/>
          </w:tcPr>
          <w:p>
            <w:pPr>
              <w:spacing w:after="0"/>
              <w:rPr>
                <w:sz w:val="24"/>
                <w:szCs w:val="24"/>
                <w:color w:val="auto"/>
              </w:rPr>
            </w:pPr>
          </w:p>
        </w:tc>
        <w:tc>
          <w:tcPr>
            <w:tcW w:w="2860" w:type="dxa"/>
            <w:vAlign w:val="bottom"/>
            <w:gridSpan w:val="4"/>
          </w:tcPr>
          <w:p>
            <w:pPr>
              <w:ind w:left="4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680" w:type="dxa"/>
            <w:vAlign w:val="bottom"/>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0" w:type="dxa"/>
            <w:vAlign w:val="bottom"/>
          </w:tcPr>
          <w:p>
            <w:pPr>
              <w:spacing w:after="0"/>
              <w:rPr>
                <w:sz w:val="1"/>
                <w:szCs w:val="1"/>
                <w:color w:val="auto"/>
              </w:rPr>
            </w:pPr>
          </w:p>
        </w:tc>
      </w:tr>
      <w:tr>
        <w:trPr>
          <w:trHeight w:val="203"/>
        </w:trPr>
        <w:tc>
          <w:tcPr>
            <w:tcW w:w="5420" w:type="dxa"/>
            <w:vAlign w:val="bottom"/>
          </w:tcPr>
          <w:p>
            <w:pPr>
              <w:spacing w:after="0"/>
              <w:rPr>
                <w:sz w:val="17"/>
                <w:szCs w:val="17"/>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2"/>
        </w:trPr>
        <w:tc>
          <w:tcPr>
            <w:tcW w:w="5420" w:type="dxa"/>
            <w:vAlign w:val="bottom"/>
            <w:tcBorders>
              <w:bottom w:val="single" w:sz="8" w:color="E5FFFF"/>
            </w:tcBorders>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20" w:type="dxa"/>
            <w:vAlign w:val="bottom"/>
            <w:tcBorders>
              <w:bottom w:val="single" w:sz="8" w:color="E5FFFF"/>
            </w:tcBorders>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Borders>
              <w:bottom w:val="single" w:sz="8" w:color="E5FFFF"/>
            </w:tcBorders>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Borders>
              <w:bottom w:val="single" w:sz="8" w:color="E5FFFF"/>
            </w:tcBorders>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2"/>
        </w:trPr>
        <w:tc>
          <w:tcPr>
            <w:tcW w:w="54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Unrealized gain on interest rate swaps held for trading (Note 12)</w:t>
            </w:r>
          </w:p>
        </w:tc>
        <w:tc>
          <w:tcPr>
            <w:tcW w:w="13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(1,787)</w:t>
            </w:r>
          </w:p>
        </w:tc>
        <w:tc>
          <w:tcPr>
            <w:tcW w:w="120" w:type="dxa"/>
            <w:vAlign w:val="bottom"/>
            <w:shd w:val="clear" w:color="auto" w:fill="E5FFFF"/>
          </w:tcPr>
          <w:p>
            <w:pPr>
              <w:spacing w:after="0"/>
              <w:rPr>
                <w:sz w:val="17"/>
                <w:szCs w:val="17"/>
                <w:color w:val="auto"/>
              </w:rPr>
            </w:pPr>
          </w:p>
        </w:tc>
        <w:tc>
          <w:tcPr>
            <w:tcW w:w="13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(3,297)</w:t>
            </w:r>
          </w:p>
        </w:tc>
        <w:tc>
          <w:tcPr>
            <w:tcW w:w="100" w:type="dxa"/>
            <w:vAlign w:val="bottom"/>
            <w:shd w:val="clear" w:color="auto" w:fill="E5FFFF"/>
          </w:tcPr>
          <w:p>
            <w:pPr>
              <w:spacing w:after="0"/>
              <w:rPr>
                <w:sz w:val="17"/>
                <w:szCs w:val="17"/>
                <w:color w:val="auto"/>
              </w:rPr>
            </w:pPr>
          </w:p>
        </w:tc>
        <w:tc>
          <w:tcPr>
            <w:tcW w:w="13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(7,356</w:t>
            </w:r>
          </w:p>
        </w:tc>
        <w:tc>
          <w:tcPr>
            <w:tcW w:w="100" w:type="dxa"/>
            <w:vAlign w:val="bottom"/>
            <w:shd w:val="clear" w:color="auto" w:fill="E5FFFF"/>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12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(12,579</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42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color w:val="auto"/>
              </w:rPr>
              <w:t>Realized loss on interest rate swaps held for trading</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1,969</w:t>
            </w:r>
          </w:p>
        </w:tc>
        <w:tc>
          <w:tcPr>
            <w:tcW w:w="120" w:type="dxa"/>
            <w:vAlign w:val="bottom"/>
            <w:tcBorders>
              <w:bottom w:val="single" w:sz="8" w:color="E5FF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00" w:type="dxa"/>
            <w:vAlign w:val="bottom"/>
            <w:tcBorders>
              <w:bottom w:val="single" w:sz="8" w:color="E5FF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6,622</w:t>
            </w:r>
          </w:p>
        </w:tc>
        <w:tc>
          <w:tcPr>
            <w:tcW w:w="100" w:type="dxa"/>
            <w:vAlign w:val="bottom"/>
            <w:tcBorders>
              <w:bottom w:val="single" w:sz="8" w:color="E5FF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3,363</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158"/>
        </w:trPr>
        <w:tc>
          <w:tcPr>
            <w:tcW w:w="5420" w:type="dxa"/>
            <w:vAlign w:val="bottom"/>
            <w:vMerge w:val="restart"/>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Total loss/(gain) on derivatives</w:t>
            </w:r>
          </w:p>
        </w:tc>
        <w:tc>
          <w:tcPr>
            <w:tcW w:w="1320" w:type="dxa"/>
            <w:vAlign w:val="bottom"/>
            <w:vMerge w:val="restart"/>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182</w:t>
            </w:r>
          </w:p>
        </w:tc>
        <w:tc>
          <w:tcPr>
            <w:tcW w:w="120" w:type="dxa"/>
            <w:vAlign w:val="bottom"/>
            <w:shd w:val="clear" w:color="auto" w:fill="E5FFFF"/>
          </w:tcPr>
          <w:p>
            <w:pPr>
              <w:spacing w:after="0"/>
              <w:rPr>
                <w:sz w:val="13"/>
                <w:szCs w:val="13"/>
                <w:color w:val="auto"/>
              </w:rPr>
            </w:pPr>
          </w:p>
        </w:tc>
        <w:tc>
          <w:tcPr>
            <w:tcW w:w="1320" w:type="dxa"/>
            <w:vAlign w:val="bottom"/>
            <w:vMerge w:val="restart"/>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(2,993</w:t>
            </w:r>
          </w:p>
        </w:tc>
        <w:tc>
          <w:tcPr>
            <w:tcW w:w="100" w:type="dxa"/>
            <w:vAlign w:val="bottom"/>
            <w:shd w:val="clear" w:color="auto" w:fill="E5FFFF"/>
          </w:tcPr>
          <w:p>
            <w:pPr>
              <w:jc w:val="right"/>
              <w:ind w:right="2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320" w:type="dxa"/>
            <w:vAlign w:val="bottom"/>
            <w:vMerge w:val="restart"/>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(734</w:t>
            </w:r>
          </w:p>
        </w:tc>
        <w:tc>
          <w:tcPr>
            <w:tcW w:w="100" w:type="dxa"/>
            <w:vAlign w:val="bottom"/>
            <w:shd w:val="clear" w:color="auto" w:fill="E5FFFF"/>
          </w:tcPr>
          <w:p>
            <w:pPr>
              <w:jc w:val="right"/>
              <w:ind w:right="2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200" w:type="dxa"/>
            <w:vAlign w:val="bottom"/>
            <w:vMerge w:val="restart"/>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(9,216</w:t>
            </w:r>
          </w:p>
        </w:tc>
        <w:tc>
          <w:tcPr>
            <w:tcW w:w="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5420" w:type="dxa"/>
            <w:vAlign w:val="bottom"/>
            <w:tcBorders>
              <w:bottom w:val="single" w:sz="8" w:color="E5FFFF"/>
            </w:tcBorders>
            <w:vMerge w:val="continue"/>
            <w:shd w:val="clear" w:color="auto" w:fill="E5FFFF"/>
          </w:tcPr>
          <w:p>
            <w:pPr>
              <w:spacing w:after="0"/>
              <w:rPr>
                <w:sz w:val="3"/>
                <w:szCs w:val="3"/>
                <w:color w:val="auto"/>
              </w:rPr>
            </w:pPr>
          </w:p>
        </w:tc>
        <w:tc>
          <w:tcPr>
            <w:tcW w:w="1320" w:type="dxa"/>
            <w:vAlign w:val="bottom"/>
            <w:tcBorders>
              <w:bottom w:val="single" w:sz="8" w:color="auto"/>
            </w:tcBorders>
            <w:vMerge w:val="continue"/>
            <w:shd w:val="clear" w:color="auto" w:fill="E5FFFF"/>
          </w:tcPr>
          <w:p>
            <w:pPr>
              <w:spacing w:after="0"/>
              <w:rPr>
                <w:sz w:val="3"/>
                <w:szCs w:val="3"/>
                <w:color w:val="auto"/>
              </w:rPr>
            </w:pPr>
          </w:p>
        </w:tc>
        <w:tc>
          <w:tcPr>
            <w:tcW w:w="120" w:type="dxa"/>
            <w:vAlign w:val="bottom"/>
            <w:tcBorders>
              <w:bottom w:val="single" w:sz="8" w:color="E5FFFF"/>
            </w:tcBorders>
            <w:shd w:val="clear" w:color="auto" w:fill="E5FFFF"/>
          </w:tcPr>
          <w:p>
            <w:pPr>
              <w:spacing w:after="0"/>
              <w:rPr>
                <w:sz w:val="3"/>
                <w:szCs w:val="3"/>
                <w:color w:val="auto"/>
              </w:rPr>
            </w:pPr>
          </w:p>
        </w:tc>
        <w:tc>
          <w:tcPr>
            <w:tcW w:w="1320" w:type="dxa"/>
            <w:vAlign w:val="bottom"/>
            <w:tcBorders>
              <w:bottom w:val="single" w:sz="8" w:color="auto"/>
            </w:tcBorders>
            <w:vMerge w:val="continue"/>
            <w:shd w:val="clear" w:color="auto" w:fill="E5FFFF"/>
          </w:tcPr>
          <w:p>
            <w:pPr>
              <w:spacing w:after="0"/>
              <w:rPr>
                <w:sz w:val="3"/>
                <w:szCs w:val="3"/>
                <w:color w:val="auto"/>
              </w:rPr>
            </w:pPr>
          </w:p>
        </w:tc>
        <w:tc>
          <w:tcPr>
            <w:tcW w:w="100" w:type="dxa"/>
            <w:vAlign w:val="bottom"/>
            <w:tcBorders>
              <w:bottom w:val="single" w:sz="8" w:color="E5FFFF"/>
            </w:tcBorders>
            <w:shd w:val="clear" w:color="auto" w:fill="E5FFFF"/>
          </w:tcPr>
          <w:p>
            <w:pPr>
              <w:spacing w:after="0"/>
              <w:rPr>
                <w:sz w:val="3"/>
                <w:szCs w:val="3"/>
                <w:color w:val="auto"/>
              </w:rPr>
            </w:pPr>
          </w:p>
        </w:tc>
        <w:tc>
          <w:tcPr>
            <w:tcW w:w="1320" w:type="dxa"/>
            <w:vAlign w:val="bottom"/>
            <w:tcBorders>
              <w:bottom w:val="single" w:sz="8" w:color="auto"/>
            </w:tcBorders>
            <w:vMerge w:val="continue"/>
            <w:shd w:val="clear" w:color="auto" w:fill="E5FFFF"/>
          </w:tcPr>
          <w:p>
            <w:pPr>
              <w:spacing w:after="0"/>
              <w:rPr>
                <w:sz w:val="3"/>
                <w:szCs w:val="3"/>
                <w:color w:val="auto"/>
              </w:rPr>
            </w:pPr>
          </w:p>
        </w:tc>
        <w:tc>
          <w:tcPr>
            <w:tcW w:w="100" w:type="dxa"/>
            <w:vAlign w:val="bottom"/>
            <w:tcBorders>
              <w:bottom w:val="single" w:sz="8" w:color="E5FFFF"/>
            </w:tcBorders>
            <w:shd w:val="clear" w:color="auto" w:fill="E5FFFF"/>
          </w:tcPr>
          <w:p>
            <w:pPr>
              <w:spacing w:after="0"/>
              <w:rPr>
                <w:sz w:val="3"/>
                <w:szCs w:val="3"/>
                <w:color w:val="auto"/>
              </w:rPr>
            </w:pPr>
          </w:p>
        </w:tc>
        <w:tc>
          <w:tcPr>
            <w:tcW w:w="1200" w:type="dxa"/>
            <w:vAlign w:val="bottom"/>
            <w:tcBorders>
              <w:bottom w:val="single" w:sz="8" w:color="auto"/>
            </w:tcBorders>
            <w:vMerge w:val="continue"/>
            <w:shd w:val="clear" w:color="auto" w:fill="E5FFFF"/>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14. Earnings per Unit (“EPU”)</w:t>
      </w:r>
    </w:p>
    <w:p>
      <w:pPr>
        <w:spacing w:after="0" w:line="237" w:lineRule="exact"/>
        <w:rPr>
          <w:sz w:val="20"/>
          <w:szCs w:val="20"/>
          <w:color w:val="auto"/>
        </w:rPr>
      </w:pPr>
    </w:p>
    <w:p>
      <w:pPr>
        <w:ind w:right="80" w:firstLine="324"/>
        <w:spacing w:after="0" w:line="298" w:lineRule="auto"/>
        <w:rPr>
          <w:sz w:val="20"/>
          <w:szCs w:val="20"/>
          <w:color w:val="auto"/>
        </w:rPr>
      </w:pPr>
      <w:r>
        <w:rPr>
          <w:rFonts w:ascii="Times New Roman" w:cs="Times New Roman" w:eastAsia="Times New Roman" w:hAnsi="Times New Roman"/>
          <w:sz w:val="16"/>
          <w:szCs w:val="16"/>
          <w:color w:val="auto"/>
        </w:rPr>
        <w:t>The Partnership calculates earnings per unit by allocating reported profit for each period to each class of units based on the distribution policy for available cash stated in the Partnership Agreement.</w:t>
      </w:r>
    </w:p>
    <w:p>
      <w:pPr>
        <w:spacing w:after="0" w:line="164" w:lineRule="exact"/>
        <w:rPr>
          <w:sz w:val="20"/>
          <w:szCs w:val="20"/>
          <w:color w:val="auto"/>
        </w:rPr>
      </w:pPr>
    </w:p>
    <w:p>
      <w:pPr>
        <w:ind w:firstLine="324"/>
        <w:spacing w:after="0" w:line="275" w:lineRule="auto"/>
        <w:rPr>
          <w:sz w:val="20"/>
          <w:szCs w:val="20"/>
          <w:color w:val="auto"/>
        </w:rPr>
      </w:pPr>
      <w:r>
        <w:rPr>
          <w:rFonts w:ascii="Times New Roman" w:cs="Times New Roman" w:eastAsia="Times New Roman" w:hAnsi="Times New Roman"/>
          <w:sz w:val="16"/>
          <w:szCs w:val="16"/>
          <w:color w:val="auto"/>
        </w:rPr>
        <w:t>Basic earnings per unit is determined by dividing profit for the period, after deducting preference unit distributions and adding/ deducting any difference of the carrying amount of preference units above/below the fair value of the consideration paid to settle them, by the weighted average number of units outstanding during the period. Diluted earnings per unit is calculated by dividing the profit of the period attributable to common unitholders by the weighted average number of potential ordinary common units assumed to have been converted into common units, unless such potential ordinary common units have an antidilutive effect.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Earnings per unit is presented for the period in which the units were outstanding, with earnings calculated as follows:</w:t>
      </w:r>
    </w:p>
    <w:p>
      <w:pPr>
        <w:sectPr>
          <w:pgSz w:w="11900" w:h="16838" w:orient="portrait"/>
          <w:cols w:equalWidth="0" w:num="1">
            <w:col w:w="11220"/>
          </w:cols>
          <w:pgMar w:left="320" w:top="90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Profit for the period and Partnership’s profit</w:t>
      </w:r>
    </w:p>
    <w:p>
      <w:pPr>
        <w:spacing w:after="0" w:line="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Adjustment for:</w:t>
      </w:r>
    </w:p>
    <w:p>
      <w:pPr>
        <w:spacing w:after="0" w:line="32" w:lineRule="exact"/>
        <w:rPr>
          <w:sz w:val="20"/>
          <w:szCs w:val="20"/>
          <w:color w:val="auto"/>
        </w:rPr>
      </w:pPr>
    </w:p>
    <w:p>
      <w:pPr>
        <w:ind w:left="120" w:right="1740"/>
        <w:spacing w:after="0" w:line="316" w:lineRule="auto"/>
        <w:rPr>
          <w:sz w:val="20"/>
          <w:szCs w:val="20"/>
          <w:color w:val="auto"/>
        </w:rPr>
      </w:pPr>
      <w:r>
        <w:rPr>
          <w:rFonts w:ascii="Times New Roman" w:cs="Times New Roman" w:eastAsia="Times New Roman" w:hAnsi="Times New Roman"/>
          <w:sz w:val="16"/>
          <w:szCs w:val="16"/>
          <w:color w:val="auto"/>
        </w:rPr>
        <w:t>Accrued preference unit distributions Differences on repurchase of preference units</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860" w:type="dxa"/>
            <w:vAlign w:val="bottom"/>
            <w:gridSpan w:val="4"/>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680" w:type="dxa"/>
            <w:vAlign w:val="bottom"/>
            <w:gridSpan w:val="4"/>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03"/>
        </w:trPr>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5"/>
        </w:trPr>
        <w:tc>
          <w:tcPr>
            <w:tcW w:w="13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8"/>
                <w:szCs w:val="18"/>
                <w:color w:val="auto"/>
              </w:rPr>
            </w:pPr>
          </w:p>
        </w:tc>
      </w:tr>
      <w:tr>
        <w:trPr>
          <w:trHeight w:val="209"/>
        </w:trPr>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26,487</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42,651</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76,510</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78,393</w:t>
            </w:r>
          </w:p>
        </w:tc>
        <w:tc>
          <w:tcPr>
            <w:tcW w:w="60" w:type="dxa"/>
            <w:vAlign w:val="bottom"/>
          </w:tcPr>
          <w:p>
            <w:pPr>
              <w:spacing w:after="0"/>
              <w:rPr>
                <w:sz w:val="18"/>
                <w:szCs w:val="18"/>
                <w:color w:val="auto"/>
              </w:rPr>
            </w:pPr>
          </w:p>
        </w:tc>
      </w:tr>
      <w:tr>
        <w:trPr>
          <w:trHeight w:val="408"/>
        </w:trPr>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(7,329)</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(6,491)</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(22,493)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(20,299)</w:t>
            </w:r>
          </w:p>
        </w:tc>
      </w:tr>
      <w:tr>
        <w:trPr>
          <w:trHeight w:val="227"/>
        </w:trPr>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(220)</w:t>
            </w:r>
          </w:p>
        </w:tc>
      </w:tr>
      <w:tr>
        <w:trPr>
          <w:trHeight w:val="20"/>
        </w:trPr>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-3434715</wp:posOffset>
            </wp:positionH>
            <wp:positionV relativeFrom="paragraph">
              <wp:posOffset>-556260</wp:posOffset>
            </wp:positionV>
            <wp:extent cx="691769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17690" cy="137160"/>
                    </a:xfrm>
                    <a:prstGeom prst="rect">
                      <a:avLst/>
                    </a:prstGeom>
                    <a:noFill/>
                  </pic:spPr>
                </pic:pic>
              </a:graphicData>
            </a:graphic>
          </wp:anchor>
        </w:drawing>
        <w:drawing>
          <wp:anchor simplePos="0" relativeHeight="251657728" behindDoc="1" locked="0" layoutInCell="0" allowOverlap="1">
            <wp:simplePos x="0" y="0"/>
            <wp:positionH relativeFrom="column">
              <wp:posOffset>-3434715</wp:posOffset>
            </wp:positionH>
            <wp:positionV relativeFrom="paragraph">
              <wp:posOffset>-282575</wp:posOffset>
            </wp:positionV>
            <wp:extent cx="691769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17690" cy="137160"/>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4820" w:space="720"/>
            <w:col w:w="5680"/>
          </w:cols>
          <w:pgMar w:left="320" w:top="907" w:right="359" w:bottom="1440" w:gutter="0" w:footer="0" w:header="0"/>
          <w:type w:val="continuous"/>
        </w:sect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7" w:right="359" w:bottom="1440" w:gutter="0" w:footer="0" w:header="0"/>
          <w:type w:val="continuous"/>
        </w:sectPr>
      </w:pPr>
    </w:p>
    <w:bookmarkStart w:id="32" w:name="page33"/>
    <w:bookmarkEnd w:id="32"/>
    <w:p>
      <w:pPr>
        <w:spacing w:after="0" w:line="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Partnership’s profit attributable to:</w:t>
      </w:r>
    </w:p>
    <w:p>
      <w:pPr>
        <w:spacing w:after="0" w:line="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Common unitholders</w:t>
      </w:r>
    </w:p>
    <w:p>
      <w:pPr>
        <w:spacing w:after="0" w:line="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General partner</w:t>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Weighted average number of units outstanding (basic)</w:t>
      </w:r>
    </w:p>
    <w:p>
      <w:pPr>
        <w:spacing w:after="0" w:line="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Common units</w:t>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General partner units</w:t>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Earnings per unit (basic)</w:t>
      </w:r>
    </w:p>
    <w:p>
      <w:pPr>
        <w:spacing w:after="0" w:line="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Common unitholders</w:t>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General partner</w:t>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Weighted average number of units outstanding (diluted)</w:t>
      </w:r>
    </w:p>
    <w:p>
      <w:pPr>
        <w:spacing w:after="0" w:line="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Common units*</w:t>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General partner units</w:t>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Earnings per unit (diluted)</w:t>
      </w:r>
    </w:p>
    <w:p>
      <w:pPr>
        <w:spacing w:after="0" w:line="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Common unitholders</w:t>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General partner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19,293</w:t>
            </w:r>
          </w:p>
        </w:tc>
        <w:tc>
          <w:tcPr>
            <w:tcW w:w="12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36,156</w:t>
            </w:r>
          </w:p>
        </w:tc>
        <w:tc>
          <w:tcPr>
            <w:tcW w:w="10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54,152</w:t>
            </w:r>
          </w:p>
        </w:tc>
        <w:tc>
          <w:tcPr>
            <w:tcW w:w="10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57,874</w:t>
            </w:r>
          </w:p>
        </w:tc>
        <w:tc>
          <w:tcPr>
            <w:tcW w:w="0" w:type="dxa"/>
            <w:vAlign w:val="bottom"/>
          </w:tcPr>
          <w:p>
            <w:pPr>
              <w:spacing w:after="0"/>
              <w:rPr>
                <w:sz w:val="1"/>
                <w:szCs w:val="1"/>
                <w:color w:val="auto"/>
              </w:rPr>
            </w:pPr>
          </w:p>
        </w:tc>
      </w:tr>
      <w:tr>
        <w:trPr>
          <w:trHeight w:val="20"/>
        </w:trPr>
        <w:tc>
          <w:tcPr>
            <w:tcW w:w="13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18,895</w:t>
            </w:r>
          </w:p>
        </w:tc>
        <w:tc>
          <w:tcPr>
            <w:tcW w:w="120" w:type="dxa"/>
            <w:vAlign w:val="bottom"/>
            <w:vMerge w:val="continue"/>
          </w:tcPr>
          <w:p>
            <w:pPr>
              <w:spacing w:after="0"/>
              <w:rPr>
                <w:sz w:val="15"/>
                <w:szCs w:val="15"/>
                <w:color w:val="auto"/>
              </w:rPr>
            </w:pPr>
          </w:p>
        </w:tc>
        <w:tc>
          <w:tcPr>
            <w:tcW w:w="13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35,416</w:t>
            </w:r>
          </w:p>
        </w:tc>
        <w:tc>
          <w:tcPr>
            <w:tcW w:w="100" w:type="dxa"/>
            <w:vAlign w:val="bottom"/>
            <w:vMerge w:val="continue"/>
          </w:tcPr>
          <w:p>
            <w:pPr>
              <w:spacing w:after="0"/>
              <w:rPr>
                <w:sz w:val="15"/>
                <w:szCs w:val="15"/>
                <w:color w:val="auto"/>
              </w:rPr>
            </w:pPr>
          </w:p>
        </w:tc>
        <w:tc>
          <w:tcPr>
            <w:tcW w:w="13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53,022</w:t>
            </w:r>
          </w:p>
        </w:tc>
        <w:tc>
          <w:tcPr>
            <w:tcW w:w="100" w:type="dxa"/>
            <w:vAlign w:val="bottom"/>
            <w:vMerge w:val="continue"/>
          </w:tcPr>
          <w:p>
            <w:pPr>
              <w:spacing w:after="0"/>
              <w:rPr>
                <w:sz w:val="15"/>
                <w:szCs w:val="15"/>
                <w:color w:val="auto"/>
              </w:rPr>
            </w:pPr>
          </w:p>
        </w:tc>
        <w:tc>
          <w:tcPr>
            <w:tcW w:w="12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56,685</w:t>
            </w:r>
          </w:p>
        </w:tc>
        <w:tc>
          <w:tcPr>
            <w:tcW w:w="0" w:type="dxa"/>
            <w:vAlign w:val="bottom"/>
          </w:tcPr>
          <w:p>
            <w:pPr>
              <w:spacing w:after="0"/>
              <w:rPr>
                <w:sz w:val="1"/>
                <w:szCs w:val="1"/>
                <w:color w:val="auto"/>
              </w:rPr>
            </w:pPr>
          </w:p>
        </w:tc>
      </w:tr>
      <w:tr>
        <w:trPr>
          <w:trHeight w:val="210"/>
        </w:trPr>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1,130</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1,189</w:t>
            </w:r>
          </w:p>
        </w:tc>
        <w:tc>
          <w:tcPr>
            <w:tcW w:w="0" w:type="dxa"/>
            <w:vAlign w:val="bottom"/>
          </w:tcPr>
          <w:p>
            <w:pPr>
              <w:spacing w:after="0"/>
              <w:rPr>
                <w:sz w:val="1"/>
                <w:szCs w:val="1"/>
                <w:color w:val="auto"/>
              </w:rPr>
            </w:pPr>
          </w:p>
        </w:tc>
      </w:tr>
      <w:tr>
        <w:trPr>
          <w:trHeight w:val="432"/>
        </w:trPr>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51,132,690</w:t>
            </w: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51,683,354</w:t>
            </w:r>
          </w:p>
        </w:tc>
        <w:tc>
          <w:tcPr>
            <w:tcW w:w="1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48,950,508</w:t>
            </w: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51,332,736</w:t>
            </w:r>
          </w:p>
        </w:tc>
        <w:tc>
          <w:tcPr>
            <w:tcW w:w="0" w:type="dxa"/>
            <w:vAlign w:val="bottom"/>
          </w:tcPr>
          <w:p>
            <w:pPr>
              <w:spacing w:after="0"/>
              <w:rPr>
                <w:sz w:val="1"/>
                <w:szCs w:val="1"/>
                <w:color w:val="auto"/>
              </w:rPr>
            </w:pPr>
          </w:p>
        </w:tc>
      </w:tr>
      <w:tr>
        <w:trPr>
          <w:trHeight w:val="216"/>
        </w:trPr>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1,077,494</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1,080,263</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1,040,467</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1,078,437</w:t>
            </w:r>
          </w:p>
        </w:tc>
        <w:tc>
          <w:tcPr>
            <w:tcW w:w="0" w:type="dxa"/>
            <w:vAlign w:val="bottom"/>
          </w:tcPr>
          <w:p>
            <w:pPr>
              <w:spacing w:after="0"/>
              <w:rPr>
                <w:sz w:val="1"/>
                <w:szCs w:val="1"/>
                <w:color w:val="auto"/>
              </w:rPr>
            </w:pPr>
          </w:p>
        </w:tc>
      </w:tr>
      <w:tr>
        <w:trPr>
          <w:trHeight w:val="432"/>
        </w:trPr>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0.37</w:t>
            </w: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0.69</w:t>
            </w:r>
          </w:p>
        </w:tc>
        <w:tc>
          <w:tcPr>
            <w:tcW w:w="1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216"/>
        </w:trPr>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0.37</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0.69</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432"/>
        </w:trPr>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53,167,016</w:t>
            </w: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53,173,390</w:t>
            </w:r>
          </w:p>
        </w:tc>
        <w:tc>
          <w:tcPr>
            <w:tcW w:w="1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51,151,079</w:t>
            </w: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53,128,438</w:t>
            </w:r>
          </w:p>
        </w:tc>
        <w:tc>
          <w:tcPr>
            <w:tcW w:w="0" w:type="dxa"/>
            <w:vAlign w:val="bottom"/>
          </w:tcPr>
          <w:p>
            <w:pPr>
              <w:spacing w:after="0"/>
              <w:rPr>
                <w:sz w:val="1"/>
                <w:szCs w:val="1"/>
                <w:color w:val="auto"/>
              </w:rPr>
            </w:pPr>
          </w:p>
        </w:tc>
      </w:tr>
      <w:tr>
        <w:trPr>
          <w:trHeight w:val="216"/>
        </w:trPr>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1,077,494</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1,080,263</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1,040,467</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1,078,437</w:t>
            </w:r>
          </w:p>
        </w:tc>
        <w:tc>
          <w:tcPr>
            <w:tcW w:w="0" w:type="dxa"/>
            <w:vAlign w:val="bottom"/>
          </w:tcPr>
          <w:p>
            <w:pPr>
              <w:spacing w:after="0"/>
              <w:rPr>
                <w:sz w:val="1"/>
                <w:szCs w:val="1"/>
                <w:color w:val="auto"/>
              </w:rPr>
            </w:pPr>
          </w:p>
        </w:tc>
      </w:tr>
      <w:tr>
        <w:trPr>
          <w:trHeight w:val="432"/>
        </w:trPr>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0.67</w:t>
            </w:r>
          </w:p>
        </w:tc>
        <w:tc>
          <w:tcPr>
            <w:tcW w:w="1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216"/>
        </w:trPr>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0.37</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0.69</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-3434715</wp:posOffset>
            </wp:positionH>
            <wp:positionV relativeFrom="paragraph">
              <wp:posOffset>-2070100</wp:posOffset>
            </wp:positionV>
            <wp:extent cx="6917690" cy="145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17690" cy="145415"/>
                    </a:xfrm>
                    <a:prstGeom prst="rect">
                      <a:avLst/>
                    </a:prstGeom>
                    <a:noFill/>
                  </pic:spPr>
                </pic:pic>
              </a:graphicData>
            </a:graphic>
          </wp:anchor>
        </w:drawing>
        <w:drawing>
          <wp:anchor simplePos="0" relativeHeight="251657728" behindDoc="1" locked="0" layoutInCell="0" allowOverlap="1">
            <wp:simplePos x="0" y="0"/>
            <wp:positionH relativeFrom="column">
              <wp:posOffset>-3434715</wp:posOffset>
            </wp:positionH>
            <wp:positionV relativeFrom="paragraph">
              <wp:posOffset>-1778635</wp:posOffset>
            </wp:positionV>
            <wp:extent cx="691769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17690" cy="137160"/>
                    </a:xfrm>
                    <a:prstGeom prst="rect">
                      <a:avLst/>
                    </a:prstGeom>
                    <a:noFill/>
                  </pic:spPr>
                </pic:pic>
              </a:graphicData>
            </a:graphic>
          </wp:anchor>
        </w:drawing>
        <w:drawing>
          <wp:anchor simplePos="0" relativeHeight="251657728" behindDoc="1" locked="0" layoutInCell="0" allowOverlap="1">
            <wp:simplePos x="0" y="0"/>
            <wp:positionH relativeFrom="column">
              <wp:posOffset>-3434715</wp:posOffset>
            </wp:positionH>
            <wp:positionV relativeFrom="paragraph">
              <wp:posOffset>-1504315</wp:posOffset>
            </wp:positionV>
            <wp:extent cx="691769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17690" cy="137160"/>
                    </a:xfrm>
                    <a:prstGeom prst="rect">
                      <a:avLst/>
                    </a:prstGeom>
                    <a:noFill/>
                  </pic:spPr>
                </pic:pic>
              </a:graphicData>
            </a:graphic>
          </wp:anchor>
        </w:drawing>
        <w:drawing>
          <wp:anchor simplePos="0" relativeHeight="251657728" behindDoc="1" locked="0" layoutInCell="0" allowOverlap="1">
            <wp:simplePos x="0" y="0"/>
            <wp:positionH relativeFrom="column">
              <wp:posOffset>-3434715</wp:posOffset>
            </wp:positionH>
            <wp:positionV relativeFrom="paragraph">
              <wp:posOffset>-1229995</wp:posOffset>
            </wp:positionV>
            <wp:extent cx="691769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17690" cy="137160"/>
                    </a:xfrm>
                    <a:prstGeom prst="rect">
                      <a:avLst/>
                    </a:prstGeom>
                    <a:noFill/>
                  </pic:spPr>
                </pic:pic>
              </a:graphicData>
            </a:graphic>
          </wp:anchor>
        </w:drawing>
        <w:drawing>
          <wp:anchor simplePos="0" relativeHeight="251657728" behindDoc="1" locked="0" layoutInCell="0" allowOverlap="1">
            <wp:simplePos x="0" y="0"/>
            <wp:positionH relativeFrom="column">
              <wp:posOffset>-3434715</wp:posOffset>
            </wp:positionH>
            <wp:positionV relativeFrom="paragraph">
              <wp:posOffset>-955675</wp:posOffset>
            </wp:positionV>
            <wp:extent cx="691769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17690" cy="137160"/>
                    </a:xfrm>
                    <a:prstGeom prst="rect">
                      <a:avLst/>
                    </a:prstGeom>
                    <a:noFill/>
                  </pic:spPr>
                </pic:pic>
              </a:graphicData>
            </a:graphic>
          </wp:anchor>
        </w:drawing>
        <w:drawing>
          <wp:anchor simplePos="0" relativeHeight="251657728" behindDoc="1" locked="0" layoutInCell="0" allowOverlap="1">
            <wp:simplePos x="0" y="0"/>
            <wp:positionH relativeFrom="column">
              <wp:posOffset>-3434715</wp:posOffset>
            </wp:positionH>
            <wp:positionV relativeFrom="paragraph">
              <wp:posOffset>-681355</wp:posOffset>
            </wp:positionV>
            <wp:extent cx="691769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17690" cy="137160"/>
                    </a:xfrm>
                    <a:prstGeom prst="rect">
                      <a:avLst/>
                    </a:prstGeom>
                    <a:noFill/>
                  </pic:spPr>
                </pic:pic>
              </a:graphicData>
            </a:graphic>
          </wp:anchor>
        </w:drawing>
        <w:drawing>
          <wp:anchor simplePos="0" relativeHeight="251657728" behindDoc="1" locked="0" layoutInCell="0" allowOverlap="1">
            <wp:simplePos x="0" y="0"/>
            <wp:positionH relativeFrom="column">
              <wp:posOffset>-3434715</wp:posOffset>
            </wp:positionH>
            <wp:positionV relativeFrom="paragraph">
              <wp:posOffset>-407035</wp:posOffset>
            </wp:positionV>
            <wp:extent cx="691769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17690" cy="137160"/>
                    </a:xfrm>
                    <a:prstGeom prst="rect">
                      <a:avLst/>
                    </a:prstGeom>
                    <a:noFill/>
                  </pic:spPr>
                </pic:pic>
              </a:graphicData>
            </a:graphic>
          </wp:anchor>
        </w:drawing>
        <w:drawing>
          <wp:anchor simplePos="0" relativeHeight="251657728" behindDoc="1" locked="0" layoutInCell="0" allowOverlap="1">
            <wp:simplePos x="0" y="0"/>
            <wp:positionH relativeFrom="column">
              <wp:posOffset>-3434715</wp:posOffset>
            </wp:positionH>
            <wp:positionV relativeFrom="paragraph">
              <wp:posOffset>-132715</wp:posOffset>
            </wp:positionV>
            <wp:extent cx="691769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17690" cy="137160"/>
                    </a:xfrm>
                    <a:prstGeom prst="rect">
                      <a:avLst/>
                    </a:prstGeom>
                    <a:noFill/>
                  </pic:spPr>
                </pic:pic>
              </a:graphicData>
            </a:graphic>
          </wp:anchor>
        </w:drawing>
      </w:r>
    </w:p>
    <w:p>
      <w:pPr>
        <w:spacing w:after="0" w:line="199" w:lineRule="exact"/>
        <w:rPr>
          <w:sz w:val="20"/>
          <w:szCs w:val="20"/>
          <w:color w:val="auto"/>
        </w:rPr>
      </w:pPr>
    </w:p>
    <w:p>
      <w:pPr>
        <w:sectPr>
          <w:pgSz w:w="11900" w:h="16838" w:orient="portrait"/>
          <w:cols w:equalWidth="0" w:num="2">
            <w:col w:w="4820" w:space="720"/>
            <w:col w:w="5700"/>
          </w:cols>
          <w:pgMar w:left="320" w:top="929" w:right="339" w:bottom="1440" w:gutter="0" w:footer="0" w:header="0"/>
        </w:sectPr>
      </w:pPr>
    </w:p>
    <w:p>
      <w:pPr>
        <w:ind w:left="120" w:right="180" w:hanging="112"/>
        <w:spacing w:after="0" w:line="241" w:lineRule="auto"/>
        <w:tabs>
          <w:tab w:leader="none" w:pos="1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unvested awards with respect to the 2015 Plan and Class B units. After the conversion of the first, second and third tranche of 415,000 Class B units on July 1, 2020, 2021 and 2022, respectively, the remaining 1,245,000 Class B units will become eligible for conversion on a one-for-one basis into common units at GasLog’s option in three tranches of 415,000 units per annum on July 1 of 2023, 2024 and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15. Commitments and Contingencies</w:t>
      </w: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Future gross minimum lease payments receivable in relation to non-cancellable time charter agreements for vessels in operation, including a vessel under a lease (Note</w:t>
      </w:r>
    </w:p>
    <w:p>
      <w:pPr>
        <w:spacing w:after="0" w:line="26" w:lineRule="exact"/>
        <w:rPr>
          <w:sz w:val="20"/>
          <w:szCs w:val="20"/>
          <w:color w:val="auto"/>
        </w:rPr>
      </w:pPr>
    </w:p>
    <w:p>
      <w:pPr>
        <w:ind w:right="120" w:firstLine="8"/>
        <w:spacing w:after="0" w:line="288" w:lineRule="auto"/>
        <w:tabs>
          <w:tab w:leader="none" w:pos="175"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September 30, 2022, are as follows (30 off-hire days are assumed when each vessel will undergo scheduled dry-docking; in addition, early redelivery of the vessels by the charterers or any exercise of the charterers’ options to extend the terms of the charters are not accounted for):</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22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b w:val="1"/>
                <w:bCs w:val="1"/>
                <w:i w:val="1"/>
                <w:iCs w:val="1"/>
                <w:color w:val="auto"/>
              </w:rPr>
              <w:t>Period</w:t>
            </w:r>
          </w:p>
        </w:tc>
        <w:tc>
          <w:tcPr>
            <w:tcW w:w="20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September 30, 2022</w:t>
            </w:r>
          </w:p>
        </w:tc>
      </w:tr>
      <w:tr>
        <w:trPr>
          <w:trHeight w:val="202"/>
        </w:trPr>
        <w:tc>
          <w:tcPr>
            <w:tcW w:w="92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Not later than one year</w:t>
            </w:r>
          </w:p>
        </w:tc>
        <w:tc>
          <w:tcPr>
            <w:tcW w:w="20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267,090</w:t>
            </w:r>
          </w:p>
        </w:tc>
      </w:tr>
      <w:tr>
        <w:trPr>
          <w:trHeight w:val="203"/>
        </w:trPr>
        <w:tc>
          <w:tcPr>
            <w:tcW w:w="9220" w:type="dxa"/>
            <w:vAlign w:val="bottom"/>
          </w:tcPr>
          <w:p>
            <w:pPr>
              <w:spacing w:after="0"/>
              <w:rPr>
                <w:sz w:val="20"/>
                <w:szCs w:val="20"/>
                <w:color w:val="auto"/>
              </w:rPr>
            </w:pPr>
            <w:r>
              <w:rPr>
                <w:rFonts w:ascii="Times New Roman" w:cs="Times New Roman" w:eastAsia="Times New Roman" w:hAnsi="Times New Roman"/>
                <w:sz w:val="16"/>
                <w:szCs w:val="16"/>
                <w:color w:val="auto"/>
              </w:rPr>
              <w:t>Later than one year and not later than two years</w:t>
            </w: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87,261</w:t>
            </w:r>
          </w:p>
        </w:tc>
      </w:tr>
      <w:tr>
        <w:trPr>
          <w:trHeight w:val="203"/>
        </w:trPr>
        <w:tc>
          <w:tcPr>
            <w:tcW w:w="92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Later than two years and not later than three years</w:t>
            </w:r>
          </w:p>
        </w:tc>
        <w:tc>
          <w:tcPr>
            <w:tcW w:w="20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62,623</w:t>
            </w:r>
          </w:p>
        </w:tc>
      </w:tr>
      <w:tr>
        <w:trPr>
          <w:trHeight w:val="203"/>
        </w:trPr>
        <w:tc>
          <w:tcPr>
            <w:tcW w:w="922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color w:val="auto"/>
              </w:rPr>
              <w:t>Later than three years and not later than four years</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32,155</w:t>
            </w:r>
          </w:p>
        </w:tc>
      </w:tr>
      <w:tr>
        <w:trPr>
          <w:trHeight w:val="196"/>
        </w:trPr>
        <w:tc>
          <w:tcPr>
            <w:tcW w:w="9220" w:type="dxa"/>
            <w:vAlign w:val="bottom"/>
            <w:tcBorders>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2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$449,129</w:t>
            </w:r>
          </w:p>
        </w:tc>
      </w:tr>
      <w:tr>
        <w:trPr>
          <w:trHeight w:val="20"/>
        </w:trPr>
        <w:tc>
          <w:tcPr>
            <w:tcW w:w="922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324"/>
        <w:spacing w:after="0" w:line="298" w:lineRule="auto"/>
        <w:rPr>
          <w:sz w:val="20"/>
          <w:szCs w:val="20"/>
          <w:color w:val="auto"/>
        </w:rPr>
      </w:pPr>
      <w:r>
        <w:rPr>
          <w:rFonts w:ascii="Times New Roman" w:cs="Times New Roman" w:eastAsia="Times New Roman" w:hAnsi="Times New Roman"/>
          <w:sz w:val="16"/>
          <w:szCs w:val="16"/>
          <w:color w:val="auto"/>
        </w:rPr>
        <w:t>In September 2017 and July 2018, GasLog LNG Services entered into maintenance agreements with Wartsila Greece S.A. in respect of nine of the Partnership’s LNG carriers. The agreements ensure dynamic maintenance planning, technical support, security of spare parts supply, specialist technical personnel and performance monitoring.</w:t>
      </w:r>
    </w:p>
    <w:p>
      <w:pPr>
        <w:spacing w:after="0" w:line="164" w:lineRule="exact"/>
        <w:rPr>
          <w:sz w:val="20"/>
          <w:szCs w:val="20"/>
          <w:color w:val="auto"/>
        </w:rPr>
      </w:pPr>
    </w:p>
    <w:p>
      <w:pPr>
        <w:ind w:right="80" w:firstLine="324"/>
        <w:spacing w:after="0" w:line="281" w:lineRule="auto"/>
        <w:rPr>
          <w:sz w:val="20"/>
          <w:szCs w:val="20"/>
          <w:color w:val="auto"/>
        </w:rPr>
      </w:pPr>
      <w:r>
        <w:rPr>
          <w:rFonts w:ascii="Times New Roman" w:cs="Times New Roman" w:eastAsia="Times New Roman" w:hAnsi="Times New Roman"/>
          <w:sz w:val="16"/>
          <w:szCs w:val="16"/>
          <w:color w:val="auto"/>
        </w:rPr>
        <w:t>In March 2019, GasLog LNG Services entered into an agreement with Samsung Heavy Industries Co., Ltd. (“Samsung”) in respect of eleven of the Partnership’s LNG carriers. The agreement covers the supply of ballast water management systems on board the vessels by Samsung and associated field, commissioning and engineering services for a firm period of six years. As of September 30, 2022, ballast water management systems had been installed on seven out of the eleven vessels.</w:t>
      </w:r>
    </w:p>
    <w:p>
      <w:pPr>
        <w:spacing w:after="0" w:line="177" w:lineRule="exact"/>
        <w:rPr>
          <w:sz w:val="20"/>
          <w:szCs w:val="20"/>
          <w:color w:val="auto"/>
        </w:rPr>
      </w:pPr>
    </w:p>
    <w:p>
      <w:pPr>
        <w:ind w:right="220" w:firstLine="324"/>
        <w:spacing w:after="0" w:line="281" w:lineRule="auto"/>
        <w:rPr>
          <w:sz w:val="20"/>
          <w:szCs w:val="20"/>
          <w:color w:val="auto"/>
        </w:rPr>
      </w:pPr>
      <w:r>
        <w:rPr>
          <w:rFonts w:ascii="Times New Roman" w:cs="Times New Roman" w:eastAsia="Times New Roman" w:hAnsi="Times New Roman"/>
          <w:sz w:val="16"/>
          <w:szCs w:val="16"/>
          <w:color w:val="auto"/>
        </w:rPr>
        <w:t>Various claims, suits and complaints, including those involving government regulations, arise in the ordinary course of the shipping business. In addition, losses may arise from disputes with charterers, environmental claims, agents and insurers and from claims with suppliers relating to the operations of the Partnership’s vessels. Currently, management is not aware of any such claims or contingent liabilities requiring disclosure in the consolidated financial statements.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16. Subsequent Events</w:t>
      </w:r>
    </w:p>
    <w:p>
      <w:pPr>
        <w:spacing w:after="0" w:line="237" w:lineRule="exact"/>
        <w:rPr>
          <w:sz w:val="20"/>
          <w:szCs w:val="20"/>
          <w:color w:val="auto"/>
        </w:rPr>
      </w:pPr>
    </w:p>
    <w:p>
      <w:pPr>
        <w:ind w:right="80" w:firstLine="324"/>
        <w:spacing w:after="0" w:line="298" w:lineRule="auto"/>
        <w:rPr>
          <w:sz w:val="20"/>
          <w:szCs w:val="20"/>
          <w:color w:val="auto"/>
        </w:rPr>
      </w:pPr>
      <w:r>
        <w:rPr>
          <w:rFonts w:ascii="Times New Roman" w:cs="Times New Roman" w:eastAsia="Times New Roman" w:hAnsi="Times New Roman"/>
          <w:sz w:val="16"/>
          <w:szCs w:val="16"/>
          <w:color w:val="auto"/>
        </w:rPr>
        <w:t>On October 3, 2022 and October 4, 2022, GasLog Partners repurchased and cancelled 101,627 Series A Preference Units, 75,100 Series B Preference Units and 32,900 Series C Preference Units under its preference unit repurchase programme.</w:t>
      </w:r>
    </w:p>
    <w:p>
      <w:pPr>
        <w:spacing w:after="0" w:line="162"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6"/>
          <w:szCs w:val="16"/>
          <w:color w:val="auto"/>
        </w:rPr>
        <w:t xml:space="preserve">On October 21, 2022, GasLog Partners’ subsidiary, GAS-twenty one Ltd., entered into a sale and lease-back agreement for the </w:t>
      </w:r>
      <w:r>
        <w:rPr>
          <w:rFonts w:ascii="Times New Roman" w:cs="Times New Roman" w:eastAsia="Times New Roman" w:hAnsi="Times New Roman"/>
          <w:sz w:val="16"/>
          <w:szCs w:val="16"/>
          <w:i w:val="1"/>
          <w:iCs w:val="1"/>
          <w:color w:val="auto"/>
        </w:rPr>
        <w:t>Methane Heather Sally</w:t>
      </w:r>
      <w:r>
        <w:rPr>
          <w:rFonts w:ascii="Times New Roman" w:cs="Times New Roman" w:eastAsia="Times New Roman" w:hAnsi="Times New Roman"/>
          <w:sz w:val="16"/>
          <w:szCs w:val="16"/>
          <w:color w:val="auto"/>
        </w:rPr>
        <w:t>, a Steam LNG carrier built in 2007, for $50,000. The vessel was sold to an unrelated third party and leased back under a bareboat charter until the middle of 2025, with no repurchase option or obligation. The transaction is expected to be completed within the year. The vessel remains on its charter with a Southeast Asian charterer.</w:t>
      </w:r>
    </w:p>
    <w:p>
      <w:pPr>
        <w:spacing w:after="0" w:line="177" w:lineRule="exact"/>
        <w:rPr>
          <w:sz w:val="20"/>
          <w:szCs w:val="20"/>
          <w:color w:val="auto"/>
        </w:rPr>
      </w:pPr>
    </w:p>
    <w:p>
      <w:pPr>
        <w:jc w:val="both"/>
        <w:ind w:right="280" w:firstLine="324"/>
        <w:spacing w:after="0" w:line="281" w:lineRule="auto"/>
        <w:rPr>
          <w:sz w:val="20"/>
          <w:szCs w:val="20"/>
          <w:color w:val="auto"/>
        </w:rPr>
      </w:pPr>
      <w:r>
        <w:rPr>
          <w:rFonts w:ascii="Times New Roman" w:cs="Times New Roman" w:eastAsia="Times New Roman" w:hAnsi="Times New Roman"/>
          <w:sz w:val="16"/>
          <w:szCs w:val="16"/>
          <w:color w:val="auto"/>
        </w:rPr>
        <w:t>On October 26, 2022, the board of directors of GasLog Partners approved and declared a quarterly cash distribution of $0.01 per common unit for the quarter ended September 30, 2022. The cash distribution is payable on November 10, 2022 to all unitholders of record as of November 7, 2022. The aggregate amount of the declared distribution will be $528 based on the number of units issued and outstanding as of September 30, 2022.</w:t>
      </w:r>
    </w:p>
    <w:p>
      <w:pPr>
        <w:spacing w:after="0" w:line="177" w:lineRule="exact"/>
        <w:rPr>
          <w:sz w:val="20"/>
          <w:szCs w:val="20"/>
          <w:color w:val="auto"/>
        </w:rPr>
      </w:pPr>
    </w:p>
    <w:p>
      <w:pPr>
        <w:ind w:right="140" w:firstLine="324"/>
        <w:spacing w:after="0" w:line="281" w:lineRule="auto"/>
        <w:rPr>
          <w:sz w:val="20"/>
          <w:szCs w:val="20"/>
          <w:color w:val="auto"/>
        </w:rPr>
      </w:pPr>
      <w:r>
        <w:rPr>
          <w:rFonts w:ascii="Times New Roman" w:cs="Times New Roman" w:eastAsia="Times New Roman" w:hAnsi="Times New Roman"/>
          <w:sz w:val="16"/>
          <w:szCs w:val="16"/>
          <w:color w:val="auto"/>
        </w:rPr>
        <w:t>On October 26, 2022, the board of directors of GasLog Partners approved and declared a distribution on the Series A Preference Units of $0.5390625 per preference unit, a distribution on the Series B Preference Units of $0.5125 per preference unit and a distribution on the Series C Preference Units of $0.53125 per preference unit. The cash distributions are payable on December 15, 2022 to all unitholders of record as of December 8, 2022.</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2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decimal"/>
      <w:start w:val="2"/>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4"/>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lowerRoman"/>
      <w:start w:val="1"/>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2022-10-27T05:52:46Z</dcterms:created>
  <dcterms:modified xsi:type="dcterms:W3CDTF">2022-10-27T05:52:46Z</dcterms:modified>
</cp:coreProperties>
</file>