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6,697,650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6,697,650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6,697,650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7780" w:hanging="587"/>
        <w:spacing w:after="0" w:line="334" w:lineRule="auto"/>
        <w:tabs>
          <w:tab w:leader="none" w:pos="15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GasLog Partners LP</w:t>
      </w:r>
    </w:p>
    <w:p>
      <w:pPr>
        <w:spacing w:after="0" w:line="12" w:lineRule="exact"/>
        <w:rPr>
          <w:rFonts w:ascii="Arial" w:cs="Arial" w:eastAsia="Arial" w:hAnsi="Arial"/>
          <w:sz w:val="19"/>
          <w:szCs w:val="19"/>
          <w:b w:val="1"/>
          <w:bCs w:val="1"/>
          <w:color w:val="auto"/>
        </w:rPr>
      </w:pPr>
    </w:p>
    <w:p>
      <w:pPr>
        <w:ind w:left="1500" w:right="5220" w:hanging="587"/>
        <w:spacing w:after="0" w:line="280" w:lineRule="auto"/>
        <w:tabs>
          <w:tab w:leader="none" w:pos="15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Address of Issuer's Principal Executive Offices </w:t>
      </w:r>
      <w:r>
        <w:rPr>
          <w:rFonts w:ascii="Arial" w:cs="Arial" w:eastAsia="Arial" w:hAnsi="Arial"/>
          <w:sz w:val="21"/>
          <w:szCs w:val="21"/>
          <w:color w:val="auto"/>
        </w:rPr>
        <w:t>69, Akti, Miaouli, Piraeus 330 53, GR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Y2687W108</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6,697,650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14.4%</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6,697,650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6,697,650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right="140"/>
        <w:spacing w:after="0" w:line="252" w:lineRule="auto"/>
        <w:rPr>
          <w:sz w:val="20"/>
          <w:szCs w:val="20"/>
          <w:color w:val="auto"/>
        </w:rPr>
      </w:pPr>
      <w:r>
        <w:rPr>
          <w:rFonts w:ascii="Arial" w:cs="Arial" w:eastAsia="Arial" w:hAnsi="Arial"/>
          <w:sz w:val="21"/>
          <w:szCs w:val="21"/>
          <w:color w:val="auto"/>
        </w:rPr>
        <w:t>Invesco Capital Management LLC is a subsidiary of Invesco Ltd. and it advises the Invesco International Dividend Achievers ETF which owns 9.15%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87"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July 10, 2020</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2020-07-10T14:19:49Z</dcterms:created>
  <dcterms:modified xsi:type="dcterms:W3CDTF">2020-07-10T14:19:49Z</dcterms:modified>
</cp:coreProperties>
</file>