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435" w:right="1440" w:bottom="1440" w:gutter="0" w:footer="0" w:header="0"/>
        </w:sectPr>
      </w:pPr>
    </w:p>
    <w:bookmarkStart w:id="1" w:name="page2"/>
    <w:bookmarkEnd w:id="1"/>
    <w:p>
      <w:pPr>
        <w:ind w:right="340"/>
        <w:spacing w:after="0" w:line="277" w:lineRule="auto"/>
        <w:rPr>
          <w:sz w:val="20"/>
          <w:szCs w:val="20"/>
          <w:color w:val="auto"/>
        </w:rPr>
      </w:pPr>
      <w:r>
        <w:rPr>
          <w:rFonts w:ascii="Arial" w:cs="Arial" w:eastAsia="Arial" w:hAnsi="Arial"/>
          <w:sz w:val="18"/>
          <w:szCs w:val="18"/>
          <w:color w:val="auto"/>
        </w:rPr>
        <w:t>The press release issued by GasLog Partners LP. on August 5, 2020 confirming the Series A, Series B and Series C Preference Distributions payable on September 15, 2020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50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Andrew Orekar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80" w:type="dxa"/>
            <w:vAlign w:val="bottom"/>
          </w:tcPr>
          <w:p>
            <w:pPr>
              <w:spacing w:after="0"/>
              <w:rPr>
                <w:sz w:val="18"/>
                <w:szCs w:val="18"/>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3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GasLog Partners LP Declares Distributions on Series A, B and C Preference Units</w:t>
      </w:r>
    </w:p>
    <w:p>
      <w:pPr>
        <w:spacing w:after="0" w:line="202" w:lineRule="exact"/>
        <w:rPr>
          <w:sz w:val="20"/>
          <w:szCs w:val="20"/>
          <w:color w:val="auto"/>
        </w:rPr>
      </w:pPr>
    </w:p>
    <w:p>
      <w:pPr>
        <w:ind w:right="640"/>
        <w:spacing w:after="0" w:line="257" w:lineRule="auto"/>
        <w:rPr>
          <w:sz w:val="20"/>
          <w:szCs w:val="20"/>
          <w:color w:val="auto"/>
        </w:rPr>
      </w:pPr>
      <w:r>
        <w:rPr>
          <w:rFonts w:ascii="Arial" w:cs="Arial" w:eastAsia="Arial" w:hAnsi="Arial"/>
          <w:sz w:val="20"/>
          <w:szCs w:val="20"/>
          <w:b w:val="1"/>
          <w:bCs w:val="1"/>
          <w:color w:val="auto"/>
        </w:rPr>
        <w:t xml:space="preserve">Piraeus, Greece, August 5, 2020 — </w:t>
      </w:r>
      <w:r>
        <w:rPr>
          <w:rFonts w:ascii="Arial" w:cs="Arial" w:eastAsia="Arial" w:hAnsi="Arial"/>
          <w:sz w:val="20"/>
          <w:szCs w:val="20"/>
          <w:color w:val="auto"/>
        </w:rPr>
        <w:t>GasLog Partners LP (“GasLog Partners” or the “Partnership”) (NYSE: GLOP)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the quarterly distributions on its preference units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Borders>
              <w:right w:val="single" w:sz="8" w:color="auto"/>
            </w:tcBorders>
          </w:tcPr>
          <w:p>
            <w:pPr>
              <w:spacing w:after="0"/>
              <w:rPr>
                <w:sz w:val="19"/>
                <w:szCs w:val="19"/>
                <w:color w:val="auto"/>
              </w:rPr>
            </w:pPr>
          </w:p>
        </w:tc>
        <w:tc>
          <w:tcPr>
            <w:tcW w:w="4620" w:type="dxa"/>
            <w:vAlign w:val="bottom"/>
            <w:tcBorders>
              <w:top w:val="single" w:sz="8" w:color="auto"/>
              <w:bottom w:val="single" w:sz="8" w:color="auto"/>
              <w:right w:val="single" w:sz="8" w:color="auto"/>
            </w:tcBorders>
          </w:tcPr>
          <w:p>
            <w:pPr>
              <w:spacing w:after="0"/>
              <w:rPr>
                <w:sz w:val="19"/>
                <w:szCs w:val="19"/>
                <w:color w:val="auto"/>
              </w:rPr>
            </w:pPr>
          </w:p>
        </w:tc>
        <w:tc>
          <w:tcPr>
            <w:tcW w:w="1880" w:type="dxa"/>
            <w:vAlign w:val="bottom"/>
            <w:tcBorders>
              <w:top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20"/>
                <w:szCs w:val="20"/>
                <w:b w:val="1"/>
                <w:bCs w:val="1"/>
                <w:color w:val="auto"/>
              </w:rPr>
              <w:t>Distribution</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Record Date</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Payment Date</w:t>
            </w:r>
          </w:p>
        </w:tc>
      </w:tr>
      <w:tr>
        <w:trPr>
          <w:trHeight w:val="206"/>
        </w:trPr>
        <w:tc>
          <w:tcPr>
            <w:tcW w:w="16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8.625% Series A Cumulative Redeemable</w:t>
            </w:r>
          </w:p>
        </w:tc>
        <w:tc>
          <w:tcPr>
            <w:tcW w:w="188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$0.5390625 per</w:t>
            </w:r>
          </w:p>
        </w:tc>
        <w:tc>
          <w:tcPr>
            <w:tcW w:w="21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8, 2020</w:t>
            </w:r>
          </w:p>
        </w:tc>
        <w:tc>
          <w:tcPr>
            <w:tcW w:w="22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15, 2020</w:t>
            </w:r>
          </w:p>
        </w:tc>
      </w:tr>
      <w:tr>
        <w:trPr>
          <w:trHeight w:val="237"/>
        </w:trPr>
        <w:tc>
          <w:tcPr>
            <w:tcW w:w="16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Perpetual Fixed to Floating Rate Preference Units</w:t>
            </w:r>
          </w:p>
        </w:tc>
        <w:tc>
          <w:tcPr>
            <w:tcW w:w="18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preference unit</w:t>
            </w:r>
          </w:p>
        </w:tc>
        <w:tc>
          <w:tcPr>
            <w:tcW w:w="21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r>
      <w:tr>
        <w:trPr>
          <w:trHeight w:val="77"/>
        </w:trPr>
        <w:tc>
          <w:tcPr>
            <w:tcW w:w="160" w:type="dxa"/>
            <w:vAlign w:val="bottom"/>
            <w:tcBorders>
              <w:right w:val="single" w:sz="8" w:color="auto"/>
            </w:tcBorders>
          </w:tcPr>
          <w:p>
            <w:pPr>
              <w:spacing w:after="0"/>
              <w:rPr>
                <w:sz w:val="6"/>
                <w:szCs w:val="6"/>
                <w:color w:val="auto"/>
              </w:rPr>
            </w:pPr>
          </w:p>
        </w:tc>
        <w:tc>
          <w:tcPr>
            <w:tcW w:w="46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r>
      <w:tr>
        <w:trPr>
          <w:trHeight w:val="206"/>
        </w:trPr>
        <w:tc>
          <w:tcPr>
            <w:tcW w:w="16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8.200% Series B Cumulative Redeemable</w:t>
            </w:r>
          </w:p>
        </w:tc>
        <w:tc>
          <w:tcPr>
            <w:tcW w:w="188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$0.5125 per</w:t>
            </w:r>
          </w:p>
        </w:tc>
        <w:tc>
          <w:tcPr>
            <w:tcW w:w="21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8, 2020</w:t>
            </w:r>
          </w:p>
        </w:tc>
        <w:tc>
          <w:tcPr>
            <w:tcW w:w="22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15, 2020</w:t>
            </w:r>
          </w:p>
        </w:tc>
      </w:tr>
      <w:tr>
        <w:trPr>
          <w:trHeight w:val="237"/>
        </w:trPr>
        <w:tc>
          <w:tcPr>
            <w:tcW w:w="16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Perpetual Fixed to Floating Rate Preference Units</w:t>
            </w:r>
          </w:p>
        </w:tc>
        <w:tc>
          <w:tcPr>
            <w:tcW w:w="18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preference unit</w:t>
            </w:r>
          </w:p>
        </w:tc>
        <w:tc>
          <w:tcPr>
            <w:tcW w:w="21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r>
      <w:tr>
        <w:trPr>
          <w:trHeight w:val="77"/>
        </w:trPr>
        <w:tc>
          <w:tcPr>
            <w:tcW w:w="160" w:type="dxa"/>
            <w:vAlign w:val="bottom"/>
            <w:tcBorders>
              <w:right w:val="single" w:sz="8" w:color="auto"/>
            </w:tcBorders>
          </w:tcPr>
          <w:p>
            <w:pPr>
              <w:spacing w:after="0"/>
              <w:rPr>
                <w:sz w:val="6"/>
                <w:szCs w:val="6"/>
                <w:color w:val="auto"/>
              </w:rPr>
            </w:pPr>
          </w:p>
        </w:tc>
        <w:tc>
          <w:tcPr>
            <w:tcW w:w="46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r>
      <w:tr>
        <w:trPr>
          <w:trHeight w:val="206"/>
        </w:trPr>
        <w:tc>
          <w:tcPr>
            <w:tcW w:w="160" w:type="dxa"/>
            <w:vAlign w:val="bottom"/>
            <w:tcBorders>
              <w:right w:val="single" w:sz="8" w:color="auto"/>
            </w:tcBorders>
          </w:tcPr>
          <w:p>
            <w:pPr>
              <w:spacing w:after="0"/>
              <w:rPr>
                <w:sz w:val="17"/>
                <w:szCs w:val="17"/>
                <w:color w:val="auto"/>
              </w:rPr>
            </w:pPr>
          </w:p>
        </w:tc>
        <w:tc>
          <w:tcPr>
            <w:tcW w:w="462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8.500% Series C Cumulative Redeemable</w:t>
            </w:r>
          </w:p>
        </w:tc>
        <w:tc>
          <w:tcPr>
            <w:tcW w:w="1880" w:type="dxa"/>
            <w:vAlign w:val="bottom"/>
            <w:tcBorders>
              <w:right w:val="single" w:sz="8" w:color="auto"/>
            </w:tcBorders>
          </w:tcPr>
          <w:p>
            <w:pPr>
              <w:ind w:left="60"/>
              <w:spacing w:after="0" w:line="206" w:lineRule="exact"/>
              <w:rPr>
                <w:sz w:val="20"/>
                <w:szCs w:val="20"/>
                <w:color w:val="auto"/>
              </w:rPr>
            </w:pPr>
            <w:r>
              <w:rPr>
                <w:rFonts w:ascii="Arial" w:cs="Arial" w:eastAsia="Arial" w:hAnsi="Arial"/>
                <w:sz w:val="20"/>
                <w:szCs w:val="20"/>
                <w:color w:val="auto"/>
              </w:rPr>
              <w:t>$0.53125 per</w:t>
            </w:r>
          </w:p>
        </w:tc>
        <w:tc>
          <w:tcPr>
            <w:tcW w:w="21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8, 2020</w:t>
            </w:r>
          </w:p>
        </w:tc>
        <w:tc>
          <w:tcPr>
            <w:tcW w:w="228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September 15, 2020</w:t>
            </w:r>
          </w:p>
        </w:tc>
      </w:tr>
      <w:tr>
        <w:trPr>
          <w:trHeight w:val="237"/>
        </w:trPr>
        <w:tc>
          <w:tcPr>
            <w:tcW w:w="16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Perpetual Fixed to Floating Rate Preference Units</w:t>
            </w:r>
          </w:p>
        </w:tc>
        <w:tc>
          <w:tcPr>
            <w:tcW w:w="188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preference unit</w:t>
            </w:r>
          </w:p>
        </w:tc>
        <w:tc>
          <w:tcPr>
            <w:tcW w:w="21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r>
      <w:tr>
        <w:trPr>
          <w:trHeight w:val="77"/>
        </w:trPr>
        <w:tc>
          <w:tcPr>
            <w:tcW w:w="160" w:type="dxa"/>
            <w:vAlign w:val="bottom"/>
            <w:tcBorders>
              <w:right w:val="single" w:sz="8" w:color="auto"/>
            </w:tcBorders>
          </w:tcPr>
          <w:p>
            <w:pPr>
              <w:spacing w:after="0"/>
              <w:rPr>
                <w:sz w:val="6"/>
                <w:szCs w:val="6"/>
                <w:color w:val="auto"/>
              </w:rPr>
            </w:pPr>
          </w:p>
        </w:tc>
        <w:tc>
          <w:tcPr>
            <w:tcW w:w="4620" w:type="dxa"/>
            <w:vAlign w:val="bottom"/>
            <w:tcBorders>
              <w:bottom w:val="single" w:sz="8" w:color="auto"/>
              <w:right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r>
      <w:tr>
        <w:trPr>
          <w:trHeight w:val="659"/>
        </w:trPr>
        <w:tc>
          <w:tcPr>
            <w:tcW w:w="4780" w:type="dxa"/>
            <w:vAlign w:val="bottom"/>
            <w:gridSpan w:val="2"/>
          </w:tcPr>
          <w:p>
            <w:pPr>
              <w:spacing w:after="0"/>
              <w:rPr>
                <w:sz w:val="20"/>
                <w:szCs w:val="20"/>
                <w:color w:val="auto"/>
              </w:rPr>
            </w:pPr>
            <w:r>
              <w:rPr>
                <w:rFonts w:ascii="Arial" w:cs="Arial" w:eastAsia="Arial" w:hAnsi="Arial"/>
                <w:sz w:val="20"/>
                <w:szCs w:val="20"/>
                <w:b w:val="1"/>
                <w:bCs w:val="1"/>
                <w:color w:val="auto"/>
              </w:rPr>
              <w:t>Contacts:</w:t>
            </w:r>
          </w:p>
        </w:tc>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1"/>
        </w:trPr>
        <w:tc>
          <w:tcPr>
            <w:tcW w:w="4780" w:type="dxa"/>
            <w:vAlign w:val="bottom"/>
            <w:gridSpan w:val="2"/>
          </w:tcPr>
          <w:p>
            <w:pPr>
              <w:spacing w:after="0"/>
              <w:rPr>
                <w:sz w:val="20"/>
                <w:szCs w:val="20"/>
                <w:color w:val="auto"/>
              </w:rPr>
            </w:pPr>
            <w:r>
              <w:rPr>
                <w:rFonts w:ascii="Arial" w:cs="Arial" w:eastAsia="Arial" w:hAnsi="Arial"/>
                <w:sz w:val="20"/>
                <w:szCs w:val="20"/>
                <w:color w:val="auto"/>
              </w:rPr>
              <w:t>Joseph Nelson</w:t>
            </w:r>
          </w:p>
        </w:tc>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0"/>
                <w:szCs w:val="20"/>
                <w:color w:val="auto"/>
              </w:rPr>
              <w:t>Head of Investor Relations</w:t>
            </w:r>
          </w:p>
        </w:tc>
        <w:tc>
          <w:tcPr>
            <w:tcW w:w="18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Phone: +1 212-223-0643</w:t>
            </w:r>
          </w:p>
        </w:tc>
        <w:tc>
          <w:tcPr>
            <w:tcW w:w="1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32"/>
        </w:trPr>
        <w:tc>
          <w:tcPr>
            <w:tcW w:w="4780" w:type="dxa"/>
            <w:vAlign w:val="bottom"/>
            <w:gridSpan w:val="2"/>
          </w:tcPr>
          <w:p>
            <w:pPr>
              <w:spacing w:after="0"/>
              <w:rPr>
                <w:sz w:val="20"/>
                <w:szCs w:val="20"/>
                <w:color w:val="auto"/>
              </w:rPr>
            </w:pPr>
            <w:r>
              <w:rPr>
                <w:rFonts w:ascii="Arial" w:cs="Arial" w:eastAsia="Arial" w:hAnsi="Arial"/>
                <w:sz w:val="20"/>
                <w:szCs w:val="20"/>
                <w:color w:val="auto"/>
              </w:rPr>
              <w:t>Email: ir@gaslogmlp.com</w:t>
            </w:r>
          </w:p>
        </w:tc>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GasLog Partners</w:t>
      </w:r>
    </w:p>
    <w:p>
      <w:pPr>
        <w:spacing w:after="0" w:line="226"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532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2020-08-05T05:53:11Z</dcterms:created>
  <dcterms:modified xsi:type="dcterms:W3CDTF">2020-08-05T05:53:11Z</dcterms:modified>
</cp:coreProperties>
</file>