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4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April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120" w:val="left"/>
        </w:tabs>
        <w:rPr>
          <w:sz w:val="20"/>
          <w:szCs w:val="20"/>
          <w:color w:val="auto"/>
        </w:rPr>
      </w:pPr>
      <w:r>
        <w:rPr>
          <w:rFonts w:ascii="Arial" w:cs="Arial" w:eastAsia="Arial" w:hAnsi="Arial"/>
          <w:sz w:val="18"/>
          <w:szCs w:val="18"/>
          <w:color w:val="auto"/>
        </w:rPr>
        <w:t>Form 20-F þ</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ind w:right="300" w:firstLine="324"/>
        <w:spacing w:after="0" w:line="293" w:lineRule="auto"/>
        <w:rPr>
          <w:sz w:val="20"/>
          <w:szCs w:val="20"/>
          <w:color w:val="auto"/>
        </w:rPr>
      </w:pPr>
      <w:r>
        <w:rPr>
          <w:rFonts w:ascii="Arial" w:cs="Arial" w:eastAsia="Arial" w:hAnsi="Arial"/>
          <w:sz w:val="16"/>
          <w:szCs w:val="16"/>
          <w:color w:val="auto"/>
        </w:rPr>
        <w:t>The press release issued by GasLog Partners LP on April 28, 2022 relating to its results for the three-month period ended March 31, 2022 and the related financial report are attached hereto as Exhibits 99.1 and 99.2, respectively.</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INCORPORATION BY REFERENCE</w:t>
      </w:r>
    </w:p>
    <w:p>
      <w:pPr>
        <w:spacing w:after="0" w:line="221" w:lineRule="exact"/>
        <w:rPr>
          <w:sz w:val="20"/>
          <w:szCs w:val="20"/>
          <w:color w:val="auto"/>
        </w:rPr>
      </w:pPr>
    </w:p>
    <w:p>
      <w:pPr>
        <w:ind w:firstLine="324"/>
        <w:spacing w:after="0" w:line="297" w:lineRule="auto"/>
        <w:rPr>
          <w:sz w:val="20"/>
          <w:szCs w:val="20"/>
          <w:color w:val="auto"/>
        </w:rPr>
      </w:pPr>
      <w:r>
        <w:rPr>
          <w:rFonts w:ascii="Arial" w:cs="Arial" w:eastAsia="Arial" w:hAnsi="Arial"/>
          <w:sz w:val="15"/>
          <w:szCs w:val="15"/>
          <w:color w:val="auto"/>
        </w:rPr>
        <w:t>Exhibit 99.2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500" w:type="dxa"/>
            <w:vAlign w:val="bottom"/>
            <w:gridSpan w:val="2"/>
          </w:tcPr>
          <w:p>
            <w:pPr>
              <w:ind w:left="1720"/>
              <w:spacing w:after="0"/>
              <w:rPr>
                <w:sz w:val="20"/>
                <w:szCs w:val="20"/>
                <w:color w:val="auto"/>
              </w:rPr>
            </w:pPr>
            <w:r>
              <w:rPr>
                <w:rFonts w:ascii="Arial" w:cs="Arial" w:eastAsia="Arial" w:hAnsi="Arial"/>
                <w:sz w:val="16"/>
                <w:szCs w:val="16"/>
                <w:color w:val="auto"/>
              </w:rPr>
              <w:t>EXHIBIT LIST</w:t>
            </w:r>
          </w:p>
        </w:tc>
      </w:tr>
      <w:tr>
        <w:trPr>
          <w:trHeight w:val="405"/>
        </w:trPr>
        <w:tc>
          <w:tcPr>
            <w:tcW w:w="114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576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370"/>
        </w:trPr>
        <w:tc>
          <w:tcPr>
            <w:tcW w:w="300" w:type="dxa"/>
            <w:vAlign w:val="bottom"/>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1</w:t>
              </w:r>
            </w:hyperlink>
          </w:p>
        </w:tc>
        <w:tc>
          <w:tcPr>
            <w:tcW w:w="840" w:type="dxa"/>
            <w:vAlign w:val="bottom"/>
          </w:tcPr>
          <w:p>
            <w:pPr>
              <w:spacing w:after="0"/>
              <w:rPr>
                <w:sz w:val="24"/>
                <w:szCs w:val="24"/>
                <w:color w:val="auto"/>
              </w:rPr>
            </w:pPr>
          </w:p>
        </w:tc>
        <w:tc>
          <w:tcPr>
            <w:tcW w:w="576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Press Release dated April 28, 2022</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85"/>
        </w:trPr>
        <w:tc>
          <w:tcPr>
            <w:tcW w:w="300" w:type="dxa"/>
            <w:vAlign w:val="bottom"/>
            <w:tcBorders>
              <w:bottom w:val="single" w:sz="8" w:color="0000EE"/>
            </w:tcBorders>
          </w:tcPr>
          <w:p>
            <w:pPr>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2</w:t>
              </w:r>
            </w:hyperlink>
          </w:p>
        </w:tc>
        <w:tc>
          <w:tcPr>
            <w:tcW w:w="840" w:type="dxa"/>
            <w:vAlign w:val="bottom"/>
          </w:tcPr>
          <w:p>
            <w:pPr>
              <w:spacing w:after="0"/>
              <w:rPr>
                <w:sz w:val="24"/>
                <w:szCs w:val="24"/>
                <w:color w:val="auto"/>
              </w:rPr>
            </w:pPr>
          </w:p>
        </w:tc>
        <w:tc>
          <w:tcPr>
            <w:tcW w:w="4040" w:type="dxa"/>
            <w:vAlign w:val="bottom"/>
            <w:tcBorders>
              <w:bottom w:val="single" w:sz="8" w:color="0000EE"/>
            </w:tcBorders>
            <w:gridSpan w:val="2"/>
          </w:tcPr>
          <w:p>
            <w:pPr>
              <w:spacing w:after="0"/>
              <w:rPr>
                <w:rFonts w:ascii="Arial" w:cs="Arial" w:eastAsia="Arial" w:hAnsi="Arial"/>
                <w:sz w:val="16"/>
                <w:szCs w:val="16"/>
                <w:color w:val="0000EE"/>
                <w:w w:val="92"/>
              </w:rPr>
            </w:pPr>
            <w:hyperlink w:anchor="page14">
              <w:r>
                <w:rPr>
                  <w:rFonts w:ascii="Arial" w:cs="Arial" w:eastAsia="Arial" w:hAnsi="Arial"/>
                  <w:sz w:val="16"/>
                  <w:szCs w:val="16"/>
                  <w:color w:val="0000EE"/>
                  <w:w w:val="92"/>
                </w:rPr>
                <w:t>Financial Report for the Three Months Ended March 31, 2022</w:t>
              </w:r>
            </w:hyperlink>
          </w:p>
        </w:tc>
        <w:tc>
          <w:tcPr>
            <w:tcW w:w="1720" w:type="dxa"/>
            <w:vAlign w:val="bottom"/>
          </w:tcPr>
          <w:p>
            <w:pPr>
              <w:spacing w:after="0"/>
              <w:rPr>
                <w:sz w:val="24"/>
                <w:szCs w:val="24"/>
                <w:color w:val="auto"/>
              </w:rPr>
            </w:pPr>
          </w:p>
        </w:tc>
      </w:tr>
      <w:tr>
        <w:trPr>
          <w:trHeight w:val="420"/>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r>
        <w:trPr>
          <w:trHeight w:val="405"/>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rPr>
              <w:t>Unaudited Condensed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9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341"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March 31, 2022 and Declares Cash Distribution</w:t>
      </w:r>
    </w:p>
    <w:p>
      <w:pPr>
        <w:spacing w:after="0" w:line="22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color w:val="auto"/>
        </w:rPr>
        <w:t xml:space="preserve">Majuro, Marshall Islands, April 28, 2022, GasLog Partners LP (“GasLog Partners” or the “Partnership”) (NYSE: GLOP), </w:t>
      </w:r>
      <w:r>
        <w:rPr>
          <w:rFonts w:ascii="Arial" w:cs="Arial" w:eastAsia="Arial" w:hAnsi="Arial"/>
          <w:sz w:val="16"/>
          <w:szCs w:val="16"/>
          <w:color w:val="auto"/>
        </w:rPr>
        <w:t>an international owner and operator of</w:t>
      </w:r>
      <w:r>
        <w:rPr>
          <w:rFonts w:ascii="Arial" w:cs="Arial" w:eastAsia="Arial" w:hAnsi="Arial"/>
          <w:sz w:val="16"/>
          <w:szCs w:val="16"/>
          <w:b w:val="1"/>
          <w:bCs w:val="1"/>
          <w:color w:val="auto"/>
        </w:rPr>
        <w:t xml:space="preserve"> </w:t>
      </w:r>
      <w:r>
        <w:rPr>
          <w:rFonts w:ascii="Arial" w:cs="Arial" w:eastAsia="Arial" w:hAnsi="Arial"/>
          <w:sz w:val="16"/>
          <w:szCs w:val="16"/>
          <w:color w:val="auto"/>
        </w:rPr>
        <w:t>liquefied natural gas (“LNG”) carriers, today reported its financial results for the three-month period ended March 31, 2022.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Signed a new multi-month time charter agreement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with Naturgy Aprovisionamientos S.A. (“Naturgy”).</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Repurchased $10.0 million of preference units in the open market in the first quarter of 2022.</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Repaid $37.0 million of debt and lease liabilities during the first three months of 2022.</w:t>
      </w:r>
    </w:p>
    <w:p>
      <w:pPr>
        <w:spacing w:after="0" w:line="18" w:lineRule="exact"/>
        <w:rPr>
          <w:rFonts w:ascii="Arial" w:cs="Arial" w:eastAsia="Arial" w:hAnsi="Arial"/>
          <w:sz w:val="16"/>
          <w:szCs w:val="16"/>
          <w:color w:val="auto"/>
        </w:rPr>
      </w:pPr>
    </w:p>
    <w:p>
      <w:pPr>
        <w:ind w:left="340" w:hanging="332"/>
        <w:spacing w:after="0" w:line="191" w:lineRule="auto"/>
        <w:tabs>
          <w:tab w:leader="none" w:pos="340" w:val="left"/>
        </w:tabs>
        <w:numPr>
          <w:ilvl w:val="0"/>
          <w:numId w:val="1"/>
        </w:numPr>
        <w:rPr>
          <w:rFonts w:ascii="Arial" w:cs="Arial" w:eastAsia="Arial" w:hAnsi="Arial"/>
          <w:sz w:val="32"/>
          <w:szCs w:val="32"/>
          <w:color w:val="auto"/>
          <w:vertAlign w:val="superscript"/>
        </w:rPr>
      </w:pPr>
      <w:r>
        <w:rPr>
          <w:rFonts w:ascii="Arial" w:cs="Arial" w:eastAsia="Arial" w:hAnsi="Arial"/>
          <w:sz w:val="16"/>
          <w:szCs w:val="16"/>
          <w:color w:val="auto"/>
        </w:rPr>
        <w:t>Quarterly Revenues, Profit, Adjusted Profit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$85.5 million, $35.0 million, $28.3 million and $60.9 million, respectively.</w:t>
      </w:r>
    </w:p>
    <w:p>
      <w:pPr>
        <w:ind w:left="340" w:hanging="332"/>
        <w:spacing w:after="0" w:line="183" w:lineRule="auto"/>
        <w:tabs>
          <w:tab w:leader="none" w:pos="34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Quarterly Earnings per unit (“EPU”) of $0.53 and Adjusted EPU</w:t>
      </w:r>
      <w:r>
        <w:rPr>
          <w:rFonts w:ascii="Arial" w:cs="Arial" w:eastAsia="Arial" w:hAnsi="Arial"/>
          <w:sz w:val="19"/>
          <w:szCs w:val="19"/>
          <w:color w:val="auto"/>
          <w:vertAlign w:val="superscript"/>
        </w:rPr>
        <w:t>(1)</w:t>
      </w:r>
      <w:r>
        <w:rPr>
          <w:rFonts w:ascii="Arial" w:cs="Arial" w:eastAsia="Arial" w:hAnsi="Arial"/>
          <w:sz w:val="13"/>
          <w:szCs w:val="13"/>
          <w:color w:val="auto"/>
        </w:rPr>
        <w:t xml:space="preserve"> of $0.41.</w:t>
      </w: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Declared cash distribution of $0.01 per common unit for the first quarter of 2022.</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2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Paolo Enoizi, Chief Executive Officer, commented: “The global LNG market was already tight before the conflict in Ukraine began to unfold. This further need to secure energy supply has led to a significant increase in demand for LNG in recent months. This has resulted in a tight term market, despite volatility in the spot market in the first quarter of 2022.</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We expect that the Partnership’s contracted revenues in 2022 will more than fulfill its operational and financial obligations, whilst also retaining significant market exposure, particularly in the seasonally stronger second half of the year. Given the scarcity of independently-owned vessels available for term charters, based on current market conditions, we expect to recognize material upside well above our contracted revenues. We continue to execute on our business strategy, de-leveraging our balance sheet and simultaneously increasing our potential for free cash flow generation in order to create long-term value for our stakeholders.”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Financial Summary</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760" w:type="dxa"/>
            <w:vAlign w:val="bottom"/>
            <w:gridSpan w:val="3"/>
            <w:vMerge w:val="restart"/>
          </w:tcPr>
          <w:p>
            <w:pPr>
              <w:jc w:val="right"/>
              <w:ind w:right="839"/>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0" w:type="dxa"/>
            <w:vAlign w:val="bottom"/>
          </w:tcPr>
          <w:p>
            <w:pPr>
              <w:spacing w:after="0"/>
              <w:rPr>
                <w:sz w:val="24"/>
                <w:szCs w:val="24"/>
                <w:color w:val="auto"/>
              </w:rPr>
            </w:pPr>
          </w:p>
        </w:tc>
        <w:tc>
          <w:tcPr>
            <w:tcW w:w="4760" w:type="dxa"/>
            <w:vAlign w:val="bottom"/>
            <w:gridSpan w:val="2"/>
            <w:vMerge w:val="restart"/>
          </w:tcPr>
          <w:p>
            <w:pP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i w:val="1"/>
                <w:iCs w:val="1"/>
                <w:color w:val="auto"/>
                <w:w w:val="91"/>
              </w:rPr>
              <w:t>All amounts expressed in thousands of U.S. dollars, except per unit</w:t>
            </w:r>
          </w:p>
        </w:tc>
        <w:tc>
          <w:tcPr>
            <w:tcW w:w="37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4760" w:type="dxa"/>
            <w:vAlign w:val="bottom"/>
            <w:gridSpan w:val="2"/>
            <w:vMerge w:val="continue"/>
          </w:tcPr>
          <w:p>
            <w:pPr>
              <w:spacing w:after="0"/>
              <w:rPr>
                <w:sz w:val="17"/>
                <w:szCs w:val="17"/>
                <w:color w:val="auto"/>
              </w:rPr>
            </w:pPr>
          </w:p>
        </w:tc>
        <w:tc>
          <w:tcPr>
            <w:tcW w:w="200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March 31, 2021</w:t>
            </w:r>
          </w:p>
        </w:tc>
        <w:tc>
          <w:tcPr>
            <w:tcW w:w="1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w:t>
            </w:r>
            <w:r>
              <w:rPr>
                <w:rFonts w:ascii="Arial" w:cs="Arial" w:eastAsia="Arial" w:hAnsi="Arial"/>
                <w:sz w:val="16"/>
                <w:szCs w:val="16"/>
                <w:color w:val="auto"/>
              </w:rPr>
              <w:t>)</w:t>
            </w:r>
          </w:p>
        </w:tc>
        <w:tc>
          <w:tcPr>
            <w:tcW w:w="200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47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87,088</w:t>
            </w:r>
          </w:p>
        </w:tc>
        <w:tc>
          <w:tcPr>
            <w:tcW w:w="10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85,459</w:t>
            </w:r>
          </w:p>
        </w:tc>
        <w:tc>
          <w:tcPr>
            <w:tcW w:w="10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Profit</w:t>
            </w:r>
          </w:p>
        </w:tc>
        <w:tc>
          <w:tcPr>
            <w:tcW w:w="1900" w:type="dxa"/>
            <w:vAlign w:val="bottom"/>
          </w:tcPr>
          <w:p>
            <w:pPr>
              <w:jc w:val="right"/>
              <w:spacing w:after="0"/>
              <w:rPr>
                <w:sz w:val="20"/>
                <w:szCs w:val="20"/>
                <w:color w:val="auto"/>
              </w:rPr>
            </w:pPr>
            <w:r>
              <w:rPr>
                <w:rFonts w:ascii="Arial" w:cs="Arial" w:eastAsia="Arial" w:hAnsi="Arial"/>
                <w:sz w:val="16"/>
                <w:szCs w:val="16"/>
                <w:color w:val="auto"/>
              </w:rPr>
              <w:t>35,360</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34,981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4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EPU, common (basic)</w:t>
            </w: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E5FFFF"/>
          </w:tcPr>
          <w:p>
            <w:pPr>
              <w:spacing w:after="0"/>
              <w:rPr>
                <w:sz w:val="17"/>
                <w:szCs w:val="17"/>
                <w:color w:val="auto"/>
              </w:rPr>
            </w:pP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0.53</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4760" w:type="dxa"/>
            <w:vAlign w:val="bottom"/>
            <w:gridSpan w:val="2"/>
          </w:tcPr>
          <w:p>
            <w:pPr>
              <w:spacing w:after="0" w:line="243" w:lineRule="exact"/>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6"/>
                <w:szCs w:val="16"/>
                <w:color w:val="auto"/>
              </w:rPr>
              <w:t>31,753</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28,326</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4760" w:type="dxa"/>
            <w:vAlign w:val="bottom"/>
            <w:gridSpan w:val="2"/>
            <w:shd w:val="clear" w:color="auto" w:fill="E5FFFF"/>
          </w:tcPr>
          <w:p>
            <w:pPr>
              <w:spacing w:after="0" w:line="243"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64,131</w:t>
            </w:r>
          </w:p>
        </w:tc>
        <w:tc>
          <w:tcPr>
            <w:tcW w:w="100" w:type="dxa"/>
            <w:vAlign w:val="bottom"/>
            <w:shd w:val="clear" w:color="auto" w:fill="E5FFFF"/>
          </w:tcPr>
          <w:p>
            <w:pPr>
              <w:spacing w:after="0"/>
              <w:rPr>
                <w:sz w:val="21"/>
                <w:szCs w:val="21"/>
                <w:color w:val="auto"/>
              </w:rPr>
            </w:pP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60,901</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Adjusted EPU, common (basic)</w:t>
            </w:r>
            <w:r>
              <w:rPr>
                <w:rFonts w:ascii="Arial" w:cs="Arial" w:eastAsia="Arial" w:hAnsi="Arial"/>
                <w:sz w:val="26"/>
                <w:szCs w:val="26"/>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0.41</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There were 1,350 available days for the quarter ended March 31, 2022, as compared to 1,336 available days for the quarter ended March 31, 2021, due to the scheduled dry-docking of one of our vessels in the first quarter of 2021.</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Management classifies the Partnership’s vessels from a commercial point of view into two categories: (a) spot fleet and (b) long-term fleet. The spot fleet includes all vessels under charter party agreements with an initial duration of less than (or equal to) five years (excluding optional periods), while the long-term fleet comprises all vessels with charter party agreements of an initial duration of more than five years (excluding optional periods).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For the three months ended March 31, 2021 and 2022, an analysis of available days, revenues and voyage expenses and commissions per category is presented below:</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282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2580" w:type="dxa"/>
            <w:vAlign w:val="bottom"/>
            <w:gridSpan w:val="4"/>
          </w:tcPr>
          <w:p>
            <w:pPr>
              <w:ind w:left="3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E5FFFF"/>
            </w:tcBorders>
          </w:tcPr>
          <w:p>
            <w:pPr>
              <w:spacing w:after="0"/>
              <w:rPr>
                <w:sz w:val="18"/>
                <w:szCs w:val="18"/>
                <w:color w:val="auto"/>
              </w:rPr>
            </w:pPr>
          </w:p>
        </w:tc>
        <w:tc>
          <w:tcPr>
            <w:tcW w:w="24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March 31, 2021</w:t>
            </w:r>
          </w:p>
        </w:tc>
        <w:tc>
          <w:tcPr>
            <w:tcW w:w="380" w:type="dxa"/>
            <w:vAlign w:val="bottom"/>
            <w:tcBorders>
              <w:bottom w:val="single" w:sz="8" w:color="E5FFFF"/>
            </w:tcBorders>
          </w:tcPr>
          <w:p>
            <w:pPr>
              <w:spacing w:after="0"/>
              <w:rPr>
                <w:sz w:val="18"/>
                <w:szCs w:val="18"/>
                <w:color w:val="auto"/>
              </w:rPr>
            </w:pPr>
          </w:p>
        </w:tc>
        <w:tc>
          <w:tcPr>
            <w:tcW w:w="25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March 31, 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i w:val="1"/>
                <w:iCs w:val="1"/>
                <w:color w:val="auto"/>
              </w:rPr>
              <w:t>All amounts expressed in thousands of U.S. dollars,</w:t>
            </w:r>
          </w:p>
        </w:tc>
        <w:tc>
          <w:tcPr>
            <w:tcW w:w="1000" w:type="dxa"/>
            <w:vAlign w:val="bottom"/>
            <w:vMerge w:val="restart"/>
            <w:shd w:val="clear" w:color="auto" w:fill="E5FFFF"/>
          </w:tcPr>
          <w:p>
            <w:pPr>
              <w:ind w:left="180"/>
              <w:spacing w:after="0"/>
              <w:rPr>
                <w:sz w:val="20"/>
                <w:szCs w:val="20"/>
                <w:color w:val="auto"/>
              </w:rPr>
            </w:pPr>
            <w:r>
              <w:rPr>
                <w:rFonts w:ascii="Arial" w:cs="Arial" w:eastAsia="Arial" w:hAnsi="Arial"/>
                <w:sz w:val="16"/>
                <w:szCs w:val="16"/>
                <w:b w:val="1"/>
                <w:bCs w:val="1"/>
                <w:color w:val="auto"/>
              </w:rPr>
              <w:t>Spot fleet</w:t>
            </w:r>
          </w:p>
        </w:tc>
        <w:tc>
          <w:tcPr>
            <w:tcW w:w="120" w:type="dxa"/>
            <w:vAlign w:val="bottom"/>
            <w:vMerge w:val="restart"/>
            <w:shd w:val="clear" w:color="auto" w:fill="E5FFFF"/>
          </w:tcPr>
          <w:p>
            <w:pPr>
              <w:spacing w:after="0"/>
              <w:rPr>
                <w:sz w:val="15"/>
                <w:szCs w:val="15"/>
                <w:color w:val="auto"/>
              </w:rPr>
            </w:pPr>
          </w:p>
        </w:tc>
        <w:tc>
          <w:tcPr>
            <w:tcW w:w="1320" w:type="dxa"/>
            <w:vAlign w:val="bottom"/>
            <w:vMerge w:val="restart"/>
            <w:shd w:val="clear" w:color="auto" w:fill="E5FFFF"/>
          </w:tcPr>
          <w:p>
            <w:pPr>
              <w:jc w:val="right"/>
              <w:ind w:right="39"/>
              <w:spacing w:after="0"/>
              <w:rPr>
                <w:sz w:val="20"/>
                <w:szCs w:val="20"/>
                <w:color w:val="auto"/>
              </w:rPr>
            </w:pPr>
            <w:r>
              <w:rPr>
                <w:rFonts w:ascii="Arial" w:cs="Arial" w:eastAsia="Arial" w:hAnsi="Arial"/>
                <w:sz w:val="16"/>
                <w:szCs w:val="16"/>
                <w:b w:val="1"/>
                <w:bCs w:val="1"/>
                <w:color w:val="auto"/>
              </w:rPr>
              <w:t>Long-term fleet</w:t>
            </w:r>
          </w:p>
        </w:tc>
        <w:tc>
          <w:tcPr>
            <w:tcW w:w="380" w:type="dxa"/>
            <w:vAlign w:val="bottom"/>
            <w:vMerge w:val="restart"/>
            <w:shd w:val="clear" w:color="auto" w:fill="E5FFFF"/>
          </w:tcPr>
          <w:p>
            <w:pPr>
              <w:spacing w:after="0"/>
              <w:rPr>
                <w:sz w:val="15"/>
                <w:szCs w:val="15"/>
                <w:color w:val="auto"/>
              </w:rPr>
            </w:pPr>
          </w:p>
        </w:tc>
        <w:tc>
          <w:tcPr>
            <w:tcW w:w="1120" w:type="dxa"/>
            <w:vAlign w:val="bottom"/>
            <w:vMerge w:val="restart"/>
            <w:shd w:val="clear" w:color="auto" w:fill="E5FFFF"/>
          </w:tcPr>
          <w:p>
            <w:pPr>
              <w:jc w:val="right"/>
              <w:ind w:right="159"/>
              <w:spacing w:after="0"/>
              <w:rPr>
                <w:sz w:val="20"/>
                <w:szCs w:val="20"/>
                <w:color w:val="auto"/>
              </w:rPr>
            </w:pPr>
            <w:r>
              <w:rPr>
                <w:rFonts w:ascii="Arial" w:cs="Arial" w:eastAsia="Arial" w:hAnsi="Arial"/>
                <w:sz w:val="16"/>
                <w:szCs w:val="16"/>
                <w:b w:val="1"/>
                <w:bCs w:val="1"/>
                <w:color w:val="auto"/>
              </w:rPr>
              <w:t>Spot fleet</w:t>
            </w:r>
          </w:p>
        </w:tc>
        <w:tc>
          <w:tcPr>
            <w:tcW w:w="80" w:type="dxa"/>
            <w:vAlign w:val="bottom"/>
            <w:vMerge w:val="restart"/>
            <w:shd w:val="clear" w:color="auto" w:fill="E5FFFF"/>
          </w:tcPr>
          <w:p>
            <w:pPr>
              <w:spacing w:after="0"/>
              <w:rPr>
                <w:sz w:val="15"/>
                <w:szCs w:val="15"/>
                <w:color w:val="auto"/>
              </w:rPr>
            </w:pPr>
          </w:p>
        </w:tc>
        <w:tc>
          <w:tcPr>
            <w:tcW w:w="1320" w:type="dxa"/>
            <w:vAlign w:val="bottom"/>
            <w:vMerge w:val="restart"/>
            <w:shd w:val="clear" w:color="auto" w:fill="E5FFFF"/>
          </w:tcPr>
          <w:p>
            <w:pPr>
              <w:jc w:val="right"/>
              <w:ind w:right="39"/>
              <w:spacing w:after="0"/>
              <w:rPr>
                <w:sz w:val="20"/>
                <w:szCs w:val="20"/>
                <w:color w:val="auto"/>
              </w:rPr>
            </w:pPr>
            <w:r>
              <w:rPr>
                <w:rFonts w:ascii="Arial" w:cs="Arial" w:eastAsia="Arial" w:hAnsi="Arial"/>
                <w:sz w:val="16"/>
                <w:szCs w:val="16"/>
                <w:b w:val="1"/>
                <w:bCs w:val="1"/>
                <w:color w:val="auto"/>
              </w:rPr>
              <w:t>Long-term fleet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except number of days</w:t>
            </w:r>
          </w:p>
        </w:tc>
        <w:tc>
          <w:tcPr>
            <w:tcW w:w="1000" w:type="dxa"/>
            <w:vAlign w:val="bottom"/>
            <w:tcBorders>
              <w:bottom w:val="single" w:sz="8" w:color="auto"/>
            </w:tcBorders>
            <w:vMerge w:val="continue"/>
            <w:shd w:val="clear" w:color="auto" w:fill="E5FFFF"/>
          </w:tcPr>
          <w:p>
            <w:pPr>
              <w:spacing w:after="0"/>
              <w:rPr>
                <w:sz w:val="18"/>
                <w:szCs w:val="18"/>
                <w:color w:val="auto"/>
              </w:rPr>
            </w:pPr>
          </w:p>
        </w:tc>
        <w:tc>
          <w:tcPr>
            <w:tcW w:w="120" w:type="dxa"/>
            <w:vAlign w:val="bottom"/>
            <w:vMerge w:val="continue"/>
            <w:shd w:val="clear" w:color="auto" w:fill="E5FFFF"/>
          </w:tcPr>
          <w:p>
            <w:pPr>
              <w:spacing w:after="0"/>
              <w:rPr>
                <w:sz w:val="18"/>
                <w:szCs w:val="18"/>
                <w:color w:val="auto"/>
              </w:rPr>
            </w:pPr>
          </w:p>
        </w:tc>
        <w:tc>
          <w:tcPr>
            <w:tcW w:w="1320" w:type="dxa"/>
            <w:vAlign w:val="bottom"/>
            <w:tcBorders>
              <w:bottom w:val="single" w:sz="8" w:color="auto"/>
            </w:tcBorders>
            <w:vMerge w:val="continue"/>
            <w:shd w:val="clear" w:color="auto" w:fill="E5FFFF"/>
          </w:tcPr>
          <w:p>
            <w:pPr>
              <w:spacing w:after="0"/>
              <w:rPr>
                <w:sz w:val="18"/>
                <w:szCs w:val="18"/>
                <w:color w:val="auto"/>
              </w:rPr>
            </w:pPr>
          </w:p>
        </w:tc>
        <w:tc>
          <w:tcPr>
            <w:tcW w:w="380" w:type="dxa"/>
            <w:vAlign w:val="bottom"/>
            <w:vMerge w:val="continue"/>
            <w:shd w:val="clear" w:color="auto" w:fill="E5FFFF"/>
          </w:tcPr>
          <w:p>
            <w:pPr>
              <w:spacing w:after="0"/>
              <w:rPr>
                <w:sz w:val="18"/>
                <w:szCs w:val="18"/>
                <w:color w:val="auto"/>
              </w:rPr>
            </w:pPr>
          </w:p>
        </w:tc>
        <w:tc>
          <w:tcPr>
            <w:tcW w:w="1120" w:type="dxa"/>
            <w:vAlign w:val="bottom"/>
            <w:tcBorders>
              <w:bottom w:val="single" w:sz="8" w:color="auto"/>
            </w:tcBorders>
            <w:vMerge w:val="continue"/>
            <w:shd w:val="clear" w:color="auto" w:fill="E5FFFF"/>
          </w:tcPr>
          <w:p>
            <w:pPr>
              <w:spacing w:after="0"/>
              <w:rPr>
                <w:sz w:val="18"/>
                <w:szCs w:val="18"/>
                <w:color w:val="auto"/>
              </w:rPr>
            </w:pPr>
          </w:p>
        </w:tc>
        <w:tc>
          <w:tcPr>
            <w:tcW w:w="80" w:type="dxa"/>
            <w:vAlign w:val="bottom"/>
            <w:vMerge w:val="continue"/>
            <w:shd w:val="clear" w:color="auto" w:fill="E5FFFF"/>
          </w:tcPr>
          <w:p>
            <w:pPr>
              <w:spacing w:after="0"/>
              <w:rPr>
                <w:sz w:val="18"/>
                <w:szCs w:val="18"/>
                <w:color w:val="auto"/>
              </w:rPr>
            </w:pPr>
          </w:p>
        </w:tc>
        <w:tc>
          <w:tcPr>
            <w:tcW w:w="1320" w:type="dxa"/>
            <w:vAlign w:val="bottom"/>
            <w:tcBorders>
              <w:bottom w:val="single" w:sz="8" w:color="auto"/>
            </w:tcBorders>
            <w:vMerge w:val="continue"/>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line="223" w:lineRule="exact"/>
              <w:rPr>
                <w:sz w:val="20"/>
                <w:szCs w:val="20"/>
                <w:color w:val="auto"/>
              </w:rPr>
            </w:pPr>
            <w:r>
              <w:rPr>
                <w:rFonts w:ascii="Arial" w:cs="Arial" w:eastAsia="Arial" w:hAnsi="Arial"/>
                <w:sz w:val="16"/>
                <w:szCs w:val="16"/>
                <w:color w:val="auto"/>
              </w:rPr>
              <w:t xml:space="preserve">Available days </w:t>
            </w:r>
            <w:r>
              <w:rPr>
                <w:rFonts w:ascii="Arial" w:cs="Arial" w:eastAsia="Arial" w:hAnsi="Arial"/>
                <w:sz w:val="25"/>
                <w:szCs w:val="25"/>
                <w:color w:val="auto"/>
                <w:vertAlign w:val="superscript"/>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698</w:t>
            </w:r>
          </w:p>
        </w:tc>
        <w:tc>
          <w:tcPr>
            <w:tcW w:w="1700" w:type="dxa"/>
            <w:vAlign w:val="bottom"/>
            <w:gridSpan w:val="2"/>
          </w:tcPr>
          <w:p>
            <w:pPr>
              <w:jc w:val="right"/>
              <w:ind w:right="380"/>
              <w:spacing w:after="0"/>
              <w:rPr>
                <w:sz w:val="20"/>
                <w:szCs w:val="20"/>
                <w:color w:val="auto"/>
              </w:rPr>
            </w:pPr>
            <w:r>
              <w:rPr>
                <w:rFonts w:ascii="Arial" w:cs="Arial" w:eastAsia="Arial" w:hAnsi="Arial"/>
                <w:sz w:val="16"/>
                <w:szCs w:val="16"/>
                <w:color w:val="auto"/>
              </w:rPr>
              <w:t>638</w:t>
            </w:r>
          </w:p>
        </w:tc>
        <w:tc>
          <w:tcPr>
            <w:tcW w:w="1120" w:type="dxa"/>
            <w:vAlign w:val="bottom"/>
          </w:tcPr>
          <w:p>
            <w:pPr>
              <w:jc w:val="right"/>
              <w:spacing w:after="0"/>
              <w:rPr>
                <w:sz w:val="20"/>
                <w:szCs w:val="20"/>
                <w:color w:val="auto"/>
              </w:rPr>
            </w:pPr>
            <w:r>
              <w:rPr>
                <w:rFonts w:ascii="Arial" w:cs="Arial" w:eastAsia="Arial" w:hAnsi="Arial"/>
                <w:sz w:val="16"/>
                <w:szCs w:val="16"/>
                <w:color w:val="auto"/>
              </w:rPr>
              <w:t>810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1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37,054</w:t>
            </w:r>
          </w:p>
        </w:tc>
        <w:tc>
          <w:tcPr>
            <w:tcW w:w="170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50,034</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40,107</w:t>
            </w:r>
          </w:p>
        </w:tc>
        <w:tc>
          <w:tcPr>
            <w:tcW w:w="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(1,248)</w:t>
            </w: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(831)</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(743)</w:t>
            </w:r>
          </w:p>
        </w:tc>
        <w:tc>
          <w:tcPr>
            <w:tcW w:w="1320" w:type="dxa"/>
            <w:vAlign w:val="bottom"/>
          </w:tcPr>
          <w:p>
            <w:pPr>
              <w:jc w:val="right"/>
              <w:spacing w:after="0"/>
              <w:rPr>
                <w:sz w:val="20"/>
                <w:szCs w:val="20"/>
                <w:color w:val="auto"/>
              </w:rPr>
            </w:pPr>
            <w:r>
              <w:rPr>
                <w:rFonts w:ascii="Arial" w:cs="Arial" w:eastAsia="Arial" w:hAnsi="Arial"/>
                <w:sz w:val="16"/>
                <w:szCs w:val="16"/>
                <w:color w:val="auto"/>
              </w:rPr>
              <w:t>(718)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20" w:firstLine="8"/>
        <w:spacing w:after="0" w:line="186" w:lineRule="auto"/>
        <w:tabs>
          <w:tab w:leader="none" w:pos="191" w:val="left"/>
        </w:tabs>
        <w:numPr>
          <w:ilvl w:val="0"/>
          <w:numId w:val="2"/>
        </w:numPr>
        <w:rPr>
          <w:rFonts w:ascii="Arial" w:cs="Arial" w:eastAsia="Arial" w:hAnsi="Arial"/>
          <w:sz w:val="24"/>
          <w:szCs w:val="24"/>
          <w:color w:val="auto"/>
          <w:vertAlign w:val="superscript"/>
        </w:rPr>
      </w:pPr>
      <w:r>
        <w:rPr>
          <w:rFonts w:ascii="Arial" w:cs="Arial" w:eastAsia="Arial" w:hAnsi="Arial"/>
          <w:sz w:val="13"/>
          <w:szCs w:val="13"/>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both"/>
        <w:ind w:right="500"/>
        <w:spacing w:after="0" w:line="335" w:lineRule="auto"/>
        <w:rPr>
          <w:sz w:val="20"/>
          <w:szCs w:val="20"/>
          <w:color w:val="auto"/>
        </w:rPr>
      </w:pPr>
      <w:r>
        <w:rPr>
          <w:rFonts w:ascii="Arial" w:cs="Arial" w:eastAsia="Arial" w:hAnsi="Arial"/>
          <w:sz w:val="14"/>
          <w:szCs w:val="14"/>
          <w:color w:val="auto"/>
        </w:rPr>
        <w:t>Revenues decreased by $1.6 million, from $87.1 million for the quarter ended March 31, 2021, to $85.5 million for the same period in 2022. The decrease is mainly attributable to a net decrease in revenues from our vessels operating in the spot market in the first quarter of 2022 for an additional 112 days due to the lower average headline rates earned by our spot fleet in 2022 compared to the same period in 2021, as the premium winter spot market ended much earlier this year.</w:t>
      </w:r>
    </w:p>
    <w:p>
      <w:pPr>
        <w:spacing w:after="0" w:line="13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Voyage expenses and commissions decreased by $0.6 million, from $2.1 million for the three-month period ended March 31, 2021, to $1.5 million for the same period in 2022. The decrease in voyage expenses and commissions is attributable to a decrease in bunker consumption costs due to the increased utilization of our vessels operating in the spot market in the first three months of 2022, as compared to the same period in 2021.</w:t>
      </w:r>
    </w:p>
    <w:p>
      <w:pPr>
        <w:spacing w:after="0" w:line="171" w:lineRule="exact"/>
        <w:rPr>
          <w:sz w:val="20"/>
          <w:szCs w:val="20"/>
          <w:color w:val="auto"/>
        </w:rPr>
      </w:pPr>
    </w:p>
    <w:p>
      <w:pPr>
        <w:ind w:right="120"/>
        <w:spacing w:after="0" w:line="315" w:lineRule="auto"/>
        <w:rPr>
          <w:sz w:val="20"/>
          <w:szCs w:val="20"/>
          <w:color w:val="auto"/>
        </w:rPr>
      </w:pPr>
      <w:r>
        <w:rPr>
          <w:rFonts w:ascii="Arial" w:cs="Arial" w:eastAsia="Arial" w:hAnsi="Arial"/>
          <w:sz w:val="14"/>
          <w:szCs w:val="14"/>
          <w:color w:val="auto"/>
        </w:rPr>
        <w:t xml:space="preserve">Vessel operating costs increased by $0.8 million, from $17.8 million for the three-month period ended March 31, 2021, to $18.6 million for the same period in 2022. The increase in vessel operating costs is mainly attributable to an increase of $1.4 million in crew costs, largely related to additional costs in 2022 following our COVID-19 enhanced protocols in relation to crew extension bonuses to support our seafarers, travelling and extended quarantine days for seafarers prior to embarkation. This increase was partially offset by a decrease of $0.4 million in vessel management fees in connection with the decrease of the annual fee payable to our manager (approximately $0.1 million per vessel per year). As a result, daily operating costs per vessel (after excluding calendar days for the </w:t>
      </w:r>
      <w:r>
        <w:rPr>
          <w:rFonts w:ascii="Arial" w:cs="Arial" w:eastAsia="Arial" w:hAnsi="Arial"/>
          <w:sz w:val="14"/>
          <w:szCs w:val="14"/>
          <w:i w:val="1"/>
          <w:iCs w:val="1"/>
          <w:color w:val="auto"/>
        </w:rPr>
        <w:t>Solaris</w:t>
      </w:r>
      <w:r>
        <w:rPr>
          <w:rFonts w:ascii="Arial" w:cs="Arial" w:eastAsia="Arial" w:hAnsi="Arial"/>
          <w:sz w:val="14"/>
          <w:szCs w:val="14"/>
          <w:color w:val="auto"/>
        </w:rPr>
        <w:t>, the operating costs of which are covered by the charterers) increased from $14,132 per day for the three-month period ended March 31, 2021, to $14,741 per day for the three-month period ended March 31, 2022.</w:t>
      </w:r>
    </w:p>
    <w:p>
      <w:pPr>
        <w:spacing w:after="0" w:line="150"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General and administrative expenses increased by $1.6 million, from $3.1 million for the three-month period ended March 31, 2021, to $4.7 million for the same period in 2022. The increase in general and administrative expenses is mainly attributable to an aggregate increase of $1.0 million in administrative services fees for our fleet in connection with the increased annual fee per vessel payable to GasLog in 2021 (approximately $0.3 million per vessel per year), and an increase in legal and other professional fees of $0.4 million. As a result, daily general and administrative expenses increased from $2,275 per vessel ownership day for the three-month period ended March 31, 2021, to $3,472 per vessel ownership day for the three-month period ended March 31, 2022.</w:t>
      </w:r>
    </w:p>
    <w:p>
      <w:pPr>
        <w:spacing w:after="0" w:line="161" w:lineRule="exact"/>
        <w:rPr>
          <w:sz w:val="20"/>
          <w:szCs w:val="20"/>
          <w:color w:val="auto"/>
        </w:rPr>
      </w:pPr>
    </w:p>
    <w:p>
      <w:pPr>
        <w:ind w:right="40"/>
        <w:spacing w:after="0" w:line="223" w:lineRule="auto"/>
        <w:rPr>
          <w:sz w:val="20"/>
          <w:szCs w:val="20"/>
          <w:color w:val="auto"/>
        </w:rPr>
      </w:pPr>
      <w:r>
        <w:rPr>
          <w:rFonts w:ascii="Arial" w:cs="Arial" w:eastAsia="Arial" w:hAnsi="Arial"/>
          <w:sz w:val="16"/>
          <w:szCs w:val="16"/>
          <w:color w:val="auto"/>
        </w:rPr>
        <w:t>The decrease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$3.2 million, from $64.1 million in the first quarter of 2021 as compared to $60.9 million in the same period in 2022, is attributable to the decrease in revenues of $1.6 million and the increase in general and administrative expenses of $1.6 million, as described above.</w:t>
      </w:r>
    </w:p>
    <w:p>
      <w:pPr>
        <w:spacing w:after="0" w:line="20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 xml:space="preserve">Financial costs decreased by $0.6 million, from $9.4 million for the three-month period ended March 31, 2021, to $8.8 million for the same period in 2022. The decrease in financial costs is attributable to a decrease of $1.0 million in interest expense on loans, primarily due to the lower debt balances year-over-year, partially offset by an increase of $0.4 million in interest expense on leases, pursuant to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October 2021. During the three-month period ended March 31, 2021, we had an average of $1,287.8 million of bank borrowings outstanding under our credit facilities with a weighted average interest rate of 2.4%, compared to an average of $1,083.4 million of bank borrowings outstanding under our credit facilities with a weighted average interest rate of 2.5% during the three-month period ended March 31, 2022.</w:t>
      </w:r>
    </w:p>
    <w:p>
      <w:pPr>
        <w:spacing w:after="0" w:line="18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Gain on derivatives increased by $3.7 million, from $1.3 million for the three-month period ended March 31, 2021, to $5.0 million for the same period in 2022. The increase is attributable to a $3.2 million increase in unrealized gain from the mark-to-market valuation of derivatives (interest rate swaps) held for trading, which were carried at fair value through profit or loss, mainly due to changes in the forward yield curve, and a decrease of $0.5 million in realized loss on derivatives held for trading.</w:t>
      </w:r>
    </w:p>
    <w:p>
      <w:pPr>
        <w:spacing w:after="0" w:line="152"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decrease in profit of $0.4 million from $35.4 million in the first quarter of 2021 to $35.0 million in the first quarter of 2022 is mainly attributable to the decrease in revenues of $1.6 million, the increase in general and administrative expenses of $1.6 million and the increase in operating expenses of $0.8 million, partially offset by the increase of $3.7 million in gain on derivatives, as described above.</w:t>
      </w:r>
    </w:p>
    <w:p>
      <w:pPr>
        <w:spacing w:after="0" w:line="171"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The decrease in Adjusted Profit of $3.5 million, from $31.8 million in the first quarter of 2021, to $28.3 million in the first quarter of 2022, is mainly attributable to the decrease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discussed above.</w:t>
      </w:r>
    </w:p>
    <w:p>
      <w:pPr>
        <w:spacing w:after="0" w:line="5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As of March 31, 2022, we had $135.9 million of cash and cash equivalents, out of which $33.5 million was held in current accounts and $102.4 million was held in time deposits with an original duration of less than three months.</w:t>
      </w:r>
    </w:p>
    <w:p>
      <w:pPr>
        <w:spacing w:after="0" w:line="158"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color w:val="auto"/>
        </w:rPr>
        <w:t xml:space="preserve">As of March 31, 2022, we had an aggregate of $1,052.4 million of borrowings outstanding under our credit facilities, of which $99.4 million was repayable within one year, and an aggregate of $53.4 million of lease liabilities mainly related to the sale and leaseback of the </w:t>
      </w:r>
      <w:r>
        <w:rPr>
          <w:rFonts w:ascii="Arial" w:cs="Arial" w:eastAsia="Arial" w:hAnsi="Arial"/>
          <w:sz w:val="14"/>
          <w:szCs w:val="14"/>
          <w:i w:val="1"/>
          <w:iCs w:val="1"/>
          <w:color w:val="auto"/>
        </w:rPr>
        <w:t>GasLog Shanghai</w:t>
      </w:r>
      <w:r>
        <w:rPr>
          <w:rFonts w:ascii="Arial" w:cs="Arial" w:eastAsia="Arial" w:hAnsi="Arial"/>
          <w:sz w:val="14"/>
          <w:szCs w:val="14"/>
          <w:color w:val="auto"/>
        </w:rPr>
        <w:t>, of which $10.4 million was payable within one year.</w:t>
      </w:r>
    </w:p>
    <w:p>
      <w:pPr>
        <w:spacing w:after="0" w:line="11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As of March 31, 2022, our current assets totaled $153.8 million and current liabilities totaled $169.1 million, resulting in a negative working capital position of $15.3 million. Current liabilities include $24.2 million of unearned revenue in relation to hires received in advance (which represents a non-cash liability that will be recognized as revenues after March 31, 2022 as the services are rendered).</w:t>
      </w:r>
    </w:p>
    <w:p>
      <w:pPr>
        <w:spacing w:after="0" w:line="175" w:lineRule="exact"/>
        <w:rPr>
          <w:sz w:val="20"/>
          <w:szCs w:val="20"/>
          <w:color w:val="auto"/>
        </w:rPr>
      </w:pPr>
    </w:p>
    <w:p>
      <w:pPr>
        <w:ind w:left="340" w:right="380" w:hanging="332"/>
        <w:spacing w:after="0" w:line="23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Preference Unit Repurchase Programme</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In the three months ended March 31, 2022, under the Partnership’s preference unit repurchase programme (the “Repurchase Programme”) established in March 2021, GasLog Partners repurchased and cancelled 7,838 8.625% Series A Cumulative Redeemable Perpetual Fixed to Floating Rate Preference Units (the “Series A Preference Units”), 172,590 8.200% Series B Cumulative Redeemable Perpetual Fixed to Floating Rate Preference Units (the “Series B Preference Units”) and 213,335 8.500% Series C Cumulative Redeemable Perpetual Fixed to Floating Rate Preference Units (the “Series C Preference Units”), for an aggregate amount of $10.0 million, including commissions.</w:t>
      </w:r>
    </w:p>
    <w:p>
      <w:pPr>
        <w:spacing w:after="0" w:line="176"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Since inception of the Repurchase Programme and up to April 28, 2022, GasLog Partners has repurchased and cancelled 7,838 Series A Preference Units, 640,619 Series B Preference Units and 483,537 Series C Preference Units at a weighted average price of $25.32, $25.00 and $25.18 per preference unit for Series A, Series B and Series C, respectively, for an aggregate amount of $28.4 million, including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25" w:lineRule="exact"/>
        <w:rPr>
          <w:sz w:val="20"/>
          <w:szCs w:val="20"/>
          <w:color w:val="auto"/>
        </w:rPr>
      </w:pPr>
    </w:p>
    <w:p>
      <w:pPr>
        <w:jc w:val="both"/>
        <w:ind w:right="500"/>
        <w:spacing w:after="0" w:line="335" w:lineRule="auto"/>
        <w:rPr>
          <w:sz w:val="20"/>
          <w:szCs w:val="20"/>
          <w:color w:val="auto"/>
        </w:rPr>
      </w:pPr>
      <w:r>
        <w:rPr>
          <w:rFonts w:ascii="Arial" w:cs="Arial" w:eastAsia="Arial" w:hAnsi="Arial"/>
          <w:sz w:val="14"/>
          <w:szCs w:val="14"/>
          <w:color w:val="auto"/>
        </w:rPr>
        <w:t>Global LNG demand was forecasted to be 104.1 million tonnes (“mt”) in the first quarter of 2022, according to Wood Mackenzie, Energy Research and Consultancy (“WoodMac”), compared to 96.4 mt in the first quarter of 2021, an increase of approximately 8%, primarily led by increased demand in Europe and South-East Asia. European demand in the first quarter of 2022 was primarily in response to seasonal heating demand, low inventories and lower pipeline supply from Russia.</w:t>
      </w:r>
    </w:p>
    <w:p>
      <w:pPr>
        <w:spacing w:after="0" w:line="13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Global LNG supply was approximately 102.5 mt in the first quarter of 2022, growing by 5 mt (or 5%) year-over-year, according to WoodMac. Supply growth in the first quarter of 2022 was dominated by output from the United States (“U.S.”), which increased by 4 mt, or 24% year-over-year, primarily due to increased utilization of existing liquefaction terminals. Growth in U.S. production offset declines from many other supply sources around the world, including Norway, Nigeria, Malaysia and Oman, either due to continued feedstock issues or downtime. Looking ahead, approximately 112 mt of new LNG capacity is currently under construction and scheduled to come online between 2022 and 2026.</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Headline spot rates for tri-fuel diesel electric (“TFDE”) LNG carriers, as reported by Clarkson Research Services Limited (“Clarksons”), averaged $34,850 per day in the first quarter of 2022, a 60% decrease over the $84,400 per day average in the first quarter of 2021. Headline spot rates for steam turbine propulsion (“Steam”) vessels averaged $21,750 per day in the first quarter of 2022, 74% lower than the average of $60,000 per day in the first quarter of 2021. Headline spot rates in the first quarter of 2022 suffered from increased availability of sublet tonnage, limited spot vessel enquiries and declining inter-basin demand. However, demand for charters for periods of one year or longer continues to be high in spite of the lack of activity in the spot market. One-year time charter rates for TFDE LNG carriers averaged $89,000 per day in the first quarter of 2022, a 70% increase over the $52,800 per day average in the first quarter of 2021. One-year time charter rates for Steam vessels averaged $47,100 per day in the first quarter of 2022, a 37% increase over the $34,250 daily average in the first quarter of 2021.</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of April 1, 2022, Clarksons assessed headline spot rates for TFDE and Steam LNG carriers at $39,500 per day and $31,500 per day, respectively. Forward assessments for LNG carrier spot rates indicate rising spot rates through the remainder of the year.</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of April 1, 2022, Poten &amp; Partners Group Inc. estimated that the orderbook totaled 186 dedicated LNG carriers (&gt;100,000 cbm), representing 29% of the on-the-water fleet. Of these, 158 vessels (or 85%) have multi-year charters. There were 42 orders for newbuild LNG carriers in the first quarter of 2022 compared with 82 orders for all of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2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On February 25, 2022,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were paid on March 15, 2022 to all unitholders of record as of March 8, 2022.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April 27, 2022, the board of directors of GasLog Partners approved and declared a quarterly cash distribution of $0.01 per common unit for the quarter ended March 31, 2022. The cash distribution is payable on May 12, 2022 to all unitholders of record as of May 9,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did not issue any common units under the ATM Programme during the first quarter of 2022.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25" w:lineRule="exact"/>
        <w:rPr>
          <w:sz w:val="20"/>
          <w:szCs w:val="20"/>
          <w:color w:val="auto"/>
        </w:rPr>
      </w:pPr>
    </w:p>
    <w:p>
      <w:pPr>
        <w:ind w:right="380"/>
        <w:spacing w:after="0" w:line="369" w:lineRule="auto"/>
        <w:rPr>
          <w:sz w:val="20"/>
          <w:szCs w:val="20"/>
          <w:color w:val="auto"/>
        </w:rPr>
      </w:pPr>
      <w:r>
        <w:rPr>
          <w:rFonts w:ascii="Arial" w:cs="Arial" w:eastAsia="Arial" w:hAnsi="Arial"/>
          <w:sz w:val="14"/>
          <w:szCs w:val="14"/>
          <w:color w:val="auto"/>
        </w:rPr>
        <w:t>GasLog Partners will host a conference call to discuss its results for the first quarter of 2022 at 8.30 a.m. EDT (3.30 p.m. EEST) on Thursday, April 28, 2022. The Partnership’s senior management will review the operational and financial performance for the period. Management’s presentation will be followed by a Q&amp;A session.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+1 866 374 5140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3100 4191 (United Kingdom)</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+33 1 72 25 67 60 (France)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+852 800 9337 52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Conference ID: 90159316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be available on the Investor Relations page of the GasLog Partners website </w:t>
      </w:r>
      <w:r>
        <w:rPr>
          <w:rFonts w:ascii="Arial" w:cs="Arial" w:eastAsia="Arial" w:hAnsi="Arial"/>
          <w:sz w:val="16"/>
          <w:szCs w:val="16"/>
          <w:color w:val="0000FF"/>
        </w:rPr>
        <w:t>(</w:t>
      </w:r>
      <w:r>
        <w:rPr>
          <w:rFonts w:ascii="Arial" w:cs="Arial" w:eastAsia="Arial" w:hAnsi="Arial"/>
          <w:sz w:val="16"/>
          <w:szCs w:val="16"/>
          <w:u w:val="single" w:color="auto"/>
          <w:color w:val="0000FF"/>
        </w:rPr>
        <w:t>http://www.gaslogmlp.com/investors</w:t>
      </w:r>
      <w:r>
        <w:rPr>
          <w:rFonts w:ascii="Arial" w:cs="Arial" w:eastAsia="Arial" w:hAnsi="Arial"/>
          <w:sz w:val="16"/>
          <w:szCs w:val="16"/>
          <w:color w:val="auto"/>
        </w:rPr>
        <w:t>).</w:t>
      </w:r>
    </w:p>
    <w:p>
      <w:pPr>
        <w:spacing w:after="0" w:line="221" w:lineRule="exact"/>
        <w:rPr>
          <w:sz w:val="20"/>
          <w:szCs w:val="20"/>
          <w:color w:val="auto"/>
        </w:rPr>
      </w:pPr>
    </w:p>
    <w:p>
      <w:pPr>
        <w:ind w:right="104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 of the GasLog Partners website (</w:t>
      </w:r>
      <w:r>
        <w:rPr>
          <w:rFonts w:ascii="Arial" w:cs="Arial" w:eastAsia="Arial" w:hAnsi="Arial"/>
          <w:sz w:val="16"/>
          <w:szCs w:val="16"/>
          <w:u w:val="single" w:color="auto"/>
          <w:color w:val="0000FF"/>
        </w:rPr>
        <w:t>http://www.gaslogmlp.com/investors</w:t>
      </w:r>
      <w:r>
        <w:rPr>
          <w:rFonts w:ascii="Arial" w:cs="Arial" w:eastAsia="Arial" w:hAnsi="Arial"/>
          <w:sz w:val="16"/>
          <w:szCs w:val="16"/>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GasLog Partners is a growth-oriented owner, operator and acquirer of LNG carriers. The Partnership’s fleet consists of 14 wholly-owned LNG carriers as well as one vessel on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660" w:right="300" w:hanging="328"/>
        <w:spacing w:after="0" w:line="284"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6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operating expenses, including crew costs, maintenance, dry-docking and insurance costs and bunker prices;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Euro;</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18" w:lineRule="exact"/>
        <w:rPr>
          <w:rFonts w:ascii="Arial" w:cs="Arial" w:eastAsia="Arial" w:hAnsi="Arial"/>
          <w:sz w:val="16"/>
          <w:szCs w:val="16"/>
          <w:color w:val="auto"/>
        </w:rPr>
      </w:pPr>
    </w:p>
    <w:p>
      <w:pPr>
        <w:ind w:left="660" w:right="30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14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changes to cash distributions on our financial position;</w:t>
      </w:r>
    </w:p>
    <w:p>
      <w:pPr>
        <w:spacing w:after="0" w:line="18" w:lineRule="exact"/>
        <w:rPr>
          <w:rFonts w:ascii="Arial" w:cs="Arial" w:eastAsia="Arial" w:hAnsi="Arial"/>
          <w:sz w:val="16"/>
          <w:szCs w:val="16"/>
          <w:color w:val="auto"/>
        </w:rPr>
      </w:pPr>
    </w:p>
    <w:p>
      <w:pPr>
        <w:ind w:left="660" w:right="26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7" w:name="page8"/>
    <w:bookmarkEnd w:id="7"/>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0" w:lineRule="exact"/>
        <w:rPr>
          <w:rFonts w:ascii="Arial" w:cs="Arial" w:eastAsia="Arial" w:hAnsi="Arial"/>
          <w:sz w:val="15"/>
          <w:szCs w:val="15"/>
          <w:color w:val="auto"/>
        </w:rPr>
      </w:pPr>
    </w:p>
    <w:p>
      <w:pPr>
        <w:ind w:left="660" w:hanging="328"/>
        <w:spacing w:after="0" w:line="26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related to climate change,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other risks and uncertainties described in the Partnership’s Annual Report on Form 20-F filed with the SEC on March 1, 2022, available at http://www.sec.gov.</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5"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Robert Brinberg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Rose &amp; Company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+1 212-517-0810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gaslog@roseandco.com</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7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As of December 31, 2021 and March 31, 2022</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7780" w:type="dxa"/>
            <w:vAlign w:val="bottom"/>
          </w:tcPr>
          <w:p>
            <w:pPr>
              <w:spacing w:after="0"/>
              <w:rPr>
                <w:sz w:val="18"/>
                <w:szCs w:val="18"/>
                <w:color w:val="auto"/>
              </w:rPr>
            </w:pPr>
          </w:p>
        </w:tc>
        <w:tc>
          <w:tcPr>
            <w:tcW w:w="19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80" w:type="dxa"/>
            <w:vAlign w:val="bottom"/>
            <w:tcBorders>
              <w:top w:val="single" w:sz="8" w:color="E9FFFF"/>
            </w:tcBorders>
            <w:shd w:val="clear" w:color="auto" w:fill="E9FFFF"/>
          </w:tcPr>
          <w:p>
            <w:pPr>
              <w:spacing w:after="0"/>
              <w:rPr>
                <w:sz w:val="20"/>
                <w:szCs w:val="20"/>
                <w:color w:val="auto"/>
              </w:rPr>
            </w:pPr>
            <w:r>
              <w:rPr>
                <w:rFonts w:ascii="Arial" w:cs="Arial" w:eastAsia="Arial" w:hAnsi="Arial"/>
                <w:sz w:val="16"/>
                <w:szCs w:val="16"/>
                <w:b w:val="1"/>
                <w:bCs w:val="1"/>
                <w:color w:val="auto"/>
              </w:rPr>
              <w:t>Assets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Tangible fixed assets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1,888,583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1,871,260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81,996</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1,970,623</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1,949,128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assets</w:t>
            </w:r>
          </w:p>
        </w:tc>
        <w:tc>
          <w:tcPr>
            <w:tcW w:w="5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2020" w:type="dxa"/>
            <w:vAlign w:val="bottom"/>
            <w:gridSpan w:val="3"/>
          </w:tcPr>
          <w:p>
            <w:pPr>
              <w:jc w:val="right"/>
              <w:ind w:right="120"/>
              <w:spacing w:after="0"/>
              <w:rPr>
                <w:sz w:val="20"/>
                <w:szCs w:val="20"/>
                <w:color w:val="auto"/>
              </w:rPr>
            </w:pPr>
            <w:r>
              <w:rPr>
                <w:rFonts w:ascii="Arial" w:cs="Arial" w:eastAsia="Arial" w:hAnsi="Arial"/>
                <w:sz w:val="16"/>
                <w:szCs w:val="16"/>
                <w:color w:val="auto"/>
              </w:rPr>
              <w:t>11,156</w:t>
            </w:r>
          </w:p>
        </w:tc>
        <w:tc>
          <w:tcPr>
            <w:tcW w:w="1340" w:type="dxa"/>
            <w:vAlign w:val="bottom"/>
          </w:tcPr>
          <w:p>
            <w:pPr>
              <w:jc w:val="right"/>
              <w:spacing w:after="0"/>
              <w:rPr>
                <w:sz w:val="20"/>
                <w:szCs w:val="20"/>
                <w:color w:val="auto"/>
              </w:rPr>
            </w:pPr>
            <w:r>
              <w:rPr>
                <w:rFonts w:ascii="Arial" w:cs="Arial" w:eastAsia="Arial" w:hAnsi="Arial"/>
                <w:sz w:val="16"/>
                <w:szCs w:val="16"/>
                <w:color w:val="auto"/>
              </w:rPr>
              <w:t>12,585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2,991</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145,530</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135,933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161,110</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58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2,131,733</w:t>
            </w:r>
          </w:p>
        </w:tc>
        <w:tc>
          <w:tcPr>
            <w:tcW w:w="1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2,102,945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5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w w:val="99"/>
              </w:rPr>
              <w:t>Common unitholders (51,137,201 units issued and outstanding as of December 31, 2021 and March 31, 2022)</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579,447</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606,519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(1,077,494 units issued and outstanding as of December 31, 2021 and March 31, 2022)</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10,717</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80" w:type="dxa"/>
            <w:vAlign w:val="bottom"/>
          </w:tcPr>
          <w:p>
            <w:pPr>
              <w:spacing w:after="0"/>
              <w:rPr>
                <w:sz w:val="20"/>
                <w:szCs w:val="20"/>
                <w:color w:val="auto"/>
              </w:rPr>
            </w:pPr>
            <w:r>
              <w:rPr>
                <w:rFonts w:ascii="Arial" w:cs="Arial" w:eastAsia="Arial" w:hAnsi="Arial"/>
                <w:sz w:val="16"/>
                <w:szCs w:val="16"/>
                <w:color w:val="auto"/>
                <w:w w:val="96"/>
              </w:rPr>
              <w:t>Preference unitholders (5,750,000 Series A Preference Units, 4,135,571 Series B Preference Units and 3,730,451</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60"/>
              <w:spacing w:after="0"/>
              <w:rPr>
                <w:sz w:val="20"/>
                <w:szCs w:val="20"/>
                <w:color w:val="auto"/>
              </w:rPr>
            </w:pPr>
            <w:r>
              <w:rPr>
                <w:rFonts w:ascii="Arial" w:cs="Arial" w:eastAsia="Arial" w:hAnsi="Arial"/>
                <w:sz w:val="16"/>
                <w:szCs w:val="16"/>
                <w:color w:val="auto"/>
                <w:w w:val="90"/>
              </w:rPr>
              <w:t>Series C Preference Units issued and outstanding as of December 31, 2021 and 5,742,162 Series A Preference Units,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60"/>
              <w:spacing w:after="0"/>
              <w:rPr>
                <w:sz w:val="20"/>
                <w:szCs w:val="20"/>
                <w:color w:val="auto"/>
              </w:rPr>
            </w:pPr>
            <w:r>
              <w:rPr>
                <w:rFonts w:ascii="Arial" w:cs="Arial" w:eastAsia="Arial" w:hAnsi="Arial"/>
                <w:sz w:val="16"/>
                <w:szCs w:val="16"/>
                <w:color w:val="auto"/>
                <w:w w:val="90"/>
              </w:rPr>
              <w:t>3,962,981 Series B Preference Units and 3,517,116 Series C Preference Units issued and outstanding as of March 31,</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60"/>
              <w:spacing w:after="0"/>
              <w:rPr>
                <w:sz w:val="20"/>
                <w:szCs w:val="20"/>
                <w:color w:val="auto"/>
              </w:rPr>
            </w:pPr>
            <w:r>
              <w:rPr>
                <w:rFonts w:ascii="Arial" w:cs="Arial" w:eastAsia="Arial" w:hAnsi="Arial"/>
                <w:sz w:val="16"/>
                <w:szCs w:val="16"/>
                <w:color w:val="auto"/>
              </w:rPr>
              <w:t>2022)</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329,334</w:t>
            </w:r>
          </w:p>
        </w:tc>
        <w:tc>
          <w:tcPr>
            <w:tcW w:w="1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319,292</w:t>
            </w:r>
          </w:p>
        </w:tc>
        <w:tc>
          <w:tcPr>
            <w:tcW w:w="0" w:type="dxa"/>
            <w:vAlign w:val="bottom"/>
          </w:tcPr>
          <w:p>
            <w:pPr>
              <w:spacing w:after="0"/>
              <w:rPr>
                <w:sz w:val="1"/>
                <w:szCs w:val="1"/>
                <w:color w:val="auto"/>
              </w:rPr>
            </w:pP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919,498</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937,098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9,547</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instruments—current portion</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5,184</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50,171</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99,307</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99,386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Lease liabilities—current portion</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10,342</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175,503</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169,057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instruments—non-current portion</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4,061</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Borrowings—non-current portion</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986,451</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952,979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liabilities—non-current portion</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45,556</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1,036,732</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996,790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5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2,131,733</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2,102,945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80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84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84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87,088</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85,459</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(2,079)</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(1,461)</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4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(17,807)</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(18,574)</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Depreciation</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(20,686)</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(21,987)</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4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(3,071)</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(4,691)</w:t>
            </w:r>
          </w:p>
        </w:tc>
      </w:tr>
      <w:tr>
        <w:trPr>
          <w:trHeight w:val="196"/>
        </w:trPr>
        <w:tc>
          <w:tcPr>
            <w:tcW w:w="8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43,445</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38,746</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(9,416)</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(8,781)</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Financial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39</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1,319</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4,977</w:t>
            </w:r>
          </w:p>
        </w:tc>
      </w:tr>
      <w:tr>
        <w:trPr>
          <w:trHeight w:val="196"/>
        </w:trPr>
        <w:tc>
          <w:tcPr>
            <w:tcW w:w="8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(8,085)</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(3,765)</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22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34,981</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basic and diluted:</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Common unit, basic</w:t>
            </w:r>
          </w:p>
        </w:tc>
        <w:tc>
          <w:tcPr>
            <w:tcW w:w="1240" w:type="dxa"/>
            <w:vAlign w:val="bottom"/>
          </w:tcPr>
          <w:p>
            <w:pPr>
              <w:jc w:val="right"/>
              <w:spacing w:after="0"/>
              <w:rPr>
                <w:sz w:val="20"/>
                <w:szCs w:val="20"/>
                <w:color w:val="auto"/>
              </w:rPr>
            </w:pPr>
            <w:r>
              <w:rPr>
                <w:rFonts w:ascii="Arial" w:cs="Arial" w:eastAsia="Arial" w:hAnsi="Arial"/>
                <w:sz w:val="16"/>
                <w:szCs w:val="16"/>
                <w:color w:val="auto"/>
              </w:rPr>
              <w:t>0.57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0.53</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0.55</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0.52</w:t>
            </w:r>
          </w:p>
        </w:tc>
      </w:tr>
      <w:tr>
        <w:trPr>
          <w:trHeight w:val="206"/>
        </w:trPr>
        <w:tc>
          <w:tcPr>
            <w:tcW w:w="8440" w:type="dxa"/>
            <w:vAlign w:val="bottom"/>
          </w:tcPr>
          <w:p>
            <w:pPr>
              <w:spacing w:after="0"/>
              <w:rPr>
                <w:sz w:val="20"/>
                <w:szCs w:val="20"/>
                <w:color w:val="auto"/>
              </w:rPr>
            </w:pPr>
            <w:r>
              <w:rPr>
                <w:rFonts w:ascii="Arial" w:cs="Arial" w:eastAsia="Arial" w:hAnsi="Arial"/>
                <w:sz w:val="16"/>
                <w:szCs w:val="16"/>
                <w:color w:val="auto"/>
              </w:rPr>
              <w:t>General partner unit</w:t>
            </w:r>
          </w:p>
        </w:tc>
        <w:tc>
          <w:tcPr>
            <w:tcW w:w="1240" w:type="dxa"/>
            <w:vAlign w:val="bottom"/>
          </w:tcPr>
          <w:p>
            <w:pPr>
              <w:jc w:val="right"/>
              <w:spacing w:after="0"/>
              <w:rPr>
                <w:sz w:val="20"/>
                <w:szCs w:val="20"/>
                <w:color w:val="auto"/>
              </w:rPr>
            </w:pPr>
            <w:r>
              <w:rPr>
                <w:rFonts w:ascii="Arial" w:cs="Arial" w:eastAsia="Arial" w:hAnsi="Arial"/>
                <w:sz w:val="16"/>
                <w:szCs w:val="16"/>
                <w:color w:val="auto"/>
              </w:rPr>
              <w:t>0.57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0.53</w:t>
            </w:r>
          </w:p>
        </w:tc>
      </w:tr>
    </w:tbl>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2021 and 2022</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6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8000" w:type="dxa"/>
            <w:vAlign w:val="bottom"/>
          </w:tcPr>
          <w:p>
            <w:pPr>
              <w:spacing w:after="0"/>
              <w:rPr>
                <w:sz w:val="17"/>
                <w:szCs w:val="17"/>
                <w:color w:val="auto"/>
              </w:rPr>
            </w:pPr>
          </w:p>
        </w:tc>
        <w:tc>
          <w:tcPr>
            <w:tcW w:w="14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12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000" w:type="dxa"/>
            <w:vAlign w:val="bottom"/>
            <w:tcBorders>
              <w:bottom w:val="single" w:sz="8" w:color="E5FFFF"/>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E5FFFF"/>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80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35,360</w:t>
            </w: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34,981</w:t>
            </w:r>
          </w:p>
        </w:tc>
        <w:tc>
          <w:tcPr>
            <w:tcW w:w="100" w:type="dxa"/>
            <w:vAlign w:val="bottom"/>
            <w:shd w:val="clear" w:color="auto" w:fill="E5FF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Adjustments for:</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20,686</w:t>
            </w: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21,987</w:t>
            </w:r>
          </w:p>
        </w:tc>
        <w:tc>
          <w:tcPr>
            <w:tcW w:w="100" w:type="dxa"/>
            <w:vAlign w:val="bottom"/>
            <w:shd w:val="clear" w:color="auto" w:fill="E5FF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Financial costs</w:t>
            </w:r>
          </w:p>
        </w:tc>
        <w:tc>
          <w:tcPr>
            <w:tcW w:w="1180" w:type="dxa"/>
            <w:vAlign w:val="bottom"/>
          </w:tcPr>
          <w:p>
            <w:pPr>
              <w:jc w:val="right"/>
              <w:spacing w:after="0"/>
              <w:rPr>
                <w:sz w:val="20"/>
                <w:szCs w:val="20"/>
                <w:color w:val="auto"/>
              </w:rPr>
            </w:pPr>
            <w:r>
              <w:rPr>
                <w:rFonts w:ascii="Arial" w:cs="Arial" w:eastAsia="Arial" w:hAnsi="Arial"/>
                <w:sz w:val="16"/>
                <w:szCs w:val="16"/>
                <w:color w:val="auto"/>
              </w:rPr>
              <w:t>9,416</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17"/>
                <w:szCs w:val="17"/>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40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(12)</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Gain on derivatives</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(1,319)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(4,977)</w:t>
            </w:r>
          </w:p>
        </w:tc>
      </w:tr>
      <w:tr>
        <w:trPr>
          <w:trHeight w:val="21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E5FFFF"/>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64,204</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60,993</w:t>
            </w:r>
          </w:p>
        </w:tc>
        <w:tc>
          <w:tcPr>
            <w:tcW w:w="100" w:type="dxa"/>
            <w:vAlign w:val="bottom"/>
          </w:tcPr>
          <w:p>
            <w:pPr>
              <w:spacing w:after="0"/>
              <w:rPr>
                <w:sz w:val="17"/>
                <w:szCs w:val="17"/>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40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(8,778)</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(2,370)</w:t>
            </w:r>
          </w:p>
        </w:tc>
      </w:tr>
      <w:tr>
        <w:trPr>
          <w:trHeight w:val="196"/>
        </w:trPr>
        <w:tc>
          <w:tcPr>
            <w:tcW w:w="80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55,426</w:t>
            </w:r>
          </w:p>
        </w:tc>
        <w:tc>
          <w:tcPr>
            <w:tcW w:w="220" w:type="dxa"/>
            <w:vAlign w:val="bottom"/>
            <w:tcBorders>
              <w:bottom w:val="single" w:sz="8" w:color="E5FF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58,623</w:t>
            </w:r>
          </w:p>
        </w:tc>
        <w:tc>
          <w:tcPr>
            <w:tcW w:w="100" w:type="dxa"/>
            <w:vAlign w:val="bottom"/>
            <w:tcBorders>
              <w:bottom w:val="single" w:sz="8" w:color="E5FFFF"/>
            </w:tcBorders>
          </w:tcPr>
          <w:p>
            <w:pPr>
              <w:spacing w:after="0"/>
              <w:rPr>
                <w:sz w:val="17"/>
                <w:szCs w:val="17"/>
                <w:color w:val="auto"/>
              </w:rPr>
            </w:pPr>
          </w:p>
        </w:tc>
      </w:tr>
      <w:tr>
        <w:trPr>
          <w:trHeight w:val="196"/>
        </w:trPr>
        <w:tc>
          <w:tcPr>
            <w:tcW w:w="8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Payments for tangible fixed assets additions</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(5,685)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(971)</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E5FFFF"/>
          </w:tcPr>
          <w:p>
            <w:pPr>
              <w:spacing w:after="0"/>
              <w:rPr>
                <w:sz w:val="18"/>
                <w:szCs w:val="18"/>
                <w:color w:val="auto"/>
              </w:rPr>
            </w:pPr>
          </w:p>
        </w:tc>
      </w:tr>
      <w:tr>
        <w:trPr>
          <w:trHeight w:val="196"/>
        </w:trPr>
        <w:tc>
          <w:tcPr>
            <w:tcW w:w="80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(5,673</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8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Borrowings repayments</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(36,017)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(34,472)</w:t>
            </w: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Principal elements of lease payments</w:t>
            </w:r>
          </w:p>
        </w:tc>
        <w:tc>
          <w:tcPr>
            <w:tcW w:w="140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(123)</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(2,551)</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Interest paid</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(14,468)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(12,586)</w:t>
            </w: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Release of cash collateral for interest rate swaps</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280</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Repurchases of preference units</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(10,002)</w:t>
            </w: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14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Distributions paid (including common and preference)</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(8,067)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(7,634)</w:t>
            </w:r>
          </w:p>
        </w:tc>
      </w:tr>
      <w:tr>
        <w:trPr>
          <w:trHeight w:val="199"/>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(58,395</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(67,265</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80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(8,642</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(9,597</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103,736</w:t>
            </w:r>
          </w:p>
        </w:tc>
        <w:tc>
          <w:tcPr>
            <w:tcW w:w="220" w:type="dxa"/>
            <w:vAlign w:val="bottom"/>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145,530</w:t>
            </w:r>
          </w:p>
        </w:tc>
        <w:tc>
          <w:tcPr>
            <w:tcW w:w="100" w:type="dxa"/>
            <w:vAlign w:val="bottom"/>
            <w:shd w:val="clear" w:color="auto" w:fill="E5FF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95,094</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135,933</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EBITDA is defined as earnings before financial income and costs, gain/loss on derivatives, taxes, depreciation and amortization. Adjusted EBITDA is defined as EBITDA before impairment loss on vessels, loss on disposal of vessel and restructuring costs. Adjusted Profit represents earnings before (a) non-cash gain/loss on derivatives that includes unrealized gain/loss on derivatives held for trading, (b) write-off and accelerated amortization of unamortized loan fees, (c) impairment loss on vessels, (d) loss on disposal of vessel and (e) restructuring costs. Adjusted EPU represents Adjusted Profit (as defined above), after deducting preference unit distributions and adding/deducting any difference between the carrying amount of preference units and the fair value of the consideration paid to settle them,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loss on disposal of vessel and restructuring costs and, in the case of Adjusted Profit and Adjusted EPU, non-cash gain/loss on derivatives, write-off and accelerated amortization of unamortized loan fees, impairment loss on vessels, loss on disposal of vessel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 Loss on disposal of vessel is excluded from Adjusted EBITDA, Adjusted Profit and Adjusted EPU because loss on disposal of vessel represents the excess of its carrying amount over the amount that was recovered through sale and therefore is not considered representative of the underlying operations of the Partnership.</w:t>
      </w:r>
    </w:p>
    <w:p>
      <w:pPr>
        <w:spacing w:after="0" w:line="36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6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 and Adjusted EBITDA: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844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8440" w:type="dxa"/>
            <w:vAlign w:val="bottom"/>
          </w:tcPr>
          <w:p>
            <w:pPr>
              <w:spacing w:after="0"/>
              <w:rPr>
                <w:sz w:val="24"/>
                <w:szCs w:val="24"/>
                <w:color w:val="auto"/>
              </w:rPr>
            </w:pPr>
          </w:p>
        </w:tc>
        <w:tc>
          <w:tcPr>
            <w:tcW w:w="28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c>
          <w:tcPr>
            <w:tcW w:w="13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35,360</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34,981</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jc w:val="right"/>
              <w:spacing w:after="0"/>
              <w:rPr>
                <w:sz w:val="20"/>
                <w:szCs w:val="20"/>
                <w:color w:val="auto"/>
              </w:rPr>
            </w:pPr>
            <w:r>
              <w:rPr>
                <w:rFonts w:ascii="Arial" w:cs="Arial" w:eastAsia="Arial" w:hAnsi="Arial"/>
                <w:sz w:val="16"/>
                <w:szCs w:val="16"/>
                <w:color w:val="auto"/>
              </w:rPr>
              <w:t>20,686</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21,987</w:t>
            </w:r>
          </w:p>
        </w:tc>
        <w:tc>
          <w:tcPr>
            <w:tcW w:w="8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9,416</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8,781</w:t>
            </w:r>
          </w:p>
        </w:tc>
        <w:tc>
          <w:tcPr>
            <w:tcW w:w="8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Financial income</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(39)</w:t>
            </w: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14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(1,319)</w:t>
            </w: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(4,977)</w:t>
            </w:r>
          </w:p>
        </w:tc>
      </w:tr>
      <w:tr>
        <w:trPr>
          <w:trHeight w:val="196"/>
        </w:trPr>
        <w:tc>
          <w:tcPr>
            <w:tcW w:w="8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64,131</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60,733</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168</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64,131</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60,901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5"/>
        </w:trPr>
        <w:tc>
          <w:tcPr>
            <w:tcW w:w="844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440" w:type="dxa"/>
            <w:vAlign w:val="bottom"/>
          </w:tcPr>
          <w:p>
            <w:pPr>
              <w:spacing w:after="0"/>
              <w:rPr>
                <w:sz w:val="24"/>
                <w:szCs w:val="24"/>
                <w:color w:val="auto"/>
              </w:rPr>
            </w:pPr>
          </w:p>
        </w:tc>
        <w:tc>
          <w:tcPr>
            <w:tcW w:w="280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35,360</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34,981</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Non-cash gain on derivatives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(3,607)</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(6,823)</w:t>
            </w: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14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168</w:t>
            </w:r>
          </w:p>
        </w:tc>
      </w:tr>
      <w:tr>
        <w:trPr>
          <w:trHeight w:val="196"/>
        </w:trPr>
        <w:tc>
          <w:tcPr>
            <w:tcW w:w="844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31,753</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28,326</w:t>
            </w:r>
          </w:p>
        </w:tc>
        <w:tc>
          <w:tcPr>
            <w:tcW w:w="100" w:type="dxa"/>
            <w:vAlign w:val="bottom"/>
          </w:tcPr>
          <w:p>
            <w:pPr>
              <w:spacing w:after="0"/>
              <w:rPr>
                <w:sz w:val="17"/>
                <w:szCs w:val="17"/>
                <w:color w:val="auto"/>
              </w:rPr>
            </w:pPr>
          </w:p>
        </w:tc>
      </w:tr>
      <w:tr>
        <w:trPr>
          <w:trHeight w:val="393"/>
        </w:trPr>
        <w:tc>
          <w:tcPr>
            <w:tcW w:w="8440" w:type="dxa"/>
            <w:vAlign w:val="bottom"/>
          </w:tcPr>
          <w:p>
            <w:pPr>
              <w:spacing w:after="0"/>
              <w:rPr>
                <w:sz w:val="20"/>
                <w:szCs w:val="20"/>
                <w:color w:val="auto"/>
              </w:rPr>
            </w:pPr>
            <w:r>
              <w:rPr>
                <w:rFonts w:ascii="Arial" w:cs="Arial" w:eastAsia="Arial" w:hAnsi="Arial"/>
                <w:sz w:val="16"/>
                <w:szCs w:val="16"/>
                <w:b w:val="1"/>
                <w:bCs w:val="1"/>
                <w:color w:val="auto"/>
              </w:rPr>
              <w:t>Reconciliation of Profit to EPU and Adjusted EPU:</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44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440" w:type="dxa"/>
            <w:vAlign w:val="bottom"/>
          </w:tcPr>
          <w:p>
            <w:pPr>
              <w:spacing w:after="0"/>
              <w:rPr>
                <w:sz w:val="24"/>
                <w:szCs w:val="24"/>
                <w:color w:val="auto"/>
              </w:rPr>
            </w:pPr>
          </w:p>
        </w:tc>
        <w:tc>
          <w:tcPr>
            <w:tcW w:w="280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34,981</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Adjustment for: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Accrued preference unit distributions</w:t>
            </w:r>
          </w:p>
        </w:tc>
        <w:tc>
          <w:tcPr>
            <w:tcW w:w="14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(7,582)</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(6,990)</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Differences on repurchase of preference units</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27,778</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27,909</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27,194</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27,333</w:t>
            </w: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584</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576</w:t>
            </w:r>
          </w:p>
        </w:tc>
      </w:t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47,517,824</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51,137,201</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1,021,336</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1,077,494</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EPU (basic)</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0.57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0.53</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0.57</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0.53</w:t>
            </w:r>
          </w:p>
        </w:tc>
      </w:tr>
      <w:tr>
        <w:trPr>
          <w:trHeight w:val="399"/>
        </w:trPr>
        <w:tc>
          <w:tcPr>
            <w:tcW w:w="8440" w:type="dxa"/>
            <w:vAlign w:val="bottom"/>
          </w:tcPr>
          <w:p>
            <w:pPr>
              <w:spacing w:after="0"/>
              <w:rPr>
                <w:sz w:val="24"/>
                <w:szCs w:val="24"/>
                <w:color w:val="auto"/>
              </w:rPr>
            </w:pPr>
          </w:p>
        </w:tc>
        <w:tc>
          <w:tcPr>
            <w:tcW w:w="280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34,981</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Adjustment for: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Accrued preference unit distributions</w:t>
            </w:r>
          </w:p>
        </w:tc>
        <w:tc>
          <w:tcPr>
            <w:tcW w:w="14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(7,582)</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(6,990)</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Differences on repurchase of preference units</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used in EPU calculation</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27,778</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27,909</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Non-cash gain on derivatives</w:t>
            </w:r>
          </w:p>
        </w:tc>
        <w:tc>
          <w:tcPr>
            <w:tcW w:w="1240" w:type="dxa"/>
            <w:vAlign w:val="bottom"/>
          </w:tcPr>
          <w:p>
            <w:pPr>
              <w:jc w:val="right"/>
              <w:spacing w:after="0"/>
              <w:rPr>
                <w:sz w:val="20"/>
                <w:szCs w:val="20"/>
                <w:color w:val="auto"/>
              </w:rPr>
            </w:pPr>
            <w:r>
              <w:rPr>
                <w:rFonts w:ascii="Arial" w:cs="Arial" w:eastAsia="Arial" w:hAnsi="Arial"/>
                <w:sz w:val="16"/>
                <w:szCs w:val="16"/>
                <w:color w:val="auto"/>
              </w:rPr>
              <w:t>(3,607)</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(6,823)</w:t>
            </w:r>
          </w:p>
        </w:tc>
        <w:tc>
          <w:tcPr>
            <w:tcW w:w="100" w:type="dxa"/>
            <w:vAlign w:val="bottom"/>
          </w:tcPr>
          <w:p>
            <w:pPr>
              <w:spacing w:after="0"/>
              <w:rPr>
                <w:sz w:val="17"/>
                <w:szCs w:val="17"/>
                <w:color w:val="auto"/>
              </w:rPr>
            </w:pP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14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168</w:t>
            </w:r>
          </w:p>
        </w:tc>
      </w:tr>
      <w:tr>
        <w:trPr>
          <w:trHeight w:val="196"/>
        </w:trPr>
        <w:tc>
          <w:tcPr>
            <w:tcW w:w="8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Adjusted Partnership’s profit used in EPU calculation attributable to:</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24,171</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21,254</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23,662</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20,815</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509</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439</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47,517,824</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51,137,201</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1,021,336</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1,077,494</w:t>
            </w:r>
          </w:p>
        </w:tc>
      </w:t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Adjusted EPU (basic)</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0.41</w:t>
            </w:r>
          </w:p>
        </w:tc>
      </w:tr>
      <w:tr>
        <w:trPr>
          <w:trHeight w:val="206"/>
        </w:trPr>
        <w:tc>
          <w:tcPr>
            <w:tcW w:w="8440" w:type="dxa"/>
            <w:vAlign w:val="bottom"/>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0.50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0.41</w:t>
            </w:r>
          </w:p>
        </w:tc>
      </w:tr>
    </w:tbl>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Months Ended March 31, 2022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three-month periods ended March 31, 2021 and March 31, 2022.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1, 2022.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ind w:right="80" w:firstLine="324"/>
        <w:spacing w:after="0" w:line="268"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changes to our cash distributions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660" w:right="80" w:hanging="328"/>
        <w:spacing w:after="0" w:line="304"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8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our operating expenses, including crew costs, maintenance, dry-docking and insurance costs and bunker prices;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Euro;</w:t>
      </w:r>
    </w:p>
    <w:p>
      <w:pPr>
        <w:spacing w:after="0" w:line="18" w:lineRule="exact"/>
        <w:rPr>
          <w:rFonts w:ascii="Arial" w:cs="Arial" w:eastAsia="Arial" w:hAnsi="Arial"/>
          <w:sz w:val="16"/>
          <w:szCs w:val="16"/>
          <w:color w:val="auto"/>
        </w:rPr>
      </w:pPr>
    </w:p>
    <w:p>
      <w:pPr>
        <w:ind w:left="660" w:right="38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Ltd. (“GasLog”) or by acquiring other assets from third parties;</w:t>
      </w:r>
    </w:p>
    <w:p>
      <w:pPr>
        <w:ind w:left="660" w:right="32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16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changes to cash distributions on our financial position;</w:t>
      </w:r>
    </w:p>
    <w:p>
      <w:pPr>
        <w:spacing w:after="0" w:line="18" w:lineRule="exact"/>
        <w:rPr>
          <w:rFonts w:ascii="Arial" w:cs="Arial" w:eastAsia="Arial" w:hAnsi="Arial"/>
          <w:sz w:val="16"/>
          <w:szCs w:val="16"/>
          <w:color w:val="auto"/>
        </w:rPr>
      </w:pPr>
    </w:p>
    <w:p>
      <w:pPr>
        <w:ind w:left="660" w:right="28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0" w:lineRule="exact"/>
        <w:rPr>
          <w:rFonts w:ascii="Arial" w:cs="Arial" w:eastAsia="Arial" w:hAnsi="Arial"/>
          <w:sz w:val="15"/>
          <w:szCs w:val="15"/>
          <w:color w:val="auto"/>
        </w:rPr>
      </w:pPr>
    </w:p>
    <w:p>
      <w:pPr>
        <w:ind w:left="660" w:right="20" w:hanging="328"/>
        <w:spacing w:after="0" w:line="28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related to climate change, including with respect to emissions of air pollutants and greenhouse gases, as well as future changes in such requirements or other actions taken by</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regulatory authorities, governmental organizations, classification societies and standards imposed by our charterers applicable to our business;</w:t>
      </w:r>
    </w:p>
    <w:p>
      <w:pPr>
        <w:spacing w:after="0" w:line="2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risks and uncertainties described in the Partnership’s Annual Report on Form 20-F filed with the SEC on March 1, 2022, available at http://www.sec.gov.</w:t>
      </w:r>
    </w:p>
    <w:p>
      <w:pPr>
        <w:spacing w:after="0" w:line="229" w:lineRule="exact"/>
        <w:rPr>
          <w:sz w:val="20"/>
          <w:szCs w:val="20"/>
          <w:color w:val="auto"/>
        </w:rPr>
      </w:pPr>
    </w:p>
    <w:p>
      <w:pPr>
        <w:ind w:right="12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12"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25" w:lineRule="exact"/>
        <w:rPr>
          <w:sz w:val="20"/>
          <w:szCs w:val="20"/>
          <w:color w:val="auto"/>
        </w:rPr>
      </w:pPr>
    </w:p>
    <w:p>
      <w:pPr>
        <w:ind w:right="120" w:firstLine="324"/>
        <w:spacing w:after="0" w:line="278" w:lineRule="auto"/>
        <w:rPr>
          <w:sz w:val="20"/>
          <w:szCs w:val="20"/>
          <w:color w:val="auto"/>
        </w:rPr>
      </w:pPr>
      <w:r>
        <w:rPr>
          <w:rFonts w:ascii="Arial" w:cs="Arial" w:eastAsia="Arial" w:hAnsi="Arial"/>
          <w:sz w:val="16"/>
          <w:szCs w:val="16"/>
          <w:color w:val="auto"/>
        </w:rPr>
        <w:t>On April 27, 2022, the board of directors of GasLog Partners approved and declared a quarterly cash distribution of $0.01 per common unit for the quarter ended March 31, 2022. The cash distribution is payable on May 12, 2022 to all unitholders of record as of May 9, 2022. The aggregate amount of the declared distribution will be $0.5 million based on the number of units issued and outstanding as of March 31, 2022.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Since our initial public offering (“IPO”) in May 2014, we have been a growth-oriented limited partnership focused on acquiring, owning and operating LNG carriers engaged in LNG transportation, growing our fleet from three vessels at the time of our IPO to 15 today (including one vessel sold and leased back under a bareboat charter). We are now focusing our capital allocation on debt repayment, prioritizing balance sheet strength for 2022, in order to lower our cash break-evens, reduce our cost of capital and further enhance the Partnership’s competitive positioning.</w:t>
      </w:r>
    </w:p>
    <w:p>
      <w:pPr>
        <w:spacing w:after="0" w:line="175"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As of March 31, 2022, our owned and bareboat fleet consisted of ten vessels with tri-fuel diesel electric (“TFDE”) propulsion and five steam turbine propulsion (“Steam”) vessels. We also have options and other rights under which we may acquire additional LNG carriers from GasLog, as described below. We believe that such options and rights could provide us with built-in growth opportunities, subject to certain conditions described below. We may also acquire vessels or other LNG infrastructure assets from shipyards or other owners. However, we cannot assure you that we will make any acquisition or that, as a consequence, we will successfully grow our distributions per common unit. Among other things, our ability to acquire any additional LNG carriers or other LNG infrastructure assets will be dependent upon our ability to raise additional equity and debt financing.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Charterer (for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contracts of more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Expiration</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7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Year Built</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than six months)</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Propulsion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(Firm Period)</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Optional Period</w:t>
            </w:r>
          </w:p>
        </w:tc>
      </w:tr>
      <w:tr>
        <w:trPr>
          <w:trHeight w:val="199"/>
        </w:trPr>
        <w:tc>
          <w:tcPr>
            <w:tcW w:w="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2400" w:type="dxa"/>
            <w:vAlign w:val="bottom"/>
            <w:tcBorders>
              <w:top w:val="single" w:sz="8" w:color="auto"/>
            </w:tcBorders>
            <w:shd w:val="clear" w:color="auto" w:fill="E5FFFF"/>
          </w:tcPr>
          <w:p>
            <w:pPr>
              <w:ind w:left="40"/>
              <w:spacing w:after="0"/>
              <w:rPr>
                <w:sz w:val="20"/>
                <w:szCs w:val="20"/>
                <w:color w:val="auto"/>
              </w:rPr>
            </w:pPr>
            <w:r>
              <w:rPr>
                <w:rFonts w:ascii="Arial" w:cs="Arial" w:eastAsia="Arial" w:hAnsi="Arial"/>
                <w:sz w:val="16"/>
                <w:szCs w:val="16"/>
                <w:i w:val="1"/>
                <w:iCs w:val="1"/>
                <w:color w:val="auto"/>
              </w:rPr>
              <w:t>Solaris</w:t>
            </w:r>
          </w:p>
        </w:tc>
        <w:tc>
          <w:tcPr>
            <w:tcW w:w="1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2014</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Spot Market</w:t>
            </w:r>
          </w:p>
        </w:tc>
        <w:tc>
          <w:tcPr>
            <w:tcW w:w="1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Heather Sally</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660" w:type="dxa"/>
            <w:vAlign w:val="bottom"/>
            <w:gridSpan w:val="2"/>
          </w:tcPr>
          <w:p>
            <w:pPr>
              <w:jc w:val="center"/>
              <w:ind w:right="16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(1)</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5FFFF"/>
          </w:tcPr>
          <w:p>
            <w:pPr>
              <w:spacing w:after="0"/>
              <w:rPr>
                <w:sz w:val="21"/>
                <w:szCs w:val="21"/>
                <w:color w:val="auto"/>
              </w:rPr>
            </w:pPr>
          </w:p>
        </w:tc>
      </w:tr>
      <w:tr>
        <w:trPr>
          <w:trHeight w:val="243"/>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Seattle</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40"/>
              <w:spacing w:after="0" w:line="243"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6"/>
                <w:szCs w:val="26"/>
                <w:color w:val="auto"/>
                <w:w w:val="86"/>
                <w:vertAlign w:val="superscript"/>
              </w:rPr>
              <w:t>(2)</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2022</w:t>
            </w:r>
          </w:p>
        </w:tc>
        <w:tc>
          <w:tcPr>
            <w:tcW w:w="15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Shirley Elisabeth</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660" w:type="dxa"/>
            <w:vAlign w:val="bottom"/>
            <w:gridSpan w:val="2"/>
          </w:tcPr>
          <w:p>
            <w:pPr>
              <w:jc w:val="center"/>
              <w:ind w:right="140"/>
              <w:spacing w:after="0" w:line="243" w:lineRule="exact"/>
              <w:rPr>
                <w:sz w:val="20"/>
                <w:szCs w:val="20"/>
                <w:color w:val="auto"/>
              </w:rPr>
            </w:pPr>
            <w:r>
              <w:rPr>
                <w:rFonts w:ascii="Arial" w:cs="Arial" w:eastAsia="Arial" w:hAnsi="Arial"/>
                <w:sz w:val="16"/>
                <w:szCs w:val="16"/>
                <w:color w:val="auto"/>
                <w:w w:val="86"/>
              </w:rPr>
              <w:t xml:space="preserve">JOVO </w:t>
            </w:r>
            <w:r>
              <w:rPr>
                <w:rFonts w:ascii="Arial" w:cs="Arial" w:eastAsia="Arial" w:hAnsi="Arial"/>
                <w:sz w:val="26"/>
                <w:szCs w:val="26"/>
                <w:color w:val="auto"/>
                <w:w w:val="86"/>
                <w:vertAlign w:val="superscript"/>
              </w:rPr>
              <w:t>(3)</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August 2022</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Rita Andrea</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40"/>
              <w:spacing w:after="0" w:line="243" w:lineRule="exact"/>
              <w:rPr>
                <w:sz w:val="20"/>
                <w:szCs w:val="20"/>
                <w:color w:val="auto"/>
              </w:rPr>
            </w:pPr>
            <w:r>
              <w:rPr>
                <w:rFonts w:ascii="Arial" w:cs="Arial" w:eastAsia="Arial" w:hAnsi="Arial"/>
                <w:sz w:val="16"/>
                <w:szCs w:val="16"/>
                <w:color w:val="auto"/>
                <w:w w:val="87"/>
              </w:rPr>
              <w:t xml:space="preserve">Gunvor </w:t>
            </w:r>
            <w:r>
              <w:rPr>
                <w:rFonts w:ascii="Arial" w:cs="Arial" w:eastAsia="Arial" w:hAnsi="Arial"/>
                <w:sz w:val="26"/>
                <w:szCs w:val="26"/>
                <w:color w:val="auto"/>
                <w:w w:val="87"/>
                <w:vertAlign w:val="superscript"/>
              </w:rPr>
              <w:t>(4)</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September 2022</w:t>
            </w:r>
          </w:p>
        </w:tc>
        <w:tc>
          <w:tcPr>
            <w:tcW w:w="15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Santiago</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660" w:type="dxa"/>
            <w:vAlign w:val="bottom"/>
            <w:gridSpan w:val="2"/>
          </w:tcPr>
          <w:p>
            <w:pPr>
              <w:jc w:val="center"/>
              <w:ind w:right="140"/>
              <w:spacing w:after="0" w:line="243" w:lineRule="exact"/>
              <w:rPr>
                <w:sz w:val="20"/>
                <w:szCs w:val="20"/>
                <w:color w:val="auto"/>
              </w:rPr>
            </w:pPr>
            <w:r>
              <w:rPr>
                <w:rFonts w:ascii="Arial" w:cs="Arial" w:eastAsia="Arial" w:hAnsi="Arial"/>
                <w:sz w:val="16"/>
                <w:szCs w:val="16"/>
                <w:color w:val="auto"/>
                <w:w w:val="89"/>
              </w:rPr>
              <w:t xml:space="preserve">Trafigura </w:t>
            </w:r>
            <w:r>
              <w:rPr>
                <w:rFonts w:ascii="Arial" w:cs="Arial" w:eastAsia="Arial" w:hAnsi="Arial"/>
                <w:sz w:val="26"/>
                <w:szCs w:val="26"/>
                <w:color w:val="auto"/>
                <w:w w:val="89"/>
                <w:vertAlign w:val="superscript"/>
              </w:rPr>
              <w:t>(5)</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2022</w:t>
            </w:r>
          </w:p>
        </w:tc>
        <w:tc>
          <w:tcPr>
            <w:tcW w:w="146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2023–2028 </w:t>
            </w:r>
            <w:r>
              <w:rPr>
                <w:rFonts w:ascii="Arial" w:cs="Arial" w:eastAsia="Arial" w:hAnsi="Arial"/>
                <w:sz w:val="26"/>
                <w:szCs w:val="26"/>
                <w:color w:val="auto"/>
                <w:w w:val="86"/>
                <w:vertAlign w:val="superscript"/>
              </w:rPr>
              <w:t>(5)</w:t>
            </w:r>
          </w:p>
        </w:tc>
        <w:tc>
          <w:tcPr>
            <w:tcW w:w="100" w:type="dxa"/>
            <w:vAlign w:val="bottom"/>
            <w:shd w:val="clear" w:color="auto" w:fill="E5FFFF"/>
          </w:tcPr>
          <w:p>
            <w:pPr>
              <w:spacing w:after="0"/>
              <w:rPr>
                <w:sz w:val="21"/>
                <w:szCs w:val="21"/>
                <w:color w:val="auto"/>
              </w:rPr>
            </w:pPr>
          </w:p>
        </w:tc>
      </w:tr>
      <w:tr>
        <w:trPr>
          <w:trHeight w:val="243"/>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Jane Elizabeth</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Cheniere</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2023</w:t>
            </w:r>
          </w:p>
        </w:tc>
        <w:tc>
          <w:tcPr>
            <w:tcW w:w="146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(6)</w:t>
            </w:r>
          </w:p>
        </w:tc>
        <w:tc>
          <w:tcPr>
            <w:tcW w:w="100" w:type="dxa"/>
            <w:vAlign w:val="bottom"/>
          </w:tcPr>
          <w:p>
            <w:pPr>
              <w:spacing w:after="0"/>
              <w:rPr>
                <w:sz w:val="21"/>
                <w:szCs w:val="21"/>
                <w:color w:val="auto"/>
              </w:rPr>
            </w:pPr>
          </w:p>
        </w:tc>
      </w:tr>
      <w:tr>
        <w:trPr>
          <w:trHeight w:val="192"/>
        </w:trPr>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TotalEnergies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r>
      <w:tr>
        <w:trPr>
          <w:trHeight w:val="254"/>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Sydney</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2"/>
                <w:szCs w:val="22"/>
                <w:color w:val="auto"/>
              </w:rPr>
            </w:pPr>
          </w:p>
        </w:tc>
        <w:tc>
          <w:tcPr>
            <w:tcW w:w="1660" w:type="dxa"/>
            <w:vAlign w:val="bottom"/>
            <w:gridSpan w:val="2"/>
          </w:tcPr>
          <w:p>
            <w:pPr>
              <w:jc w:val="center"/>
              <w:ind w:right="140"/>
              <w:spacing w:after="0" w:line="253" w:lineRule="exact"/>
              <w:rPr>
                <w:sz w:val="20"/>
                <w:szCs w:val="20"/>
                <w:color w:val="auto"/>
              </w:rPr>
            </w:pPr>
            <w:r>
              <w:rPr>
                <w:rFonts w:ascii="Arial" w:cs="Arial" w:eastAsia="Arial" w:hAnsi="Arial"/>
                <w:sz w:val="16"/>
                <w:szCs w:val="16"/>
                <w:color w:val="auto"/>
                <w:w w:val="88"/>
              </w:rPr>
              <w:t xml:space="preserve">Naturgy </w:t>
            </w:r>
            <w:r>
              <w:rPr>
                <w:rFonts w:ascii="Arial" w:cs="Arial" w:eastAsia="Arial" w:hAnsi="Arial"/>
                <w:sz w:val="26"/>
                <w:szCs w:val="26"/>
                <w:color w:val="auto"/>
                <w:w w:val="88"/>
                <w:vertAlign w:val="superscript"/>
              </w:rPr>
              <w:t>(7)</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2023</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9</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Geneva</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40"/>
              <w:spacing w:after="0" w:line="243" w:lineRule="exact"/>
              <w:rPr>
                <w:sz w:val="20"/>
                <w:szCs w:val="20"/>
                <w:color w:val="auto"/>
              </w:rPr>
            </w:pPr>
            <w:r>
              <w:rPr>
                <w:rFonts w:ascii="Arial" w:cs="Arial" w:eastAsia="Arial" w:hAnsi="Arial"/>
                <w:sz w:val="16"/>
                <w:szCs w:val="16"/>
                <w:color w:val="auto"/>
                <w:w w:val="84"/>
              </w:rPr>
              <w:t xml:space="preserve">Shell </w:t>
            </w:r>
            <w:r>
              <w:rPr>
                <w:rFonts w:ascii="Arial" w:cs="Arial" w:eastAsia="Arial" w:hAnsi="Arial"/>
                <w:sz w:val="26"/>
                <w:szCs w:val="26"/>
                <w:color w:val="auto"/>
                <w:w w:val="84"/>
                <w:vertAlign w:val="superscript"/>
              </w:rPr>
              <w:t>(8)</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September 2023</w:t>
            </w:r>
          </w:p>
        </w:tc>
        <w:tc>
          <w:tcPr>
            <w:tcW w:w="146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(8)</w:t>
            </w:r>
          </w:p>
        </w:tc>
        <w:tc>
          <w:tcPr>
            <w:tcW w:w="100" w:type="dxa"/>
            <w:vAlign w:val="bottom"/>
          </w:tcPr>
          <w:p>
            <w:pPr>
              <w:spacing w:after="0"/>
              <w:rPr>
                <w:sz w:val="21"/>
                <w:szCs w:val="21"/>
                <w:color w:val="auto"/>
              </w:rPr>
            </w:pPr>
          </w:p>
        </w:tc>
      </w:tr>
      <w:tr>
        <w:trPr>
          <w:trHeight w:val="243"/>
        </w:trPr>
        <w:tc>
          <w:tcPr>
            <w:tcW w:w="272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i w:val="1"/>
                <w:iCs w:val="1"/>
                <w:color w:val="auto"/>
              </w:rPr>
              <w:t>Methane Alison Victoria</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660" w:type="dxa"/>
            <w:vAlign w:val="bottom"/>
            <w:gridSpan w:val="2"/>
          </w:tcPr>
          <w:p>
            <w:pPr>
              <w:jc w:val="center"/>
              <w:ind w:right="140"/>
              <w:spacing w:after="0" w:line="243" w:lineRule="exact"/>
              <w:rPr>
                <w:sz w:val="20"/>
                <w:szCs w:val="20"/>
                <w:color w:val="auto"/>
              </w:rPr>
            </w:pPr>
            <w:r>
              <w:rPr>
                <w:rFonts w:ascii="Arial" w:cs="Arial" w:eastAsia="Arial" w:hAnsi="Arial"/>
                <w:sz w:val="16"/>
                <w:szCs w:val="16"/>
                <w:color w:val="auto"/>
                <w:w w:val="91"/>
              </w:rPr>
              <w:t xml:space="preserve">CNTIC VPower </w:t>
            </w:r>
            <w:r>
              <w:rPr>
                <w:rFonts w:ascii="Arial" w:cs="Arial" w:eastAsia="Arial" w:hAnsi="Arial"/>
                <w:sz w:val="26"/>
                <w:szCs w:val="26"/>
                <w:color w:val="auto"/>
                <w:w w:val="91"/>
                <w:vertAlign w:val="superscript"/>
              </w:rPr>
              <w:t>(9)</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2023</w:t>
            </w:r>
          </w:p>
        </w:tc>
        <w:tc>
          <w:tcPr>
            <w:tcW w:w="146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(9)</w:t>
            </w:r>
          </w:p>
        </w:tc>
        <w:tc>
          <w:tcPr>
            <w:tcW w:w="100" w:type="dxa"/>
            <w:vAlign w:val="bottom"/>
          </w:tcPr>
          <w:p>
            <w:pPr>
              <w:spacing w:after="0"/>
              <w:rPr>
                <w:sz w:val="21"/>
                <w:szCs w:val="21"/>
                <w:color w:val="auto"/>
              </w:rPr>
            </w:pPr>
          </w:p>
        </w:tc>
      </w:tr>
      <w:tr>
        <w:trPr>
          <w:trHeight w:val="243"/>
        </w:trPr>
        <w:tc>
          <w:tcPr>
            <w:tcW w:w="2720" w:type="dxa"/>
            <w:vAlign w:val="bottom"/>
            <w:gridSpan w:val="3"/>
            <w:shd w:val="clear" w:color="auto" w:fill="E5FFFF"/>
          </w:tcPr>
          <w:p>
            <w:pPr>
              <w:ind w:left="40"/>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i w:val="1"/>
                <w:iCs w:val="1"/>
                <w:color w:val="auto"/>
              </w:rPr>
              <w:t>GasLog Gibraltar</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60"/>
              <w:spacing w:after="0"/>
              <w:rPr>
                <w:sz w:val="20"/>
                <w:szCs w:val="20"/>
                <w:color w:val="auto"/>
              </w:rPr>
            </w:pPr>
            <w:r>
              <w:rPr>
                <w:rFonts w:ascii="Arial" w:cs="Arial" w:eastAsia="Arial" w:hAnsi="Arial"/>
                <w:sz w:val="16"/>
                <w:szCs w:val="16"/>
                <w:color w:val="auto"/>
                <w:w w:val="90"/>
              </w:rPr>
              <w:t>October 2023</w:t>
            </w:r>
          </w:p>
        </w:tc>
        <w:tc>
          <w:tcPr>
            <w:tcW w:w="146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(8)</w:t>
            </w:r>
          </w:p>
        </w:tc>
        <w:tc>
          <w:tcPr>
            <w:tcW w:w="100" w:type="dxa"/>
            <w:vAlign w:val="bottom"/>
          </w:tcPr>
          <w:p>
            <w:pPr>
              <w:spacing w:after="0"/>
              <w:rPr>
                <w:sz w:val="21"/>
                <w:szCs w:val="21"/>
                <w:color w:val="auto"/>
              </w:rPr>
            </w:pPr>
          </w:p>
        </w:tc>
      </w:tr>
      <w:tr>
        <w:trPr>
          <w:trHeight w:val="243"/>
        </w:trPr>
        <w:tc>
          <w:tcPr>
            <w:tcW w:w="272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i w:val="1"/>
                <w:iCs w:val="1"/>
                <w:color w:val="auto"/>
              </w:rPr>
              <w:t>Methane Becki Anne</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March 2024</w:t>
            </w:r>
          </w:p>
        </w:tc>
        <w:tc>
          <w:tcPr>
            <w:tcW w:w="146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2027–2029 </w:t>
            </w:r>
            <w:r>
              <w:rPr>
                <w:rFonts w:ascii="Arial" w:cs="Arial" w:eastAsia="Arial" w:hAnsi="Arial"/>
                <w:sz w:val="26"/>
                <w:szCs w:val="26"/>
                <w:color w:val="auto"/>
                <w:w w:val="86"/>
                <w:vertAlign w:val="superscript"/>
              </w:rPr>
              <w:t>(10)</w:t>
            </w:r>
          </w:p>
        </w:tc>
        <w:tc>
          <w:tcPr>
            <w:tcW w:w="100" w:type="dxa"/>
            <w:vAlign w:val="bottom"/>
          </w:tcPr>
          <w:p>
            <w:pPr>
              <w:spacing w:after="0"/>
              <w:rPr>
                <w:sz w:val="21"/>
                <w:szCs w:val="21"/>
                <w:color w:val="auto"/>
              </w:rPr>
            </w:pPr>
          </w:p>
        </w:tc>
      </w:tr>
      <w:tr>
        <w:trPr>
          <w:trHeight w:val="243"/>
        </w:trPr>
        <w:tc>
          <w:tcPr>
            <w:tcW w:w="2720" w:type="dxa"/>
            <w:vAlign w:val="bottom"/>
            <w:gridSpan w:val="3"/>
            <w:shd w:val="clear" w:color="auto" w:fill="E5FFFF"/>
          </w:tcPr>
          <w:p>
            <w:pPr>
              <w:ind w:left="40"/>
              <w:spacing w:after="0"/>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i w:val="1"/>
                <w:iCs w:val="1"/>
                <w:color w:val="auto"/>
              </w:rPr>
              <w:t>GasLog Greece</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2026</w:t>
            </w:r>
          </w:p>
        </w:tc>
        <w:tc>
          <w:tcPr>
            <w:tcW w:w="146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1"/>
              </w:rPr>
              <w:t xml:space="preserve">2031 </w:t>
            </w:r>
            <w:r>
              <w:rPr>
                <w:rFonts w:ascii="Arial" w:cs="Arial" w:eastAsia="Arial" w:hAnsi="Arial"/>
                <w:sz w:val="26"/>
                <w:szCs w:val="26"/>
                <w:color w:val="auto"/>
                <w:w w:val="81"/>
                <w:vertAlign w:val="superscript"/>
              </w:rPr>
              <w:t>(11)</w:t>
            </w:r>
          </w:p>
        </w:tc>
        <w:tc>
          <w:tcPr>
            <w:tcW w:w="100" w:type="dxa"/>
            <w:vAlign w:val="bottom"/>
          </w:tcPr>
          <w:p>
            <w:pPr>
              <w:spacing w:after="0"/>
              <w:rPr>
                <w:sz w:val="21"/>
                <w:szCs w:val="21"/>
                <w:color w:val="auto"/>
              </w:rPr>
            </w:pPr>
          </w:p>
        </w:tc>
      </w:tr>
      <w:tr>
        <w:trPr>
          <w:trHeight w:val="353"/>
        </w:trPr>
        <w:tc>
          <w:tcPr>
            <w:tcW w:w="272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i w:val="1"/>
                <w:iCs w:val="1"/>
                <w:color w:val="auto"/>
              </w:rPr>
              <w:t>GasLog Glasgow</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2026</w:t>
            </w:r>
          </w:p>
        </w:tc>
        <w:tc>
          <w:tcPr>
            <w:tcW w:w="1460" w:type="dxa"/>
            <w:vAlign w:val="bottom"/>
          </w:tcPr>
          <w:p>
            <w:pPr>
              <w:jc w:val="center"/>
              <w:spacing w:after="0"/>
              <w:rPr>
                <w:sz w:val="20"/>
                <w:szCs w:val="20"/>
                <w:color w:val="auto"/>
              </w:rPr>
            </w:pPr>
            <w:r>
              <w:rPr>
                <w:rFonts w:ascii="Arial" w:cs="Arial" w:eastAsia="Arial" w:hAnsi="Arial"/>
                <w:sz w:val="16"/>
                <w:szCs w:val="16"/>
                <w:color w:val="auto"/>
                <w:w w:val="81"/>
              </w:rPr>
              <w:t xml:space="preserve">2031 </w:t>
            </w:r>
            <w:r>
              <w:rPr>
                <w:rFonts w:ascii="Arial" w:cs="Arial" w:eastAsia="Arial" w:hAnsi="Arial"/>
                <w:sz w:val="26"/>
                <w:szCs w:val="26"/>
                <w:color w:val="auto"/>
                <w:w w:val="81"/>
                <w:vertAlign w:val="superscript"/>
              </w:rPr>
              <w:t>(11)</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127635</wp:posOffset>
            </wp:positionV>
            <wp:extent cx="1577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vessel is chartered to Cheniere Marketing International LLP, a subsidiary of Cheniere Energy Inc. (“Cheniere”).</w:t>
      </w:r>
    </w:p>
    <w:p>
      <w:pPr>
        <w:ind w:left="340" w:hanging="332"/>
        <w:spacing w:after="0"/>
        <w:tabs>
          <w:tab w:leader="none" w:pos="3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vessel is chartered to TotalEnergies Gas &amp; Power Limited, a wholly owned subsidiary of TotalEnergies SE (“TotalEnergies”).</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vessel is chartered to Singapore Carbon Hydrogen Energy Pte. Ltd., a wholly owned subsidiary of JOVO Group (“JOVO”).</w:t>
      </w:r>
    </w:p>
    <w:p>
      <w:pPr>
        <w:ind w:left="340" w:hanging="332"/>
        <w:spacing w:after="0" w:line="221" w:lineRule="auto"/>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vessel is chartered to Clearlake Shipping Pte. Ltd., a subsidiary of Gunvor Group Ltd. (“Gunvor”).</w:t>
      </w:r>
    </w:p>
    <w:p>
      <w:pPr>
        <w:ind w:left="340" w:right="160" w:hanging="332"/>
        <w:spacing w:after="0" w:line="221" w:lineRule="auto"/>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vessel is chartered to Trafigura Maritime Logistics PTE Ltd. (“Trafigura”). Charterer may extend the term of this time charter for a period ranging from one to six years, provided that the charterer gives us advance notice of declaration. The period shown reflects the expiration of the minimum optional period and the maximum optional period.</w:t>
      </w:r>
    </w:p>
    <w:p>
      <w:pPr>
        <w:ind w:left="340" w:right="160" w:hanging="332"/>
        <w:spacing w:after="0" w:line="221" w:lineRule="auto"/>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Charterers may extend the term of the time charters by two additional periods of one year, provided that the charterer gives us advance notice of declaration. The period shown reflects the expiration of the minimum optional period and the maximum optional period.</w:t>
      </w:r>
    </w:p>
    <w:p>
      <w:pPr>
        <w:ind w:left="340" w:hanging="332"/>
        <w:spacing w:after="0" w:line="221" w:lineRule="auto"/>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After expiration of its current time charter with TotalEnergies, the vessel will commence its charter with Naturgy Aprovisionamentos S.A. (“Naturgy”).</w:t>
      </w:r>
    </w:p>
    <w:p>
      <w:pPr>
        <w:ind w:left="340" w:right="20" w:hanging="332"/>
        <w:spacing w:after="0" w:line="238" w:lineRule="auto"/>
        <w:tabs>
          <w:tab w:leader="none" w:pos="340" w:val="left"/>
        </w:tabs>
        <w:numPr>
          <w:ilvl w:val="0"/>
          <w:numId w:val="9"/>
        </w:numPr>
        <w:rPr>
          <w:rFonts w:ascii="Arial" w:cs="Arial" w:eastAsia="Arial" w:hAnsi="Arial"/>
          <w:sz w:val="8"/>
          <w:szCs w:val="8"/>
          <w:color w:val="auto"/>
        </w:rPr>
      </w:pPr>
      <w:r>
        <w:rPr>
          <w:rFonts w:ascii="Arial" w:cs="Arial" w:eastAsia="Arial" w:hAnsi="Arial"/>
          <w:sz w:val="13"/>
          <w:szCs w:val="13"/>
          <w:color w:val="auto"/>
        </w:rPr>
        <w:t>The vessel is chartered to a wholly owned subsidiary of Shell plc (“Shell”). 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100" w:hanging="332"/>
        <w:spacing w:after="0" w:line="221" w:lineRule="auto"/>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440" w:hanging="332"/>
        <w:spacing w:after="0" w:line="221" w:lineRule="auto"/>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Bareboat Vessel</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400"/>
              <w:spacing w:after="0"/>
              <w:rPr>
                <w:sz w:val="20"/>
                <w:szCs w:val="20"/>
                <w:color w:val="auto"/>
              </w:rPr>
            </w:pPr>
            <w:r>
              <w:rPr>
                <w:rFonts w:ascii="Arial" w:cs="Arial" w:eastAsia="Arial" w:hAnsi="Arial"/>
                <w:sz w:val="16"/>
                <w:szCs w:val="16"/>
                <w:b w:val="1"/>
                <w:bCs w:val="1"/>
                <w:color w:val="auto"/>
              </w:rPr>
              <w:t>Cargo</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Charterer (for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300"/>
              <w:spacing w:after="0"/>
              <w:rPr>
                <w:sz w:val="20"/>
                <w:szCs w:val="20"/>
                <w:color w:val="auto"/>
              </w:rPr>
            </w:pPr>
            <w:r>
              <w:rPr>
                <w:rFonts w:ascii="Arial" w:cs="Arial" w:eastAsia="Arial" w:hAnsi="Arial"/>
                <w:sz w:val="16"/>
                <w:szCs w:val="16"/>
                <w:b w:val="1"/>
                <w:bCs w:val="1"/>
                <w:color w:val="auto"/>
              </w:rPr>
              <w:t>Capacity</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contracts of more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Charter Expiration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Optional</w:t>
            </w:r>
          </w:p>
        </w:tc>
      </w:tr>
      <w:tr>
        <w:trPr>
          <w:trHeight w:val="213"/>
        </w:trPr>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Year Built</w:t>
            </w:r>
          </w:p>
        </w:tc>
        <w:tc>
          <w:tcPr>
            <w:tcW w:w="2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(cbm)</w:t>
            </w:r>
          </w:p>
        </w:tc>
        <w:tc>
          <w:tcPr>
            <w:tcW w:w="2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than six months)</w:t>
            </w:r>
          </w:p>
        </w:tc>
        <w:tc>
          <w:tcPr>
            <w:tcW w:w="10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Propulsion</w:t>
            </w:r>
          </w:p>
        </w:tc>
        <w:tc>
          <w:tcPr>
            <w:tcW w:w="220" w:type="dxa"/>
            <w:vAlign w:val="bottom"/>
            <w:tcBorders>
              <w:bottom w:val="single" w:sz="8" w:color="E5FF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(Firm Period)</w:t>
            </w:r>
          </w:p>
        </w:tc>
        <w:tc>
          <w:tcPr>
            <w:tcW w:w="10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Period</w:t>
            </w:r>
          </w:p>
        </w:tc>
        <w:tc>
          <w:tcPr>
            <w:tcW w:w="100" w:type="dxa"/>
            <w:vAlign w:val="bottom"/>
            <w:tcBorders>
              <w:bottom w:val="single" w:sz="8" w:color="E5FFFF"/>
            </w:tcBorders>
          </w:tcPr>
          <w:p>
            <w:pPr>
              <w:spacing w:after="0"/>
              <w:rPr>
                <w:sz w:val="18"/>
                <w:szCs w:val="18"/>
                <w:color w:val="auto"/>
              </w:rPr>
            </w:pPr>
          </w:p>
        </w:tc>
      </w:tr>
      <w:tr>
        <w:trPr>
          <w:trHeight w:val="239"/>
        </w:trPr>
        <w:tc>
          <w:tcPr>
            <w:tcW w:w="2500" w:type="dxa"/>
            <w:vAlign w:val="bottom"/>
            <w:shd w:val="clear" w:color="auto" w:fill="E5FFFF"/>
          </w:tcPr>
          <w:p>
            <w:pPr>
              <w:ind w:left="40"/>
              <w:spacing w:after="0" w:line="240" w:lineRule="exact"/>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i w:val="1"/>
                <w:iCs w:val="1"/>
                <w:color w:val="auto"/>
              </w:rPr>
              <w:t>GasLog Shanghai</w:t>
            </w:r>
            <w:r>
              <w:rPr>
                <w:rFonts w:ascii="Arial" w:cs="Arial" w:eastAsia="Arial" w:hAnsi="Arial"/>
                <w:sz w:val="16"/>
                <w:szCs w:val="16"/>
                <w:b w:val="1"/>
                <w:bCs w:val="1"/>
                <w:color w:val="auto"/>
              </w:rPr>
              <w:t xml:space="preserve"> </w:t>
            </w:r>
            <w:r>
              <w:rPr>
                <w:rFonts w:ascii="Arial" w:cs="Arial" w:eastAsia="Arial" w:hAnsi="Arial"/>
                <w:sz w:val="26"/>
                <w:szCs w:val="26"/>
                <w:color w:val="auto"/>
                <w:vertAlign w:val="superscript"/>
              </w:rPr>
              <w:t>(1)</w:t>
            </w:r>
          </w:p>
        </w:tc>
        <w:tc>
          <w:tcPr>
            <w:tcW w:w="120" w:type="dxa"/>
            <w:vAlign w:val="bottom"/>
            <w:shd w:val="clear" w:color="auto" w:fill="E5FFFF"/>
          </w:tcPr>
          <w:p>
            <w:pPr>
              <w:spacing w:after="0"/>
              <w:rPr>
                <w:sz w:val="20"/>
                <w:szCs w:val="20"/>
                <w:color w:val="auto"/>
              </w:rPr>
            </w:pPr>
          </w:p>
        </w:tc>
        <w:tc>
          <w:tcPr>
            <w:tcW w:w="1240" w:type="dxa"/>
            <w:vAlign w:val="bottom"/>
            <w:shd w:val="clear" w:color="auto" w:fill="E5FFFF"/>
          </w:tcPr>
          <w:p>
            <w:pPr>
              <w:jc w:val="right"/>
              <w:ind w:right="319"/>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E5FFFF"/>
          </w:tcPr>
          <w:p>
            <w:pPr>
              <w:spacing w:after="0"/>
              <w:rPr>
                <w:sz w:val="20"/>
                <w:szCs w:val="20"/>
                <w:color w:val="auto"/>
              </w:rPr>
            </w:pPr>
          </w:p>
        </w:tc>
        <w:tc>
          <w:tcPr>
            <w:tcW w:w="1240" w:type="dxa"/>
            <w:vAlign w:val="bottom"/>
            <w:shd w:val="clear" w:color="auto" w:fill="E5FFFF"/>
          </w:tcPr>
          <w:p>
            <w:pPr>
              <w:ind w:left="420"/>
              <w:spacing w:after="0"/>
              <w:rPr>
                <w:sz w:val="20"/>
                <w:szCs w:val="20"/>
                <w:color w:val="auto"/>
              </w:rPr>
            </w:pPr>
            <w:r>
              <w:rPr>
                <w:rFonts w:ascii="Arial" w:cs="Arial" w:eastAsia="Arial" w:hAnsi="Arial"/>
                <w:sz w:val="16"/>
                <w:szCs w:val="16"/>
                <w:color w:val="auto"/>
              </w:rPr>
              <w:t>155,000</w:t>
            </w:r>
          </w:p>
        </w:tc>
        <w:tc>
          <w:tcPr>
            <w:tcW w:w="220" w:type="dxa"/>
            <w:vAlign w:val="bottom"/>
            <w:shd w:val="clear" w:color="auto" w:fill="E5FFFF"/>
          </w:tcPr>
          <w:p>
            <w:pPr>
              <w:spacing w:after="0"/>
              <w:rPr>
                <w:sz w:val="20"/>
                <w:szCs w:val="20"/>
                <w:color w:val="auto"/>
              </w:rPr>
            </w:pP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Gunvor</w:t>
            </w:r>
          </w:p>
        </w:tc>
        <w:tc>
          <w:tcPr>
            <w:tcW w:w="134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rPr>
              <w:t>TFDE</w:t>
            </w:r>
          </w:p>
        </w:tc>
        <w:tc>
          <w:tcPr>
            <w:tcW w:w="16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November 2022</w:t>
            </w:r>
          </w:p>
        </w:tc>
        <w:tc>
          <w:tcPr>
            <w:tcW w:w="1220" w:type="dxa"/>
            <w:vAlign w:val="bottom"/>
            <w:gridSpan w:val="2"/>
            <w:shd w:val="clear" w:color="auto" w:fill="E5FFFF"/>
          </w:tcPr>
          <w:p>
            <w:pPr>
              <w:ind w:left="5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274320</wp:posOffset>
            </wp:positionV>
            <wp:extent cx="1577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right="600" w:hanging="332"/>
        <w:spacing w:after="0" w:line="253"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 October 2021, the vessel was sold and leased back from China Development Bank Financial Leasing Co. Ltd. (“CDBL”) for a period of five years, with no repurchase option or obligation.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21"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results set forth below are derived from the unaudited condensed consolidated financial statements of the Partnership.</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00" w:type="dxa"/>
            <w:vAlign w:val="bottom"/>
            <w:gridSpan w:val="5"/>
          </w:tcPr>
          <w:p>
            <w:pPr>
              <w:ind w:left="2080"/>
              <w:spacing w:after="0"/>
              <w:rPr>
                <w:sz w:val="20"/>
                <w:szCs w:val="20"/>
                <w:color w:val="auto"/>
              </w:rPr>
            </w:pPr>
            <w:r>
              <w:rPr>
                <w:rFonts w:ascii="Arial" w:cs="Arial" w:eastAsia="Arial" w:hAnsi="Arial"/>
                <w:sz w:val="16"/>
                <w:szCs w:val="16"/>
                <w:b w:val="1"/>
                <w:bCs w:val="1"/>
                <w:color w:val="auto"/>
              </w:rPr>
              <w:t>Three-month period ended March 31, 2021 compared to the three-month period ended March 31, 2022</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69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3"/>
        </w:trPr>
        <w:tc>
          <w:tcPr>
            <w:tcW w:w="698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March 31, 2022</w:t>
            </w:r>
          </w:p>
        </w:tc>
        <w:tc>
          <w:tcPr>
            <w:tcW w:w="13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Change</w:t>
            </w:r>
          </w:p>
        </w:tc>
      </w:tr>
      <w:tr>
        <w:trPr>
          <w:trHeight w:val="199"/>
        </w:trPr>
        <w:tc>
          <w:tcPr>
            <w:tcW w:w="6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87,088</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85,459</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(2,079)</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(1,461)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(17,807)</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(18,574)</w:t>
            </w: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(767)</w:t>
            </w: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Depreciation</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(20,686)</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(21,987)</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(1,301)</w:t>
            </w:r>
          </w:p>
        </w:tc>
      </w:tr>
      <w:tr>
        <w:trPr>
          <w:trHeight w:val="216"/>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(3,071)</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(4,691)</w:t>
            </w: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(1,620)</w:t>
            </w:r>
          </w:p>
        </w:tc>
      </w:tr>
      <w:tr>
        <w:trPr>
          <w:trHeight w:val="196"/>
        </w:trPr>
        <w:tc>
          <w:tcPr>
            <w:tcW w:w="69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43,445</w:t>
            </w:r>
          </w:p>
        </w:tc>
        <w:tc>
          <w:tcPr>
            <w:tcW w:w="2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38,746</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(4,699</w:t>
            </w:r>
          </w:p>
        </w:tc>
        <w:tc>
          <w:tcPr>
            <w:tcW w:w="100" w:type="dxa"/>
            <w:vAlign w:val="bottom"/>
            <w:tcBorders>
              <w:bottom w:val="single" w:sz="8" w:color="E5FFFF"/>
            </w:tcBorders>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(9,416)</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(8,781)</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635</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Financial income</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r>
      <w:tr>
        <w:trPr>
          <w:trHeight w:val="216"/>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14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1,319</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4,977</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3,658</w:t>
            </w:r>
          </w:p>
        </w:tc>
        <w:tc>
          <w:tcPr>
            <w:tcW w:w="80" w:type="dxa"/>
            <w:vAlign w:val="bottom"/>
            <w:shd w:val="clear" w:color="auto" w:fill="E5FFFF"/>
          </w:tcPr>
          <w:p>
            <w:pPr>
              <w:spacing w:after="0"/>
              <w:rPr>
                <w:sz w:val="18"/>
                <w:szCs w:val="18"/>
                <w:color w:val="auto"/>
              </w:rPr>
            </w:pPr>
          </w:p>
        </w:tc>
      </w:tr>
      <w:tr>
        <w:trPr>
          <w:trHeight w:val="207"/>
        </w:trPr>
        <w:tc>
          <w:tcPr>
            <w:tcW w:w="698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35,360</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34,981</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(379</w:t>
            </w:r>
          </w:p>
        </w:tc>
        <w:tc>
          <w:tcPr>
            <w:tcW w:w="1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6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00" w:firstLine="324"/>
        <w:spacing w:after="0" w:line="278" w:lineRule="auto"/>
        <w:rPr>
          <w:sz w:val="20"/>
          <w:szCs w:val="20"/>
          <w:color w:val="auto"/>
        </w:rPr>
      </w:pPr>
      <w:r>
        <w:rPr>
          <w:rFonts w:ascii="Arial" w:cs="Arial" w:eastAsia="Arial" w:hAnsi="Arial"/>
          <w:sz w:val="16"/>
          <w:szCs w:val="16"/>
          <w:color w:val="auto"/>
        </w:rPr>
        <w:t>For the three-month period ended March 31, 2021, we had an average of 15.0 vessels operating in our owned fleet having 1,336 available days, while during the three-month period ended March 31, 2022, we had an average of 15.0 vessels operating in our owned fleet having 1,350 available days. The increase in available days is due to the scheduled dry-docking of one of our vessels in the first quarter of 2021.</w:t>
      </w:r>
    </w:p>
    <w:p>
      <w:pPr>
        <w:spacing w:after="0" w:line="171" w:lineRule="exact"/>
        <w:rPr>
          <w:sz w:val="20"/>
          <w:szCs w:val="20"/>
          <w:color w:val="auto"/>
        </w:rPr>
      </w:pPr>
    </w:p>
    <w:p>
      <w:pPr>
        <w:ind w:right="100" w:firstLine="324"/>
        <w:spacing w:after="0" w:line="324" w:lineRule="auto"/>
        <w:rPr>
          <w:sz w:val="20"/>
          <w:szCs w:val="20"/>
          <w:color w:val="auto"/>
        </w:rPr>
      </w:pPr>
      <w:r>
        <w:rPr>
          <w:rFonts w:ascii="Arial" w:cs="Arial" w:eastAsia="Arial" w:hAnsi="Arial"/>
          <w:sz w:val="14"/>
          <w:szCs w:val="14"/>
          <w:b w:val="1"/>
          <w:bCs w:val="1"/>
          <w:i w:val="1"/>
          <w:iCs w:val="1"/>
          <w:color w:val="auto"/>
        </w:rPr>
        <w:t xml:space="preserve">Revenues: </w:t>
      </w:r>
      <w:r>
        <w:rPr>
          <w:rFonts w:ascii="Arial" w:cs="Arial" w:eastAsia="Arial" w:hAnsi="Arial"/>
          <w:sz w:val="14"/>
          <w:szCs w:val="14"/>
          <w:color w:val="auto"/>
        </w:rPr>
        <w:t>Revenues decreased by $1.6 million, or 1.8%, from $87.1 million for the three-month period ended March 31, 2021, to $85.5 million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The decrease is mainly attributable to a net decrease in revenues from our vessels operating in the spot market in the first quarter of 2022 for an additional 112 days, due to the lower average headline rates earned by our spot fleet in 2022 compared to the same period in 2021, as the premium winter spot market ended much earlier this year. The average daily hire rate decreased from $66,429 for the three-month period ended March 31, 2021, to $63,681 for the three-month period ended March 31, 2022.</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16" w:name="page17"/>
    <w:bookmarkEnd w:id="16"/>
    <w:p>
      <w:pPr>
        <w:ind w:right="180" w:firstLine="324"/>
        <w:spacing w:after="0" w:line="335" w:lineRule="auto"/>
        <w:rPr>
          <w:sz w:val="20"/>
          <w:szCs w:val="20"/>
          <w:color w:val="auto"/>
        </w:rPr>
      </w:pPr>
      <w:r>
        <w:rPr>
          <w:rFonts w:ascii="Arial" w:cs="Arial" w:eastAsia="Arial" w:hAnsi="Arial"/>
          <w:sz w:val="14"/>
          <w:szCs w:val="14"/>
          <w:b w:val="1"/>
          <w:bCs w:val="1"/>
          <w:i w:val="1"/>
          <w:iCs w:val="1"/>
          <w:color w:val="auto"/>
        </w:rPr>
        <w:t xml:space="preserve">Voyage Expenses and Commissions: </w:t>
      </w:r>
      <w:r>
        <w:rPr>
          <w:rFonts w:ascii="Arial" w:cs="Arial" w:eastAsia="Arial" w:hAnsi="Arial"/>
          <w:sz w:val="14"/>
          <w:szCs w:val="14"/>
          <w:color w:val="auto"/>
        </w:rPr>
        <w:t>Voyage expenses and commissions decreased by $0.6 million, or 28.6%, from $2.1 million for the three-month period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March 31, 2021, to $1.5 million for the same period in 2022. The decrease in voyage expenses and commissions is attributable to a decrease in bunker consumption costs due to the increased utilization of our vessels operating in the spot market in the first three months of 2022, as compared to the same period in 2021.</w:t>
      </w:r>
    </w:p>
    <w:p>
      <w:pPr>
        <w:spacing w:after="0" w:line="136"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$0.8 million, or 4.5%, from $17.8 million for the three-month period ended March 31, 2021, to $18.6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for the same period in 2022. The increase in vessel operating costs is mainly attributable to an increase of $1.4 million in crew costs, largely related to additional costs in 2022 following our COVID-19 enhanced protocols in relation to crew extension bonuses to support our seafarers, travelling and extended quarantine days for seafarers prior to embarkation. This increase was partially offset by a decrease of $0.4 million in vessel management fees in connection with the decrease of the annual fee payable to our manager (approximately $0.1 million per vessel per year). As a result,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the operating costs of which are covered by the charterers) increased from $14,132 per day for the three-month period ended March 31, 2021, to $14,741 per day for the three-month period ended March 31, 2022.</w:t>
      </w:r>
    </w:p>
    <w:p>
      <w:pPr>
        <w:spacing w:after="0" w:line="176" w:lineRule="exact"/>
        <w:rPr>
          <w:sz w:val="20"/>
          <w:szCs w:val="20"/>
          <w:color w:val="auto"/>
        </w:rPr>
      </w:pPr>
    </w:p>
    <w:p>
      <w:pPr>
        <w:ind w:right="80" w:firstLine="324"/>
        <w:spacing w:after="0" w:line="318" w:lineRule="auto"/>
        <w:rPr>
          <w:sz w:val="20"/>
          <w:szCs w:val="20"/>
          <w:color w:val="auto"/>
        </w:rPr>
      </w:pPr>
      <w:r>
        <w:rPr>
          <w:rFonts w:ascii="Arial" w:cs="Arial" w:eastAsia="Arial" w:hAnsi="Arial"/>
          <w:sz w:val="14"/>
          <w:szCs w:val="14"/>
          <w:b w:val="1"/>
          <w:bCs w:val="1"/>
          <w:i w:val="1"/>
          <w:iCs w:val="1"/>
          <w:color w:val="auto"/>
        </w:rPr>
        <w:t xml:space="preserve">General and Administrative Expenses: </w:t>
      </w:r>
      <w:r>
        <w:rPr>
          <w:rFonts w:ascii="Arial" w:cs="Arial" w:eastAsia="Arial" w:hAnsi="Arial"/>
          <w:sz w:val="14"/>
          <w:szCs w:val="14"/>
          <w:color w:val="auto"/>
        </w:rPr>
        <w:t>General and administrative expenses increased by $1.6 million, or 51.6%, from $3.1 million for the three-month period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March 31, 2021, to $4.7 million for the same period in 2022. The increase in general and administrative expenses is mainly attributable to an aggregate increase of $1.0 million in administrative services fees for our fleet in connection with the increased annual fee per vessel payable to GasLog in 2021 by approximately $0.3 million per vessel per year, and an increase in legal and other professional fees of $0.4 million. As a result, daily general and administrative expenses increased from $2,275 per vessel ownership day for the three-month period ended March 31, 2021, to $3,472 per vessel ownership day for the three-month period ended March 31, 2022.</w:t>
      </w:r>
    </w:p>
    <w:p>
      <w:pPr>
        <w:spacing w:after="0" w:line="148" w:lineRule="exact"/>
        <w:rPr>
          <w:sz w:val="20"/>
          <w:szCs w:val="20"/>
          <w:color w:val="auto"/>
        </w:rPr>
      </w:pPr>
    </w:p>
    <w:p>
      <w:pPr>
        <w:ind w:right="60" w:firstLine="324"/>
        <w:spacing w:after="0" w:line="269"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decreased by $0.6 million, or 6.4%, from $9.4 million for the three-month period ended March 31, 2021, to $8.8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in 2022. The decrease in financial costs is attributable to a decrease of $1.0 million in interest expense on loans, primarily due to the lower debt balances year-over-year, partially offset by an increase of $0.4 million in interest expense on leases, pursuant to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October 2021. During the three-month period ended March 31, 2021, we had an average of $1,287.8 million of bank borrowings outstanding under our credit facilities with a weighted average interest rate of 2.4%, compared to an average of $1,083.4 million of bank borrowings outstanding under our credit facilities with a weighted average interest rate of 2.5% during the three-month period ended March 31, 2022.</w:t>
      </w:r>
    </w:p>
    <w:p>
      <w:pPr>
        <w:spacing w:after="0" w:line="18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6"/>
          <w:szCs w:val="16"/>
          <w:b w:val="1"/>
          <w:bCs w:val="1"/>
          <w:i w:val="1"/>
          <w:iCs w:val="1"/>
          <w:color w:val="auto"/>
        </w:rPr>
        <w:t xml:space="preserve">Gain on Derivatives: </w:t>
      </w:r>
      <w:r>
        <w:rPr>
          <w:rFonts w:ascii="Arial" w:cs="Arial" w:eastAsia="Arial" w:hAnsi="Arial"/>
          <w:sz w:val="16"/>
          <w:szCs w:val="16"/>
          <w:color w:val="auto"/>
        </w:rPr>
        <w:t>Gain on derivatives increased by $3.7 million, from $1.3 million for the three-month period ended March 31, 2021, to $5.0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2022. The increase is attributable to a $3.2 million increase in unrealized gain from the mark-to-market valuation of derivatives (interest rate swaps) held for trading, which were carried at fair value through profit or loss, mainly due to changes in the forward yield curve, and a decrease of $0.5 million in realized loss on derivatives held for trading.</w:t>
      </w:r>
    </w:p>
    <w:p>
      <w:pPr>
        <w:spacing w:after="0" w:line="18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$0.4 million, from $35.4 million for the three-month period ended March 31, 2021, to $35.0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2022, as a result of the aforementioned factors.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any additional vessels or other capital expenditures through a combination of borrowings from commercial banks, cash generated from operations and debt, lease and equity financings, if any. In addition to paying distributions and potentially repurchasing common and preference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62" w:lineRule="exact"/>
        <w:rPr>
          <w:sz w:val="20"/>
          <w:szCs w:val="20"/>
          <w:color w:val="auto"/>
        </w:rPr>
      </w:pPr>
    </w:p>
    <w:p>
      <w:pPr>
        <w:ind w:right="220" w:firstLine="648"/>
        <w:spacing w:after="0" w:line="324" w:lineRule="auto"/>
        <w:rPr>
          <w:sz w:val="20"/>
          <w:szCs w:val="20"/>
          <w:color w:val="auto"/>
        </w:rPr>
      </w:pPr>
      <w:r>
        <w:rPr>
          <w:rFonts w:ascii="Arial" w:cs="Arial" w:eastAsia="Arial" w:hAnsi="Arial"/>
          <w:sz w:val="14"/>
          <w:szCs w:val="14"/>
          <w:color w:val="auto"/>
        </w:rPr>
        <w:t>In the three months ended March 31, 2022, under the Partnership’s preference unit repurchase programme established in March 2021, GasLog Partners repurchased and cancelled 7,838 8.625% Series A Cumulative Redeemable Perpetual Fixed to Floating Rate Preference Units (the “Series A Preference Units”), 172,590 8.200% Series B Cumulative Redeemable Perpetual Fixed to Floating Rate Preference Units (the “Series B Preference Units”) and 213,335 8.500% Series C Cumulative Redeemable Perpetual Fixed to Floating Rate Preference Units (the “Series C Preference Units”), for an aggregate amount of $10.0 million, including commissions.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Partnership did not issue any common units during the first quarter of 2022 under the ATM Common Equity Offering Programme.</w:t>
      </w:r>
    </w:p>
    <w:p>
      <w:pPr>
        <w:spacing w:after="0" w:line="22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As of March 31, 2022, we had $135.9 million of cash and cash equivalents, out of which $33.5 million was held in current accounts and $102.4 million was held in time deposits with an original duration of less than three months.</w:t>
      </w:r>
    </w:p>
    <w:p>
      <w:pPr>
        <w:spacing w:after="0" w:line="158"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 xml:space="preserve">As of March 31, 2022, we had an aggregate of $1,052.4 million of borrowings outstanding under our credit facilities, of which $99.4 million was repayable within one year, and an aggregate of $53.4 million of lease liabilities mainly related to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of which $10.4 million was payable within one year.</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Partnership has in place six interest rate swap agreements at a notional value of $343.3 million in aggregate, maturing between 2022 and 2025. As a result of its hedging agreements, the Partnership has hedged 32.2% of its floating interest rate exposure on its outstanding debt (excluding the lease liability) as of March 31, 2022, at a weighted average interest rate of approximately 2.4% (excluding margin).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42" w:right="3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Working Capital Position</w:t>
      </w:r>
    </w:p>
    <w:p>
      <w:pPr>
        <w:spacing w:after="0" w:line="225"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As of March 31, 2022, our current assets totaled $153.8 million and current liabilities totaled $169.1 million, resulting in a negative working capital position of $15.3 million. Current liabilities include $24.2 million of unearned revenue in relation to hires received in advance (which represents a non-cash liability that will be recognized as revenues after March 31, 2022, as the services are rendered).</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believe that our current resources, cash from operations and existing debt facilities will be sufficient to meet our working capital requirements and comply with our banking covenants for at least twelve months from the date of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21"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Three-month period ended March 31, 2021 compared to the three-month period ended March 31,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440" w:type="dxa"/>
            <w:vAlign w:val="bottom"/>
            <w:gridSpan w:val="4"/>
          </w:tcPr>
          <w:p>
            <w:pPr>
              <w:jc w:val="right"/>
              <w:ind w:right="140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1"/>
        </w:trPr>
        <w:tc>
          <w:tcPr>
            <w:tcW w:w="6580" w:type="dxa"/>
            <w:vAlign w:val="bottom"/>
          </w:tcPr>
          <w:p>
            <w:pPr>
              <w:spacing w:after="0"/>
              <w:rPr>
                <w:sz w:val="15"/>
                <w:szCs w:val="15"/>
                <w:color w:val="auto"/>
              </w:rPr>
            </w:pPr>
          </w:p>
        </w:tc>
        <w:tc>
          <w:tcPr>
            <w:tcW w:w="2040" w:type="dxa"/>
            <w:vAlign w:val="bottom"/>
            <w:gridSpan w:val="2"/>
          </w:tcPr>
          <w:p>
            <w:pPr>
              <w:jc w:val="right"/>
              <w:ind w:right="980"/>
              <w:spacing w:after="0" w:line="181" w:lineRule="exact"/>
              <w:rPr>
                <w:sz w:val="20"/>
                <w:szCs w:val="20"/>
                <w:color w:val="auto"/>
              </w:rPr>
            </w:pPr>
            <w:r>
              <w:rPr>
                <w:rFonts w:ascii="Arial" w:cs="Arial" w:eastAsia="Arial" w:hAnsi="Arial"/>
                <w:sz w:val="16"/>
                <w:szCs w:val="16"/>
                <w:b w:val="1"/>
                <w:bCs w:val="1"/>
                <w:color w:val="auto"/>
                <w:w w:val="91"/>
              </w:rPr>
              <w:t>March 31, 2021</w:t>
            </w:r>
          </w:p>
        </w:tc>
        <w:tc>
          <w:tcPr>
            <w:tcW w:w="1400" w:type="dxa"/>
            <w:vAlign w:val="bottom"/>
            <w:gridSpan w:val="2"/>
          </w:tcPr>
          <w:p>
            <w:pPr>
              <w:jc w:val="right"/>
              <w:ind w:right="320"/>
              <w:spacing w:after="0" w:line="181" w:lineRule="exact"/>
              <w:rPr>
                <w:sz w:val="20"/>
                <w:szCs w:val="20"/>
                <w:color w:val="auto"/>
              </w:rPr>
            </w:pPr>
            <w:r>
              <w:rPr>
                <w:rFonts w:ascii="Arial" w:cs="Arial" w:eastAsia="Arial" w:hAnsi="Arial"/>
                <w:sz w:val="16"/>
                <w:szCs w:val="16"/>
                <w:b w:val="1"/>
                <w:bCs w:val="1"/>
                <w:color w:val="auto"/>
                <w:w w:val="93"/>
              </w:rPr>
              <w:t>March 31, 2022</w:t>
            </w:r>
          </w:p>
        </w:tc>
        <w:tc>
          <w:tcPr>
            <w:tcW w:w="1220" w:type="dxa"/>
            <w:vAlign w:val="bottom"/>
            <w:gridSpan w:val="2"/>
          </w:tcPr>
          <w:p>
            <w:pPr>
              <w:jc w:val="right"/>
              <w:ind w:right="261"/>
              <w:spacing w:after="0" w:line="181" w:lineRule="exact"/>
              <w:rPr>
                <w:sz w:val="20"/>
                <w:szCs w:val="20"/>
                <w:color w:val="auto"/>
              </w:rPr>
            </w:pPr>
            <w:r>
              <w:rPr>
                <w:rFonts w:ascii="Arial" w:cs="Arial" w:eastAsia="Arial" w:hAnsi="Arial"/>
                <w:sz w:val="16"/>
                <w:szCs w:val="16"/>
                <w:b w:val="1"/>
                <w:bCs w:val="1"/>
                <w:color w:val="auto"/>
              </w:rPr>
              <w:t>Change</w:t>
            </w:r>
          </w:p>
        </w:tc>
      </w:tr>
      <w:tr>
        <w:trPr>
          <w:trHeight w:val="21"/>
        </w:trPr>
        <w:tc>
          <w:tcPr>
            <w:tcW w:w="6580" w:type="dxa"/>
            <w:vAlign w:val="bottom"/>
            <w:tcBorders>
              <w:bottom w:val="single" w:sz="8" w:color="E5FFFF"/>
            </w:tcBorders>
          </w:tcPr>
          <w:p>
            <w:pPr>
              <w:spacing w:after="0" w:line="20" w:lineRule="exact"/>
              <w:rPr>
                <w:sz w:val="1"/>
                <w:szCs w:val="1"/>
                <w:color w:val="auto"/>
              </w:rPr>
            </w:pPr>
          </w:p>
        </w:tc>
        <w:tc>
          <w:tcPr>
            <w:tcW w:w="1060" w:type="dxa"/>
            <w:vAlign w:val="bottom"/>
            <w:tcBorders>
              <w:top w:val="single" w:sz="8" w:color="auto"/>
              <w:bottom w:val="single" w:sz="8" w:color="E5FFFF"/>
            </w:tcBorders>
          </w:tcPr>
          <w:p>
            <w:pPr>
              <w:spacing w:after="0" w:line="20" w:lineRule="exact"/>
              <w:rPr>
                <w:sz w:val="1"/>
                <w:szCs w:val="1"/>
                <w:color w:val="auto"/>
              </w:rPr>
            </w:pPr>
          </w:p>
        </w:tc>
        <w:tc>
          <w:tcPr>
            <w:tcW w:w="980" w:type="dxa"/>
            <w:vAlign w:val="bottom"/>
            <w:tcBorders>
              <w:bottom w:val="single" w:sz="8" w:color="E5FFFF"/>
            </w:tcBorders>
          </w:tcPr>
          <w:p>
            <w:pPr>
              <w:spacing w:after="0" w:line="20" w:lineRule="exact"/>
              <w:rPr>
                <w:sz w:val="1"/>
                <w:szCs w:val="1"/>
                <w:color w:val="auto"/>
              </w:rPr>
            </w:pPr>
          </w:p>
        </w:tc>
        <w:tc>
          <w:tcPr>
            <w:tcW w:w="1080" w:type="dxa"/>
            <w:vAlign w:val="bottom"/>
            <w:tcBorders>
              <w:top w:val="single" w:sz="8" w:color="auto"/>
              <w:bottom w:val="single" w:sz="8" w:color="E5FFFF"/>
            </w:tcBorders>
          </w:tcPr>
          <w:p>
            <w:pPr>
              <w:spacing w:after="0" w:line="20" w:lineRule="exact"/>
              <w:rPr>
                <w:sz w:val="1"/>
                <w:szCs w:val="1"/>
                <w:color w:val="auto"/>
              </w:rPr>
            </w:pPr>
          </w:p>
        </w:tc>
        <w:tc>
          <w:tcPr>
            <w:tcW w:w="320" w:type="dxa"/>
            <w:vAlign w:val="bottom"/>
            <w:tcBorders>
              <w:bottom w:val="single" w:sz="8" w:color="E5FF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9"/>
        </w:trPr>
        <w:tc>
          <w:tcPr>
            <w:tcW w:w="658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204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55,426</w:t>
            </w:r>
          </w:p>
        </w:tc>
        <w:tc>
          <w:tcPr>
            <w:tcW w:w="14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58,623</w:t>
            </w: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3,197</w:t>
            </w:r>
          </w:p>
        </w:tc>
        <w:tc>
          <w:tcPr>
            <w:tcW w:w="180" w:type="dxa"/>
            <w:vAlign w:val="bottom"/>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040" w:type="dxa"/>
            <w:vAlign w:val="bottom"/>
            <w:gridSpan w:val="2"/>
          </w:tcPr>
          <w:p>
            <w:pPr>
              <w:jc w:val="right"/>
              <w:ind w:right="260"/>
              <w:spacing w:after="0"/>
              <w:rPr>
                <w:sz w:val="20"/>
                <w:szCs w:val="20"/>
                <w:color w:val="auto"/>
              </w:rPr>
            </w:pPr>
            <w:r>
              <w:rPr>
                <w:rFonts w:ascii="Arial" w:cs="Arial" w:eastAsia="Arial" w:hAnsi="Arial"/>
                <w:sz w:val="16"/>
                <w:szCs w:val="16"/>
                <w:color w:val="auto"/>
              </w:rPr>
              <w:t>(5,673)</w:t>
            </w: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(955)</w:t>
            </w: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4,718</w:t>
            </w:r>
          </w:p>
        </w:tc>
      </w:tr>
      <w:tr>
        <w:trPr>
          <w:trHeight w:val="222"/>
        </w:trPr>
        <w:tc>
          <w:tcPr>
            <w:tcW w:w="658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(58,395)</w:t>
            </w:r>
          </w:p>
        </w:tc>
        <w:tc>
          <w:tcPr>
            <w:tcW w:w="14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(67,265)</w:t>
            </w: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(8,870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2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6"/>
          <w:szCs w:val="16"/>
          <w:color w:val="auto"/>
        </w:rPr>
        <w:t>Net cash provided by operating activities increased by $3.2 million, from $55.4 million in the three-month period ended March 31, 2021, to $58.6 million in the three-month period ended March 31, 2022. The increase of $3.2 million is attributable to a $6.4 million movement in working capital accounts (primarily affected by an increase of $5.3 million from movements of balances with related parties), partially offset by a decrease in revenues of $1.6 million and an increase in general and administrative expenses of $1.6 million.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21" w:lineRule="exact"/>
        <w:rPr>
          <w:sz w:val="20"/>
          <w:szCs w:val="20"/>
          <w:color w:val="auto"/>
        </w:rPr>
      </w:pPr>
    </w:p>
    <w:p>
      <w:pPr>
        <w:ind w:right="180" w:firstLine="324"/>
        <w:spacing w:after="0" w:line="328" w:lineRule="auto"/>
        <w:rPr>
          <w:sz w:val="20"/>
          <w:szCs w:val="20"/>
          <w:color w:val="auto"/>
        </w:rPr>
      </w:pPr>
      <w:r>
        <w:rPr>
          <w:rFonts w:ascii="Arial" w:cs="Arial" w:eastAsia="Arial" w:hAnsi="Arial"/>
          <w:sz w:val="15"/>
          <w:szCs w:val="15"/>
          <w:color w:val="auto"/>
        </w:rPr>
        <w:t>Net cash used in investing activities decreased by $4.7 million, from $5.7 million in the three-month period ended March 31, 2021, to $1.0 million in the three-month period ended March 31, 2022. The decrease of $4.7 million is attributable to a decrease of cash used in payments for tangible fixed assets of $4.7 million.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21" w:lineRule="exact"/>
        <w:rPr>
          <w:sz w:val="20"/>
          <w:szCs w:val="20"/>
          <w:color w:val="auto"/>
        </w:rPr>
      </w:pPr>
    </w:p>
    <w:p>
      <w:pPr>
        <w:ind w:right="20" w:firstLine="324"/>
        <w:spacing w:after="0" w:line="335" w:lineRule="auto"/>
        <w:rPr>
          <w:sz w:val="20"/>
          <w:szCs w:val="20"/>
          <w:color w:val="auto"/>
        </w:rPr>
      </w:pPr>
      <w:r>
        <w:rPr>
          <w:rFonts w:ascii="Arial" w:cs="Arial" w:eastAsia="Arial" w:hAnsi="Arial"/>
          <w:sz w:val="14"/>
          <w:szCs w:val="14"/>
          <w:color w:val="auto"/>
        </w:rPr>
        <w:t>Net cash used in financing activities increased by $8.9 million, from $58.4 million in the three-month period ended March 31, 2021, to $67.3 million in the three-month period ended March 31, 2022. The increase of $8.9 million is attributable to an increase of $10.0 million in cash used for repurchases of preference units and an increase of $2.4 million in lease payments (principal elements), partially offset by a decrease of $1.9 million in interest paid and a decrease of $1.6 million in bank loan repayments.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for the periods ending December 31, 2022 and 2023:</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5480" w:type="dxa"/>
            <w:vAlign w:val="bottom"/>
            <w:tcBorders>
              <w:bottom w:val="single" w:sz="8" w:color="E5FFFF"/>
            </w:tcBorders>
          </w:tcPr>
          <w:p>
            <w:pPr>
              <w:ind w:left="160"/>
              <w:spacing w:after="0"/>
              <w:rPr>
                <w:sz w:val="20"/>
                <w:szCs w:val="20"/>
                <w:color w:val="auto"/>
              </w:rPr>
            </w:pPr>
            <w:r>
              <w:rPr>
                <w:rFonts w:ascii="Arial" w:cs="Arial" w:eastAsia="Arial" w:hAnsi="Arial"/>
                <w:sz w:val="16"/>
                <w:szCs w:val="16"/>
                <w:b w:val="1"/>
                <w:bCs w:val="1"/>
                <w:i w:val="1"/>
                <w:iCs w:val="1"/>
                <w:color w:val="auto"/>
              </w:rPr>
              <w:t>(in millions of U.S. dollars, except days and percentages)</w:t>
            </w: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April – December 2022</w:t>
            </w: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2023</w:t>
            </w:r>
          </w:p>
        </w:tc>
      </w:tr>
      <w:tr>
        <w:trPr>
          <w:trHeight w:val="226"/>
        </w:trPr>
        <w:tc>
          <w:tcPr>
            <w:tcW w:w="5480" w:type="dxa"/>
            <w:vAlign w:val="bottom"/>
            <w:shd w:val="clear" w:color="auto" w:fill="E5FFFF"/>
          </w:tcPr>
          <w:p>
            <w:pPr>
              <w:ind w:left="160"/>
              <w:spacing w:after="0" w:line="226"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6"/>
                <w:szCs w:val="26"/>
                <w:color w:val="auto"/>
                <w:vertAlign w:val="superscript"/>
              </w:rPr>
              <w:t>(1)(2)(3)(4)</w:t>
            </w:r>
          </w:p>
        </w:tc>
        <w:tc>
          <w:tcPr>
            <w:tcW w:w="2140" w:type="dxa"/>
            <w:vAlign w:val="bottom"/>
            <w:shd w:val="clear" w:color="auto" w:fill="E5FFFF"/>
          </w:tcPr>
          <w:p>
            <w:pPr>
              <w:jc w:val="right"/>
              <w:ind w:right="859"/>
              <w:spacing w:after="0"/>
              <w:rPr>
                <w:sz w:val="20"/>
                <w:szCs w:val="20"/>
                <w:color w:val="auto"/>
              </w:rPr>
            </w:pPr>
            <w:r>
              <w:rPr>
                <w:rFonts w:ascii="Arial" w:cs="Arial" w:eastAsia="Arial" w:hAnsi="Arial"/>
                <w:sz w:val="16"/>
                <w:szCs w:val="16"/>
                <w:color w:val="auto"/>
              </w:rPr>
              <w:t>$201.8</w:t>
            </w:r>
          </w:p>
        </w:tc>
        <w:tc>
          <w:tcPr>
            <w:tcW w:w="1360" w:type="dxa"/>
            <w:vAlign w:val="bottom"/>
            <w:shd w:val="clear" w:color="auto" w:fill="E5FFFF"/>
          </w:tcPr>
          <w:p>
            <w:pPr>
              <w:jc w:val="center"/>
              <w:ind w:right="99"/>
              <w:spacing w:after="0"/>
              <w:rPr>
                <w:sz w:val="20"/>
                <w:szCs w:val="20"/>
                <w:color w:val="auto"/>
              </w:rPr>
            </w:pPr>
            <w:r>
              <w:rPr>
                <w:rFonts w:ascii="Arial" w:cs="Arial" w:eastAsia="Arial" w:hAnsi="Arial"/>
                <w:sz w:val="16"/>
                <w:szCs w:val="16"/>
                <w:color w:val="auto"/>
                <w:w w:val="93"/>
              </w:rPr>
              <w:t>$163.2</w:t>
            </w:r>
          </w:p>
        </w:tc>
      </w:tr>
      <w:tr>
        <w:trPr>
          <w:trHeight w:val="243"/>
        </w:trPr>
        <w:tc>
          <w:tcPr>
            <w:tcW w:w="5480" w:type="dxa"/>
            <w:vAlign w:val="bottom"/>
          </w:tcPr>
          <w:p>
            <w:pPr>
              <w:ind w:left="160"/>
              <w:spacing w:after="0" w:line="24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6"/>
                <w:szCs w:val="26"/>
                <w:color w:val="auto"/>
                <w:vertAlign w:val="superscript"/>
              </w:rPr>
              <w:t>(1)(2)</w:t>
            </w:r>
          </w:p>
        </w:tc>
        <w:tc>
          <w:tcPr>
            <w:tcW w:w="2140" w:type="dxa"/>
            <w:vAlign w:val="bottom"/>
          </w:tcPr>
          <w:p>
            <w:pPr>
              <w:jc w:val="center"/>
              <w:ind w:right="219"/>
              <w:spacing w:after="0"/>
              <w:rPr>
                <w:sz w:val="20"/>
                <w:szCs w:val="20"/>
                <w:color w:val="auto"/>
              </w:rPr>
            </w:pPr>
            <w:r>
              <w:rPr>
                <w:rFonts w:ascii="Arial" w:cs="Arial" w:eastAsia="Arial" w:hAnsi="Arial"/>
                <w:sz w:val="16"/>
                <w:szCs w:val="16"/>
                <w:color w:val="auto"/>
                <w:w w:val="89"/>
              </w:rPr>
              <w:t>3,274</w:t>
            </w:r>
          </w:p>
        </w:tc>
        <w:tc>
          <w:tcPr>
            <w:tcW w:w="1360" w:type="dxa"/>
            <w:vAlign w:val="bottom"/>
          </w:tcPr>
          <w:p>
            <w:pPr>
              <w:jc w:val="right"/>
              <w:ind w:right="559"/>
              <w:spacing w:after="0"/>
              <w:rPr>
                <w:sz w:val="20"/>
                <w:szCs w:val="20"/>
                <w:color w:val="auto"/>
              </w:rPr>
            </w:pPr>
            <w:r>
              <w:rPr>
                <w:rFonts w:ascii="Arial" w:cs="Arial" w:eastAsia="Arial" w:hAnsi="Arial"/>
                <w:sz w:val="16"/>
                <w:szCs w:val="16"/>
                <w:color w:val="auto"/>
              </w:rPr>
              <w:t>2,168</w:t>
            </w:r>
          </w:p>
        </w:tc>
      </w:tr>
      <w:tr>
        <w:trPr>
          <w:trHeight w:val="243"/>
        </w:trPr>
        <w:tc>
          <w:tcPr>
            <w:tcW w:w="5480" w:type="dxa"/>
            <w:vAlign w:val="bottom"/>
            <w:shd w:val="clear" w:color="auto" w:fill="E5FFFF"/>
          </w:tcPr>
          <w:p>
            <w:pPr>
              <w:ind w:left="160"/>
              <w:spacing w:after="0" w:line="24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6"/>
                <w:szCs w:val="26"/>
                <w:color w:val="auto"/>
                <w:vertAlign w:val="superscript"/>
              </w:rPr>
              <w:t>(5)</w:t>
            </w:r>
          </w:p>
        </w:tc>
        <w:tc>
          <w:tcPr>
            <w:tcW w:w="2140" w:type="dxa"/>
            <w:vAlign w:val="bottom"/>
            <w:shd w:val="clear" w:color="auto" w:fill="E5FFFF"/>
          </w:tcPr>
          <w:p>
            <w:pPr>
              <w:jc w:val="center"/>
              <w:ind w:right="219"/>
              <w:spacing w:after="0"/>
              <w:rPr>
                <w:sz w:val="20"/>
                <w:szCs w:val="20"/>
                <w:color w:val="auto"/>
              </w:rPr>
            </w:pPr>
            <w:r>
              <w:rPr>
                <w:rFonts w:ascii="Arial" w:cs="Arial" w:eastAsia="Arial" w:hAnsi="Arial"/>
                <w:sz w:val="16"/>
                <w:szCs w:val="16"/>
                <w:color w:val="auto"/>
                <w:w w:val="89"/>
              </w:rPr>
              <w:t>4,125</w:t>
            </w:r>
          </w:p>
        </w:tc>
        <w:tc>
          <w:tcPr>
            <w:tcW w:w="1360" w:type="dxa"/>
            <w:vAlign w:val="bottom"/>
            <w:shd w:val="clear" w:color="auto" w:fill="E5FFFF"/>
          </w:tcPr>
          <w:p>
            <w:pPr>
              <w:jc w:val="right"/>
              <w:ind w:right="559"/>
              <w:spacing w:after="0"/>
              <w:rPr>
                <w:sz w:val="20"/>
                <w:szCs w:val="20"/>
                <w:color w:val="auto"/>
              </w:rPr>
            </w:pPr>
            <w:r>
              <w:rPr>
                <w:rFonts w:ascii="Arial" w:cs="Arial" w:eastAsia="Arial" w:hAnsi="Arial"/>
                <w:sz w:val="16"/>
                <w:szCs w:val="16"/>
                <w:color w:val="auto"/>
              </w:rPr>
              <w:t>5,355</w:t>
            </w:r>
          </w:p>
        </w:tc>
      </w:tr>
      <w:tr>
        <w:trPr>
          <w:trHeight w:val="243"/>
        </w:trPr>
        <w:tc>
          <w:tcPr>
            <w:tcW w:w="5480" w:type="dxa"/>
            <w:vAlign w:val="bottom"/>
          </w:tcPr>
          <w:p>
            <w:pPr>
              <w:ind w:left="160"/>
              <w:spacing w:after="0" w:line="24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6"/>
                <w:szCs w:val="26"/>
                <w:color w:val="auto"/>
                <w:vertAlign w:val="superscript"/>
              </w:rPr>
              <w:t>(6)</w:t>
            </w:r>
          </w:p>
        </w:tc>
        <w:tc>
          <w:tcPr>
            <w:tcW w:w="2140" w:type="dxa"/>
            <w:vAlign w:val="bottom"/>
          </w:tcPr>
          <w:p>
            <w:pPr>
              <w:jc w:val="center"/>
              <w:ind w:right="219"/>
              <w:spacing w:after="0"/>
              <w:rPr>
                <w:sz w:val="20"/>
                <w:szCs w:val="20"/>
                <w:color w:val="auto"/>
              </w:rPr>
            </w:pPr>
            <w:r>
              <w:rPr>
                <w:rFonts w:ascii="Arial" w:cs="Arial" w:eastAsia="Arial" w:hAnsi="Arial"/>
                <w:sz w:val="16"/>
                <w:szCs w:val="16"/>
                <w:color w:val="auto"/>
                <w:w w:val="89"/>
              </w:rPr>
              <w:t>851</w:t>
            </w:r>
          </w:p>
        </w:tc>
        <w:tc>
          <w:tcPr>
            <w:tcW w:w="1360" w:type="dxa"/>
            <w:vAlign w:val="bottom"/>
          </w:tcPr>
          <w:p>
            <w:pPr>
              <w:jc w:val="right"/>
              <w:ind w:right="559"/>
              <w:spacing w:after="0"/>
              <w:rPr>
                <w:sz w:val="20"/>
                <w:szCs w:val="20"/>
                <w:color w:val="auto"/>
              </w:rPr>
            </w:pPr>
            <w:r>
              <w:rPr>
                <w:rFonts w:ascii="Arial" w:cs="Arial" w:eastAsia="Arial" w:hAnsi="Arial"/>
                <w:sz w:val="16"/>
                <w:szCs w:val="16"/>
                <w:color w:val="auto"/>
              </w:rPr>
              <w:t>3,187</w:t>
            </w:r>
          </w:p>
        </w:tc>
      </w:tr>
      <w:tr>
        <w:trPr>
          <w:trHeight w:val="203"/>
        </w:trPr>
        <w:tc>
          <w:tcPr>
            <w:tcW w:w="54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Percentage of total contracted days/ total available days</w:t>
            </w:r>
          </w:p>
        </w:tc>
        <w:tc>
          <w:tcPr>
            <w:tcW w:w="2140" w:type="dxa"/>
            <w:vAlign w:val="bottom"/>
            <w:shd w:val="clear" w:color="auto" w:fill="E5FFFF"/>
          </w:tcPr>
          <w:p>
            <w:pPr>
              <w:jc w:val="right"/>
              <w:ind w:right="859"/>
              <w:spacing w:after="0"/>
              <w:rPr>
                <w:sz w:val="20"/>
                <w:szCs w:val="20"/>
                <w:color w:val="auto"/>
              </w:rPr>
            </w:pPr>
            <w:r>
              <w:rPr>
                <w:rFonts w:ascii="Arial" w:cs="Arial" w:eastAsia="Arial" w:hAnsi="Arial"/>
                <w:sz w:val="16"/>
                <w:szCs w:val="16"/>
                <w:color w:val="auto"/>
              </w:rPr>
              <w:t>79.4%</w:t>
            </w:r>
          </w:p>
        </w:tc>
        <w:tc>
          <w:tcPr>
            <w:tcW w:w="1360" w:type="dxa"/>
            <w:vAlign w:val="bottom"/>
            <w:shd w:val="clear" w:color="auto" w:fill="E5FFFF"/>
          </w:tcPr>
          <w:p>
            <w:pPr>
              <w:jc w:val="center"/>
              <w:ind w:right="99"/>
              <w:spacing w:after="0"/>
              <w:rPr>
                <w:sz w:val="20"/>
                <w:szCs w:val="20"/>
                <w:color w:val="auto"/>
              </w:rPr>
            </w:pPr>
            <w:r>
              <w:rPr>
                <w:rFonts w:ascii="Arial" w:cs="Arial" w:eastAsia="Arial" w:hAnsi="Arial"/>
                <w:sz w:val="16"/>
                <w:szCs w:val="16"/>
                <w:color w:val="auto"/>
                <w:w w:val="92"/>
              </w:rPr>
              <w:t>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26" w:lineRule="exact"/>
        <w:rPr>
          <w:sz w:val="20"/>
          <w:szCs w:val="20"/>
          <w:color w:val="auto"/>
        </w:rPr>
      </w:pPr>
    </w:p>
    <w:p>
      <w:pPr>
        <w:ind w:left="340" w:right="280" w:hanging="332"/>
        <w:spacing w:after="0" w:line="268" w:lineRule="auto"/>
        <w:tabs>
          <w:tab w:leader="none" w:pos="340" w:val="left"/>
        </w:tabs>
        <w:numPr>
          <w:ilvl w:val="0"/>
          <w:numId w:val="11"/>
        </w:numPr>
        <w:rPr>
          <w:rFonts w:ascii="Arial" w:cs="Arial" w:eastAsia="Arial" w:hAnsi="Arial"/>
          <w:sz w:val="8"/>
          <w:szCs w:val="8"/>
          <w:color w:val="auto"/>
        </w:rPr>
      </w:pPr>
      <w:r>
        <w:rPr>
          <w:rFonts w:ascii="Arial" w:cs="Arial" w:eastAsia="Arial" w:hAnsi="Arial"/>
          <w:sz w:val="12"/>
          <w:szCs w:val="12"/>
          <w:color w:val="auto"/>
        </w:rPr>
        <w:t>Reflects time charter revenues and contracted days for the 15 LNG carriers in our fleet as of March 31, 2022 and through December 31, 2023 (including one vessel sold and leased back under a bareboat charter in October 2021). Contracted days are calculated taking into account the firm period charter expiration and expected market conditions as of March 31, 2022.</w:t>
      </w:r>
    </w:p>
    <w:p>
      <w:pPr>
        <w:ind w:left="340" w:right="100" w:hanging="332"/>
        <w:spacing w:after="0" w:line="221"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200" w:hanging="332"/>
        <w:spacing w:after="0" w:line="221"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ind w:left="340" w:hanging="332"/>
        <w:spacing w:after="0" w:line="221"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Revenue calculations assume no exercise of any option to extend the terms of the charters.</w:t>
      </w:r>
    </w:p>
    <w:p>
      <w:pPr>
        <w:ind w:left="340" w:hanging="332"/>
        <w:spacing w:after="0" w:line="221"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Available days represent total calendar days after deducting 30 off-hire days when the ship undergoes scheduled dry-docking.</w:t>
      </w:r>
    </w:p>
    <w:p>
      <w:pPr>
        <w:ind w:left="340" w:hanging="332"/>
        <w:spacing w:after="0"/>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 w:name="page19"/>
    <w:bookmarkEnd w:id="18"/>
    <w:p>
      <w:pPr>
        <w:ind w:firstLine="324"/>
        <w:spacing w:after="0" w:line="306" w:lineRule="auto"/>
        <w:rPr>
          <w:sz w:val="20"/>
          <w:szCs w:val="20"/>
          <w:color w:val="auto"/>
        </w:rPr>
      </w:pPr>
      <w:r>
        <w:rPr>
          <w:rFonts w:ascii="Arial" w:cs="Arial" w:eastAsia="Arial" w:hAnsi="Arial"/>
          <w:sz w:val="14"/>
          <w:szCs w:val="14"/>
          <w:color w:val="auto"/>
        </w:rPr>
        <w:t>The table above provides information about our contracted charter revenues and ship utilization based on contracts in effect for the 15 LNG carriers in our fleet as of March 31, 2022 and through December 31, 2023 (including one vessel sold and leased back under a bareboat charter in October 2021). The table reflects only our contracted charter revenues for the ships in our owned and bareboat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 2022.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7"/>
              </w:rPr>
              <w:t>GASLOG PARTNERS LP</w:t>
            </w:r>
          </w:p>
        </w:tc>
        <w:tc>
          <w:tcPr>
            <w:tcW w:w="80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60" w:type="dxa"/>
            <w:vAlign w:val="bottom"/>
            <w:gridSpan w:val="6"/>
          </w:tcPr>
          <w:p>
            <w:pPr>
              <w:ind w:left="206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80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0"/>
        </w:trPr>
        <w:tc>
          <w:tcPr>
            <w:tcW w:w="8160" w:type="dxa"/>
            <w:vAlign w:val="bottom"/>
            <w:tcBorders>
              <w:bottom w:val="single" w:sz="8" w:color="0000FF"/>
            </w:tcBorders>
            <w:gridSpan w:val="4"/>
          </w:tcPr>
          <w:p>
            <w:pPr>
              <w:spacing w:after="0" w:line="190" w:lineRule="exact"/>
              <w:rPr>
                <w:sz w:val="20"/>
                <w:szCs w:val="20"/>
                <w:color w:val="auto"/>
              </w:rPr>
            </w:pPr>
            <w:r>
              <w:rPr>
                <w:rFonts w:ascii="Arial" w:cs="Arial" w:eastAsia="Arial" w:hAnsi="Arial"/>
                <w:sz w:val="18"/>
                <w:szCs w:val="18"/>
                <w:color w:val="0000FF"/>
                <w:w w:val="89"/>
              </w:rPr>
              <w:t>Unaudited condensed consolidated statements of financial position as of December 31, 2021 and March 31, 2022</w:t>
            </w:r>
          </w:p>
        </w:tc>
        <w:tc>
          <w:tcPr>
            <w:tcW w:w="2280" w:type="dxa"/>
            <w:vAlign w:val="bottom"/>
            <w:gridSpan w:val="4"/>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10440" w:type="dxa"/>
            <w:vAlign w:val="bottom"/>
            <w:gridSpan w:val="8"/>
          </w:tcPr>
          <w:p>
            <w:pPr>
              <w:spacing w:after="0" w:line="196" w:lineRule="exact"/>
              <w:rPr>
                <w:sz w:val="20"/>
                <w:szCs w:val="20"/>
                <w:color w:val="auto"/>
              </w:rPr>
            </w:pPr>
            <w:r>
              <w:rPr>
                <w:rFonts w:ascii="Arial" w:cs="Arial" w:eastAsia="Arial" w:hAnsi="Arial"/>
                <w:sz w:val="18"/>
                <w:szCs w:val="18"/>
                <w:color w:val="0000FF"/>
                <w:w w:val="93"/>
              </w:rPr>
              <w:t>Unaudited condensed consolidated statements of profit or loss and total comprehensive income for the three months ended March 31, 2021</w:t>
            </w:r>
          </w:p>
        </w:tc>
        <w:tc>
          <w:tcPr>
            <w:tcW w:w="800" w:type="dxa"/>
            <w:vAlign w:val="bottom"/>
          </w:tcPr>
          <w:p>
            <w:pPr>
              <w:spacing w:after="0"/>
              <w:rPr>
                <w:sz w:val="17"/>
                <w:szCs w:val="17"/>
                <w:color w:val="auto"/>
              </w:rPr>
            </w:pPr>
          </w:p>
        </w:tc>
      </w:tr>
      <w:tr>
        <w:trPr>
          <w:trHeight w:val="196"/>
        </w:trPr>
        <w:tc>
          <w:tcPr>
            <w:tcW w:w="200" w:type="dxa"/>
            <w:vAlign w:val="bottom"/>
            <w:tcBorders>
              <w:top w:val="single" w:sz="8" w:color="0000FF"/>
            </w:tcBorders>
          </w:tcPr>
          <w:p>
            <w:pPr>
              <w:spacing w:after="0"/>
              <w:rPr>
                <w:sz w:val="17"/>
                <w:szCs w:val="17"/>
                <w:color w:val="auto"/>
              </w:rPr>
            </w:pPr>
          </w:p>
        </w:tc>
        <w:tc>
          <w:tcPr>
            <w:tcW w:w="68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7"/>
              </w:rPr>
              <w:t>and 2022</w:t>
            </w:r>
          </w:p>
        </w:tc>
        <w:tc>
          <w:tcPr>
            <w:tcW w:w="9140" w:type="dxa"/>
            <w:vAlign w:val="bottom"/>
            <w:tcBorders>
              <w:top w:val="single" w:sz="8" w:color="0000FF"/>
            </w:tcBorders>
            <w:gridSpan w:val="5"/>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3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Unaudited condensed consolidated statements of changes in partners’ equity for the three months ended March 31, 2021 and 2022</w:t>
            </w:r>
          </w:p>
        </w:tc>
        <w:tc>
          <w:tcPr>
            <w:tcW w:w="106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82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Unaudited condensed consolidated statements of cash flows for the three months ended March 31, 2021 and 2022</w:t>
            </w:r>
          </w:p>
        </w:tc>
        <w:tc>
          <w:tcPr>
            <w:tcW w:w="224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0440" w:type="dxa"/>
            <w:vAlign w:val="bottom"/>
            <w:gridSpan w:val="8"/>
          </w:tcPr>
          <w:p>
            <w:pPr>
              <w:spacing w:after="0" w:line="196" w:lineRule="exact"/>
              <w:rPr>
                <w:sz w:val="20"/>
                <w:szCs w:val="20"/>
                <w:color w:val="auto"/>
              </w:rPr>
            </w:pPr>
            <w:r>
              <w:rPr>
                <w:rFonts w:ascii="Arial" w:cs="Arial" w:eastAsia="Arial" w:hAnsi="Arial"/>
                <w:sz w:val="18"/>
                <w:szCs w:val="18"/>
                <w:color w:val="0000FF"/>
              </w:rPr>
              <w:t>Notes to the unaudited condensed consolidated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668"/>
        </w:trPr>
        <w:tc>
          <w:tcPr>
            <w:tcW w:w="200" w:type="dxa"/>
            <w:vAlign w:val="bottom"/>
            <w:tcBorders>
              <w:top w:val="single" w:sz="8" w:color="0000FF"/>
              <w:bottom w:val="single" w:sz="8" w:color="auto"/>
            </w:tcBorders>
          </w:tcPr>
          <w:p>
            <w:pPr>
              <w:spacing w:after="0"/>
              <w:rPr>
                <w:sz w:val="24"/>
                <w:szCs w:val="24"/>
                <w:color w:val="auto"/>
              </w:rPr>
            </w:pPr>
          </w:p>
        </w:tc>
        <w:tc>
          <w:tcPr>
            <w:tcW w:w="680" w:type="dxa"/>
            <w:vAlign w:val="bottom"/>
            <w:tcBorders>
              <w:top w:val="single" w:sz="8" w:color="0000FF"/>
              <w:bottom w:val="single" w:sz="8" w:color="auto"/>
            </w:tcBorders>
          </w:tcPr>
          <w:p>
            <w:pPr>
              <w:spacing w:after="0"/>
              <w:rPr>
                <w:sz w:val="24"/>
                <w:szCs w:val="24"/>
                <w:color w:val="auto"/>
              </w:rPr>
            </w:pPr>
          </w:p>
        </w:tc>
        <w:tc>
          <w:tcPr>
            <w:tcW w:w="3980" w:type="dxa"/>
            <w:vAlign w:val="bottom"/>
            <w:tcBorders>
              <w:top w:val="single" w:sz="8" w:color="0000FF"/>
              <w:bottom w:val="single" w:sz="8" w:color="auto"/>
            </w:tcBorders>
          </w:tcPr>
          <w:p>
            <w:pPr>
              <w:spacing w:after="0"/>
              <w:rPr>
                <w:sz w:val="24"/>
                <w:szCs w:val="24"/>
                <w:color w:val="auto"/>
              </w:rPr>
            </w:pPr>
          </w:p>
        </w:tc>
        <w:tc>
          <w:tcPr>
            <w:tcW w:w="5580" w:type="dxa"/>
            <w:vAlign w:val="bottom"/>
            <w:tcBorders>
              <w:bottom w:val="single" w:sz="8" w:color="auto"/>
            </w:tcBorders>
            <w:gridSpan w:val="5"/>
          </w:tcPr>
          <w:p>
            <w:pPr>
              <w:jc w:val="center"/>
              <w:ind w:right="4060"/>
              <w:spacing w:after="0"/>
              <w:rPr>
                <w:sz w:val="20"/>
                <w:szCs w:val="20"/>
                <w:color w:val="auto"/>
              </w:rPr>
            </w:pPr>
            <w:r>
              <w:rPr>
                <w:rFonts w:ascii="Arial" w:cs="Arial" w:eastAsia="Arial" w:hAnsi="Arial"/>
                <w:sz w:val="18"/>
                <w:szCs w:val="18"/>
                <w:color w:val="auto"/>
                <w:w w:val="88"/>
              </w:rPr>
              <w:t>F-1</w:t>
            </w: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7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As of December 31, 2021 and March 31, 2022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b w:val="1"/>
                <w:bCs w:val="1"/>
                <w:color w:val="auto"/>
              </w:rPr>
              <w:t>Note</w:t>
            </w: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80" w:type="dxa"/>
            <w:vAlign w:val="bottom"/>
            <w:tcBorders>
              <w:top w:val="single" w:sz="8" w:color="E9FFFF"/>
            </w:tcBorders>
            <w:shd w:val="clear" w:color="auto" w:fill="E9FF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Tangible fixed assets</w:t>
            </w:r>
          </w:p>
        </w:tc>
        <w:tc>
          <w:tcPr>
            <w:tcW w:w="4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1,888,583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1,871,260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440" w:type="dxa"/>
            <w:vAlign w:val="bottom"/>
            <w:gridSpan w:val="2"/>
            <w:shd w:val="clear" w:color="auto" w:fill="E5FFFF"/>
          </w:tcPr>
          <w:p>
            <w:pPr>
              <w:jc w:val="center"/>
              <w:ind w:left="39"/>
              <w:spacing w:after="0"/>
              <w:rPr>
                <w:sz w:val="20"/>
                <w:szCs w:val="20"/>
                <w:color w:val="auto"/>
              </w:rPr>
            </w:pPr>
            <w:r>
              <w:rPr>
                <w:rFonts w:ascii="Arial" w:cs="Arial" w:eastAsia="Arial" w:hAnsi="Arial"/>
                <w:sz w:val="16"/>
                <w:szCs w:val="16"/>
                <w:color w:val="auto"/>
                <w:w w:val="89"/>
              </w:rPr>
              <w:t>5</w:t>
            </w:r>
          </w:p>
        </w:tc>
        <w:tc>
          <w:tcPr>
            <w:tcW w:w="1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81,996</w:t>
            </w: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77,773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2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1,970,623</w:t>
            </w:r>
          </w:p>
        </w:tc>
        <w:tc>
          <w:tcPr>
            <w:tcW w:w="1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1,949,128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11,156</w:t>
            </w:r>
          </w:p>
        </w:tc>
        <w:tc>
          <w:tcPr>
            <w:tcW w:w="1340" w:type="dxa"/>
            <w:vAlign w:val="bottom"/>
          </w:tcPr>
          <w:p>
            <w:pPr>
              <w:jc w:val="right"/>
              <w:spacing w:after="0"/>
              <w:rPr>
                <w:sz w:val="20"/>
                <w:szCs w:val="20"/>
                <w:color w:val="auto"/>
              </w:rPr>
            </w:pPr>
            <w:r>
              <w:rPr>
                <w:rFonts w:ascii="Arial" w:cs="Arial" w:eastAsia="Arial" w:hAnsi="Arial"/>
                <w:sz w:val="16"/>
                <w:szCs w:val="16"/>
                <w:color w:val="auto"/>
              </w:rPr>
              <w:t>12,585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2,991</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145,530</w:t>
            </w: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135,933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161,110</w:t>
            </w:r>
          </w:p>
        </w:tc>
        <w:tc>
          <w:tcPr>
            <w:tcW w:w="1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2,131,733</w:t>
            </w:r>
          </w:p>
        </w:tc>
        <w:tc>
          <w:tcPr>
            <w:tcW w:w="1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2,102,945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w w:val="99"/>
              </w:rPr>
              <w:t>Common unitholders (51,137,201 units issued and outstanding as of December 31, 2021 and March 31, 2022)</w:t>
            </w:r>
          </w:p>
        </w:tc>
        <w:tc>
          <w:tcPr>
            <w:tcW w:w="4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579,447</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606,519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ind w:left="20"/>
              <w:spacing w:after="0"/>
              <w:rPr>
                <w:sz w:val="20"/>
                <w:szCs w:val="20"/>
                <w:color w:val="auto"/>
              </w:rPr>
            </w:pPr>
            <w:r>
              <w:rPr>
                <w:rFonts w:ascii="Arial" w:cs="Arial" w:eastAsia="Arial" w:hAnsi="Arial"/>
                <w:sz w:val="16"/>
                <w:szCs w:val="16"/>
                <w:color w:val="auto"/>
              </w:rPr>
              <w:t>General partner (1,077,494 units issued and outstanding as of December 31, 2021 and March 31, 2022)</w:t>
            </w:r>
          </w:p>
        </w:tc>
        <w:tc>
          <w:tcPr>
            <w:tcW w:w="440" w:type="dxa"/>
            <w:vAlign w:val="bottom"/>
            <w:gridSpan w:val="2"/>
            <w:shd w:val="clear" w:color="auto" w:fill="E5FFFF"/>
          </w:tcPr>
          <w:p>
            <w:pPr>
              <w:jc w:val="center"/>
              <w:ind w:left="39"/>
              <w:spacing w:after="0"/>
              <w:rPr>
                <w:sz w:val="20"/>
                <w:szCs w:val="20"/>
                <w:color w:val="auto"/>
              </w:rPr>
            </w:pPr>
            <w:r>
              <w:rPr>
                <w:rFonts w:ascii="Arial" w:cs="Arial" w:eastAsia="Arial" w:hAnsi="Arial"/>
                <w:sz w:val="16"/>
                <w:szCs w:val="16"/>
                <w:color w:val="auto"/>
                <w:w w:val="89"/>
              </w:rPr>
              <w:t>6</w:t>
            </w: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10,717</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80" w:type="dxa"/>
            <w:vAlign w:val="bottom"/>
          </w:tcPr>
          <w:p>
            <w:pPr>
              <w:spacing w:after="0"/>
              <w:rPr>
                <w:sz w:val="20"/>
                <w:szCs w:val="20"/>
                <w:color w:val="auto"/>
              </w:rPr>
            </w:pPr>
            <w:r>
              <w:rPr>
                <w:rFonts w:ascii="Arial" w:cs="Arial" w:eastAsia="Arial" w:hAnsi="Arial"/>
                <w:sz w:val="16"/>
                <w:szCs w:val="16"/>
                <w:color w:val="auto"/>
                <w:w w:val="96"/>
              </w:rPr>
              <w:t>Preference unitholders (5,750,000 Series A Preference Units, 4,135,571 Series B Preference Units and 3,730,451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60"/>
              <w:spacing w:after="0"/>
              <w:rPr>
                <w:sz w:val="20"/>
                <w:szCs w:val="20"/>
                <w:color w:val="auto"/>
              </w:rPr>
            </w:pPr>
            <w:r>
              <w:rPr>
                <w:rFonts w:ascii="Arial" w:cs="Arial" w:eastAsia="Arial" w:hAnsi="Arial"/>
                <w:sz w:val="16"/>
                <w:szCs w:val="16"/>
                <w:color w:val="auto"/>
                <w:w w:val="90"/>
              </w:rPr>
              <w:t>Series C Preference Units issued and outstanding as of December 31, 2021 and 5,742,162 Series A Preference Units,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80" w:type="dxa"/>
            <w:vAlign w:val="bottom"/>
          </w:tcPr>
          <w:p>
            <w:pPr>
              <w:ind w:left="160"/>
              <w:spacing w:after="0"/>
              <w:rPr>
                <w:sz w:val="20"/>
                <w:szCs w:val="20"/>
                <w:color w:val="auto"/>
              </w:rPr>
            </w:pPr>
            <w:r>
              <w:rPr>
                <w:rFonts w:ascii="Arial" w:cs="Arial" w:eastAsia="Arial" w:hAnsi="Arial"/>
                <w:sz w:val="16"/>
                <w:szCs w:val="16"/>
                <w:color w:val="auto"/>
                <w:w w:val="90"/>
              </w:rPr>
              <w:t>3,962,981 Series B Preference Units and 3,517,116 Series C Preference Units issued and outstanding as of March 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60"/>
              <w:spacing w:after="0"/>
              <w:rPr>
                <w:sz w:val="20"/>
                <w:szCs w:val="20"/>
                <w:color w:val="auto"/>
              </w:rPr>
            </w:pPr>
            <w:r>
              <w:rPr>
                <w:rFonts w:ascii="Arial" w:cs="Arial" w:eastAsia="Arial" w:hAnsi="Arial"/>
                <w:sz w:val="16"/>
                <w:szCs w:val="16"/>
                <w:color w:val="auto"/>
              </w:rPr>
              <w:t>2022)</w:t>
            </w:r>
          </w:p>
        </w:tc>
        <w:tc>
          <w:tcPr>
            <w:tcW w:w="4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329,334</w:t>
            </w:r>
          </w:p>
        </w:tc>
        <w:tc>
          <w:tcPr>
            <w:tcW w:w="1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319,292</w:t>
            </w:r>
          </w:p>
        </w:tc>
        <w:tc>
          <w:tcPr>
            <w:tcW w:w="0" w:type="dxa"/>
            <w:vAlign w:val="bottom"/>
          </w:tcPr>
          <w:p>
            <w:pPr>
              <w:spacing w:after="0"/>
              <w:rPr>
                <w:sz w:val="1"/>
                <w:szCs w:val="1"/>
                <w:color w:val="auto"/>
              </w:rPr>
            </w:pP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1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919,498</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937,098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9,547</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Due to related parties</w:t>
            </w:r>
          </w:p>
        </w:tc>
        <w:tc>
          <w:tcPr>
            <w:tcW w:w="4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instruments—current portion</w:t>
            </w:r>
          </w:p>
        </w:tc>
        <w:tc>
          <w:tcPr>
            <w:tcW w:w="440" w:type="dxa"/>
            <w:vAlign w:val="bottom"/>
            <w:gridSpan w:val="2"/>
            <w:shd w:val="clear" w:color="auto" w:fill="E5FFFF"/>
          </w:tcPr>
          <w:p>
            <w:pPr>
              <w:jc w:val="center"/>
              <w:ind w:left="39"/>
              <w:spacing w:after="0"/>
              <w:rPr>
                <w:sz w:val="20"/>
                <w:szCs w:val="20"/>
                <w:color w:val="auto"/>
              </w:rPr>
            </w:pPr>
            <w:r>
              <w:rPr>
                <w:rFonts w:ascii="Arial" w:cs="Arial" w:eastAsia="Arial" w:hAnsi="Arial"/>
                <w:sz w:val="16"/>
                <w:szCs w:val="16"/>
                <w:color w:val="auto"/>
                <w:w w:val="89"/>
              </w:rPr>
              <w:t>12</w:t>
            </w: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5,184</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50,171</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440" w:type="dxa"/>
            <w:vAlign w:val="bottom"/>
            <w:gridSpan w:val="2"/>
            <w:shd w:val="clear" w:color="auto" w:fill="E5FFFF"/>
          </w:tcPr>
          <w:p>
            <w:pPr>
              <w:jc w:val="center"/>
              <w:ind w:left="39"/>
              <w:spacing w:after="0"/>
              <w:rPr>
                <w:sz w:val="20"/>
                <w:szCs w:val="20"/>
                <w:color w:val="auto"/>
              </w:rPr>
            </w:pPr>
            <w:r>
              <w:rPr>
                <w:rFonts w:ascii="Arial" w:cs="Arial" w:eastAsia="Arial" w:hAnsi="Arial"/>
                <w:sz w:val="16"/>
                <w:szCs w:val="16"/>
                <w:color w:val="auto"/>
                <w:w w:val="89"/>
              </w:rPr>
              <w:t>7</w:t>
            </w: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99,307</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99,386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Lease liabilities—current portion</w:t>
            </w:r>
          </w:p>
        </w:tc>
        <w:tc>
          <w:tcPr>
            <w:tcW w:w="12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10,342</w:t>
            </w:r>
          </w:p>
        </w:tc>
        <w:tc>
          <w:tcPr>
            <w:tcW w:w="1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175,503</w:t>
            </w: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169,057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instruments—non-current portion</w:t>
            </w:r>
          </w:p>
        </w:tc>
        <w:tc>
          <w:tcPr>
            <w:tcW w:w="440" w:type="dxa"/>
            <w:vAlign w:val="bottom"/>
            <w:gridSpan w:val="2"/>
            <w:shd w:val="clear" w:color="auto" w:fill="E5FFFF"/>
          </w:tcPr>
          <w:p>
            <w:pPr>
              <w:jc w:val="center"/>
              <w:ind w:left="39"/>
              <w:spacing w:after="0"/>
              <w:rPr>
                <w:sz w:val="20"/>
                <w:szCs w:val="20"/>
                <w:color w:val="auto"/>
              </w:rPr>
            </w:pPr>
            <w:r>
              <w:rPr>
                <w:rFonts w:ascii="Arial" w:cs="Arial" w:eastAsia="Arial" w:hAnsi="Arial"/>
                <w:sz w:val="16"/>
                <w:szCs w:val="16"/>
                <w:color w:val="auto"/>
                <w:w w:val="89"/>
              </w:rPr>
              <w:t>12</w:t>
            </w:r>
          </w:p>
        </w:tc>
        <w:tc>
          <w:tcPr>
            <w:tcW w:w="14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4,061</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Borrowings—non-current portion</w:t>
            </w:r>
          </w:p>
        </w:tc>
        <w:tc>
          <w:tcPr>
            <w:tcW w:w="4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986,451</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952,979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liabilities—non-current portion</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45,556</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1,036,732</w:t>
            </w: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996,790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2,131,733</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2,102,945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9"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7"/>
        </w:trPr>
        <w:tc>
          <w:tcPr>
            <w:tcW w:w="76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profit or loss and total comprehensive income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2021 and 2022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7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764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6"/>
                <w:szCs w:val="16"/>
                <w:b w:val="1"/>
                <w:bCs w:val="1"/>
                <w:color w:val="auto"/>
              </w:rPr>
              <w:t>Note</w:t>
            </w:r>
          </w:p>
        </w:tc>
        <w:tc>
          <w:tcPr>
            <w:tcW w:w="15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March 31, 2021</w:t>
            </w:r>
          </w:p>
        </w:tc>
        <w:tc>
          <w:tcPr>
            <w:tcW w:w="15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76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87,088</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85,459</w:t>
            </w:r>
          </w:p>
        </w:tc>
        <w:tc>
          <w:tcPr>
            <w:tcW w:w="120" w:type="dxa"/>
            <w:vAlign w:val="bottom"/>
            <w:shd w:val="clear" w:color="auto" w:fill="E5FF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(2,079)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(1,461)</w:t>
            </w: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(17,807)</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(18,574)</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Depreciation</w:t>
            </w:r>
          </w:p>
        </w:tc>
        <w:tc>
          <w:tcPr>
            <w:tcW w:w="340" w:type="dxa"/>
            <w:vAlign w:val="bottom"/>
          </w:tcPr>
          <w:p>
            <w:pPr>
              <w:jc w:val="center"/>
              <w:spacing w:after="0"/>
              <w:rPr>
                <w:sz w:val="20"/>
                <w:szCs w:val="20"/>
                <w:color w:val="auto"/>
              </w:rPr>
            </w:pPr>
            <w:r>
              <w:rPr>
                <w:rFonts w:ascii="Arial" w:cs="Arial" w:eastAsia="Arial" w:hAnsi="Arial"/>
                <w:sz w:val="16"/>
                <w:szCs w:val="16"/>
                <w:color w:val="auto"/>
                <w:w w:val="97"/>
              </w:rPr>
              <w:t>4, 5</w:t>
            </w:r>
          </w:p>
        </w:tc>
        <w:tc>
          <w:tcPr>
            <w:tcW w:w="220" w:type="dxa"/>
            <w:vAlign w:val="bottom"/>
          </w:tcPr>
          <w:p>
            <w:pPr>
              <w:spacing w:after="0"/>
              <w:rPr>
                <w:sz w:val="17"/>
                <w:szCs w:val="17"/>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(20,686)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(21,987)</w:t>
            </w:r>
          </w:p>
        </w:tc>
      </w:tr>
      <w:tr>
        <w:trPr>
          <w:trHeight w:val="216"/>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10</w:t>
            </w:r>
          </w:p>
        </w:tc>
        <w:tc>
          <w:tcPr>
            <w:tcW w:w="22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(3,071)</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(4,691)</w:t>
            </w:r>
          </w:p>
        </w:tc>
      </w:tr>
      <w:tr>
        <w:trPr>
          <w:trHeight w:val="196"/>
        </w:trPr>
        <w:tc>
          <w:tcPr>
            <w:tcW w:w="7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43,445</w:t>
            </w:r>
          </w:p>
        </w:tc>
        <w:tc>
          <w:tcPr>
            <w:tcW w:w="22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38,746</w:t>
            </w:r>
          </w:p>
        </w:tc>
        <w:tc>
          <w:tcPr>
            <w:tcW w:w="120" w:type="dxa"/>
            <w:vAlign w:val="bottom"/>
            <w:tcBorders>
              <w:bottom w:val="single" w:sz="8" w:color="E5FFFF"/>
            </w:tcBorders>
          </w:tcPr>
          <w:p>
            <w:pPr>
              <w:spacing w:after="0"/>
              <w:rPr>
                <w:sz w:val="17"/>
                <w:szCs w:val="17"/>
                <w:color w:val="auto"/>
              </w:rPr>
            </w:pPr>
          </w:p>
        </w:tc>
      </w:tr>
      <w:tr>
        <w:trPr>
          <w:trHeight w:val="196"/>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(9,416)</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(8,781)</w:t>
            </w:r>
          </w:p>
        </w:tc>
        <w:tc>
          <w:tcPr>
            <w:tcW w:w="120" w:type="dxa"/>
            <w:vAlign w:val="bottom"/>
            <w:shd w:val="clear" w:color="auto" w:fill="E5FF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Financial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r>
      <w:tr>
        <w:trPr>
          <w:trHeight w:val="216"/>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220" w:type="dxa"/>
            <w:vAlign w:val="bottom"/>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1,319</w:t>
            </w:r>
          </w:p>
        </w:tc>
        <w:tc>
          <w:tcPr>
            <w:tcW w:w="220" w:type="dxa"/>
            <w:vAlign w:val="bottom"/>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4,977</w:t>
            </w:r>
          </w:p>
        </w:tc>
        <w:tc>
          <w:tcPr>
            <w:tcW w:w="120" w:type="dxa"/>
            <w:vAlign w:val="bottom"/>
            <w:shd w:val="clear" w:color="auto" w:fill="E5FFFF"/>
          </w:tcPr>
          <w:p>
            <w:pPr>
              <w:spacing w:after="0"/>
              <w:rPr>
                <w:sz w:val="18"/>
                <w:szCs w:val="18"/>
                <w:color w:val="auto"/>
              </w:rPr>
            </w:pPr>
          </w:p>
        </w:tc>
      </w:tr>
      <w:tr>
        <w:trPr>
          <w:trHeight w:val="196"/>
        </w:trPr>
        <w:tc>
          <w:tcPr>
            <w:tcW w:w="7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(8,085</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(3,765</w:t>
            </w:r>
          </w:p>
        </w:tc>
        <w:tc>
          <w:tcPr>
            <w:tcW w:w="12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7"/>
        </w:trPr>
        <w:tc>
          <w:tcPr>
            <w:tcW w:w="76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3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22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34,981</w:t>
            </w:r>
          </w:p>
        </w:tc>
        <w:tc>
          <w:tcPr>
            <w:tcW w:w="120" w:type="dxa"/>
            <w:vAlign w:val="bottom"/>
            <w:tcBorders>
              <w:bottom w:val="single" w:sz="8" w:color="E5FFFF"/>
            </w:tcBorders>
            <w:shd w:val="clear" w:color="auto" w:fill="E5FFFF"/>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64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Earnings per unit, basic and diluted:</w:t>
            </w:r>
          </w:p>
        </w:tc>
        <w:tc>
          <w:tcPr>
            <w:tcW w:w="340" w:type="dxa"/>
            <w:vAlign w:val="bottom"/>
            <w:shd w:val="clear" w:color="auto" w:fill="E1FFFF"/>
          </w:tcPr>
          <w:p>
            <w:pPr>
              <w:jc w:val="center"/>
              <w:spacing w:after="0"/>
              <w:rPr>
                <w:sz w:val="20"/>
                <w:szCs w:val="20"/>
                <w:color w:val="auto"/>
              </w:rPr>
            </w:pPr>
            <w:r>
              <w:rPr>
                <w:rFonts w:ascii="Arial" w:cs="Arial" w:eastAsia="Arial" w:hAnsi="Arial"/>
                <w:sz w:val="16"/>
                <w:szCs w:val="16"/>
                <w:color w:val="auto"/>
                <w:w w:val="89"/>
              </w:rPr>
              <w:t>14</w:t>
            </w:r>
          </w:p>
        </w:tc>
        <w:tc>
          <w:tcPr>
            <w:tcW w:w="220" w:type="dxa"/>
            <w:vAlign w:val="bottom"/>
            <w:shd w:val="clear" w:color="auto" w:fill="E1FFFF"/>
          </w:tcPr>
          <w:p>
            <w:pPr>
              <w:spacing w:after="0"/>
              <w:rPr>
                <w:sz w:val="17"/>
                <w:szCs w:val="17"/>
                <w:color w:val="auto"/>
              </w:rPr>
            </w:pPr>
          </w:p>
        </w:tc>
        <w:tc>
          <w:tcPr>
            <w:tcW w:w="1320" w:type="dxa"/>
            <w:vAlign w:val="bottom"/>
            <w:shd w:val="clear" w:color="auto" w:fill="E1FFFF"/>
          </w:tcPr>
          <w:p>
            <w:pPr>
              <w:spacing w:after="0"/>
              <w:rPr>
                <w:sz w:val="17"/>
                <w:szCs w:val="17"/>
                <w:color w:val="auto"/>
              </w:rPr>
            </w:pPr>
          </w:p>
        </w:tc>
        <w:tc>
          <w:tcPr>
            <w:tcW w:w="220" w:type="dxa"/>
            <w:vAlign w:val="bottom"/>
            <w:shd w:val="clear" w:color="auto" w:fill="E1FFFF"/>
          </w:tcPr>
          <w:p>
            <w:pPr>
              <w:spacing w:after="0"/>
              <w:rPr>
                <w:sz w:val="17"/>
                <w:szCs w:val="17"/>
                <w:color w:val="auto"/>
              </w:rPr>
            </w:pPr>
          </w:p>
        </w:tc>
        <w:tc>
          <w:tcPr>
            <w:tcW w:w="1380" w:type="dxa"/>
            <w:vAlign w:val="bottom"/>
            <w:shd w:val="clear" w:color="auto" w:fill="E1FFFF"/>
          </w:tcPr>
          <w:p>
            <w:pPr>
              <w:spacing w:after="0"/>
              <w:rPr>
                <w:sz w:val="17"/>
                <w:szCs w:val="17"/>
                <w:color w:val="auto"/>
              </w:rPr>
            </w:pPr>
          </w:p>
        </w:tc>
        <w:tc>
          <w:tcPr>
            <w:tcW w:w="120" w:type="dxa"/>
            <w:vAlign w:val="bottom"/>
            <w:shd w:val="clear" w:color="auto" w:fill="E1FF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Common unit, basic</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7"/>
                <w:szCs w:val="17"/>
                <w:color w:val="auto"/>
              </w:rPr>
            </w:pP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0.55</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shd w:val="clear" w:color="auto" w:fill="E5FFFF"/>
          </w:tcPr>
          <w:p>
            <w:pPr>
              <w:spacing w:after="0"/>
              <w:rPr>
                <w:sz w:val="17"/>
                <w:szCs w:val="17"/>
                <w:color w:val="auto"/>
              </w:rPr>
            </w:pPr>
          </w:p>
        </w:tc>
      </w:tr>
      <w:tr>
        <w:trPr>
          <w:trHeight w:val="206"/>
        </w:trPr>
        <w:tc>
          <w:tcPr>
            <w:tcW w:w="7640" w:type="dxa"/>
            <w:vAlign w:val="bottom"/>
          </w:tcPr>
          <w:p>
            <w:pPr>
              <w:spacing w:after="0"/>
              <w:rPr>
                <w:sz w:val="20"/>
                <w:szCs w:val="20"/>
                <w:color w:val="auto"/>
              </w:rPr>
            </w:pPr>
            <w:r>
              <w:rPr>
                <w:rFonts w:ascii="Arial" w:cs="Arial" w:eastAsia="Arial" w:hAnsi="Arial"/>
                <w:sz w:val="16"/>
                <w:szCs w:val="16"/>
                <w:color w:val="auto"/>
              </w:rPr>
              <w:t>General partner unit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GasLog Partners 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partners’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Class B</w:t>
            </w:r>
          </w:p>
        </w:tc>
        <w:tc>
          <w:tcPr>
            <w:tcW w:w="222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Preference</w:t>
            </w: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r>
      <w:tr>
        <w:trPr>
          <w:trHeight w:val="210"/>
        </w:trPr>
        <w:tc>
          <w:tcPr>
            <w:tcW w:w="2380" w:type="dxa"/>
            <w:vAlign w:val="bottom"/>
          </w:tcPr>
          <w:p>
            <w:pPr>
              <w:spacing w:after="0"/>
              <w:rPr>
                <w:sz w:val="18"/>
                <w:szCs w:val="18"/>
                <w:color w:val="auto"/>
              </w:rPr>
            </w:pPr>
          </w:p>
        </w:tc>
        <w:tc>
          <w:tcPr>
            <w:tcW w:w="232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General partner</w:t>
            </w:r>
          </w:p>
        </w:tc>
        <w:tc>
          <w:tcPr>
            <w:tcW w:w="2220" w:type="dxa"/>
            <w:vAlign w:val="bottom"/>
            <w:gridSpan w:val="4"/>
          </w:tcPr>
          <w:p>
            <w:pPr>
              <w:ind w:left="260"/>
              <w:spacing w:after="0"/>
              <w:rPr>
                <w:sz w:val="20"/>
                <w:szCs w:val="20"/>
                <w:color w:val="auto"/>
              </w:rPr>
            </w:pPr>
            <w:r>
              <w:rPr>
                <w:rFonts w:ascii="Arial" w:cs="Arial" w:eastAsia="Arial" w:hAnsi="Arial"/>
                <w:sz w:val="16"/>
                <w:szCs w:val="16"/>
                <w:b w:val="1"/>
                <w:bCs w:val="1"/>
                <w:color w:val="auto"/>
              </w:rPr>
              <w:t>Common unitholders</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unitholders</w:t>
            </w:r>
          </w:p>
        </w:tc>
        <w:tc>
          <w:tcPr>
            <w:tcW w:w="222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unitholders</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Partners’</w:t>
            </w:r>
          </w:p>
        </w:tc>
      </w:tr>
      <w:tr>
        <w:trPr>
          <w:trHeight w:val="213"/>
        </w:trPr>
        <w:tc>
          <w:tcPr>
            <w:tcW w:w="238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Units</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Amounts</w:t>
            </w:r>
          </w:p>
        </w:tc>
        <w:tc>
          <w:tcPr>
            <w:tcW w:w="240" w:type="dxa"/>
            <w:vAlign w:val="bottom"/>
          </w:tcPr>
          <w:p>
            <w:pPr>
              <w:spacing w:after="0"/>
              <w:rPr>
                <w:sz w:val="18"/>
                <w:szCs w:val="18"/>
                <w:color w:val="auto"/>
              </w:rPr>
            </w:pPr>
          </w:p>
        </w:tc>
        <w:tc>
          <w:tcPr>
            <w:tcW w:w="112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Units</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Amounts</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Units</w:t>
            </w:r>
          </w:p>
        </w:tc>
        <w:tc>
          <w:tcPr>
            <w:tcW w:w="20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Units</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Amounts</w:t>
            </w:r>
          </w:p>
        </w:tc>
        <w:tc>
          <w:tcPr>
            <w:tcW w:w="2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equity</w:t>
            </w:r>
          </w:p>
        </w:tc>
      </w:tr>
      <w:tr>
        <w:trPr>
          <w:trHeight w:val="199"/>
        </w:trPr>
        <w:tc>
          <w:tcPr>
            <w:tcW w:w="23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3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Balance as of January 1, 2021</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1,021,336</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11,028</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47,517,824</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594,901</w:t>
            </w:r>
          </w:p>
        </w:tc>
        <w:tc>
          <w:tcPr>
            <w:tcW w:w="11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2,075,000</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14,350,000</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347,889</w:t>
            </w:r>
          </w:p>
        </w:tc>
        <w:tc>
          <w:tcPr>
            <w:tcW w:w="9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953,818</w:t>
            </w:r>
          </w:p>
        </w:tc>
        <w:tc>
          <w:tcPr>
            <w:tcW w:w="80" w:type="dxa"/>
            <w:vAlign w:val="bottom"/>
            <w:shd w:val="clear" w:color="auto" w:fill="E5FFFF"/>
          </w:tcPr>
          <w:p>
            <w:pPr>
              <w:spacing w:after="0"/>
              <w:rPr>
                <w:sz w:val="17"/>
                <w:szCs w:val="17"/>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Distributions declared</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(475)</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(7,582)</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(8,067)</w:t>
            </w:r>
          </w:p>
        </w:tc>
      </w:tr>
      <w:tr>
        <w:trPr>
          <w:trHeight w:val="193"/>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w w:val="96"/>
              </w:rPr>
              <w:t>Share-based compensation, net of</w:t>
            </w:r>
          </w:p>
        </w:tc>
        <w:tc>
          <w:tcPr>
            <w:tcW w:w="9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r>
      <w:tr>
        <w:trPr>
          <w:trHeight w:val="212"/>
        </w:trPr>
        <w:tc>
          <w:tcPr>
            <w:tcW w:w="23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accrued distribution</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70</w:t>
            </w:r>
          </w:p>
        </w:tc>
        <w:tc>
          <w:tcPr>
            <w:tcW w:w="11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72</w:t>
            </w:r>
          </w:p>
        </w:tc>
        <w:tc>
          <w:tcPr>
            <w:tcW w:w="80" w:type="dxa"/>
            <w:vAlign w:val="bottom"/>
            <w:shd w:val="clear" w:color="auto" w:fill="E5FFFF"/>
          </w:tcPr>
          <w:p>
            <w:pPr>
              <w:spacing w:after="0"/>
              <w:rPr>
                <w:sz w:val="18"/>
                <w:szCs w:val="18"/>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Partnership’s profit and total</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380" w:type="dxa"/>
            <w:vAlign w:val="bottom"/>
          </w:tcPr>
          <w:p>
            <w:pPr>
              <w:ind w:left="160"/>
              <w:spacing w:after="0"/>
              <w:rPr>
                <w:sz w:val="20"/>
                <w:szCs w:val="20"/>
                <w:color w:val="auto"/>
              </w:rPr>
            </w:pPr>
            <w:r>
              <w:rPr>
                <w:rFonts w:ascii="Arial" w:cs="Arial" w:eastAsia="Arial" w:hAnsi="Arial"/>
                <w:sz w:val="16"/>
                <w:szCs w:val="16"/>
                <w:color w:val="auto"/>
              </w:rPr>
              <w:t>comprehensive income (Note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380" w:type="dxa"/>
            <w:vAlign w:val="bottom"/>
          </w:tcPr>
          <w:p>
            <w:pPr>
              <w:ind w:left="160"/>
              <w:spacing w:after="0"/>
              <w:rPr>
                <w:sz w:val="20"/>
                <w:szCs w:val="20"/>
                <w:color w:val="auto"/>
              </w:rPr>
            </w:pPr>
            <w:r>
              <w:rPr>
                <w:rFonts w:ascii="Arial" w:cs="Arial" w:eastAsia="Arial" w:hAnsi="Arial"/>
                <w:sz w:val="16"/>
                <w:szCs w:val="16"/>
                <w:color w:val="auto"/>
              </w:rPr>
              <w:t>14)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584</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27,194</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7,582</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35,360</w:t>
            </w:r>
          </w:p>
        </w:tc>
        <w:tc>
          <w:tcPr>
            <w:tcW w:w="80" w:type="dxa"/>
            <w:vAlign w:val="bottom"/>
          </w:tcPr>
          <w:p>
            <w:pPr>
              <w:spacing w:after="0"/>
              <w:rPr>
                <w:sz w:val="19"/>
                <w:szCs w:val="19"/>
                <w:color w:val="auto"/>
              </w:rPr>
            </w:pPr>
          </w:p>
        </w:tc>
      </w:tr>
      <w:tr>
        <w:trPr>
          <w:trHeight w:val="210"/>
        </w:trPr>
        <w:tc>
          <w:tcPr>
            <w:tcW w:w="23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Balance as of March 31, 2021</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1,021,336</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11,604</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47,517,824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621,690</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2,075,000</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14,350,000</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347,889</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981,183</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2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3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Balance as of January 1, 2022</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1,077,494</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10,717</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51,137,201</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579,447</w:t>
            </w:r>
          </w:p>
        </w:tc>
        <w:tc>
          <w:tcPr>
            <w:tcW w:w="11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1,660,000</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13,616,022</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329,334</w:t>
            </w:r>
          </w:p>
        </w:tc>
        <w:tc>
          <w:tcPr>
            <w:tcW w:w="9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919,498</w:t>
            </w:r>
          </w:p>
        </w:tc>
        <w:tc>
          <w:tcPr>
            <w:tcW w:w="80" w:type="dxa"/>
            <w:vAlign w:val="bottom"/>
            <w:shd w:val="clear" w:color="auto" w:fill="E5FFFF"/>
          </w:tcPr>
          <w:p>
            <w:pPr>
              <w:spacing w:after="0"/>
              <w:rPr>
                <w:sz w:val="17"/>
                <w:szCs w:val="17"/>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Repurchases of preference units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2380" w:type="dxa"/>
            <w:vAlign w:val="bottom"/>
          </w:tcPr>
          <w:p>
            <w:pPr>
              <w:ind w:left="160"/>
              <w:spacing w:after="0"/>
              <w:rPr>
                <w:sz w:val="20"/>
                <w:szCs w:val="20"/>
                <w:color w:val="auto"/>
              </w:rPr>
            </w:pPr>
            <w:r>
              <w:rPr>
                <w:rFonts w:ascii="Arial" w:cs="Arial" w:eastAsia="Arial" w:hAnsi="Arial"/>
                <w:sz w:val="16"/>
                <w:szCs w:val="16"/>
                <w:color w:val="auto"/>
              </w:rPr>
              <w:t>(Note 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(80)</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(393,763)</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(9,920)</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(10,002)</w:t>
            </w:r>
          </w:p>
        </w:tc>
      </w:tr>
      <w:tr>
        <w:trPr>
          <w:trHeight w:val="206"/>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Distributions declared (Note 6)</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(11)</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(511)</w:t>
            </w:r>
          </w:p>
        </w:tc>
        <w:tc>
          <w:tcPr>
            <w:tcW w:w="11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(7,112)</w:t>
            </w:r>
          </w:p>
        </w:tc>
        <w:tc>
          <w:tcPr>
            <w:tcW w:w="10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(7,634)</w:t>
            </w: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6"/>
              </w:rPr>
              <w:t>Share-based compensation, net of</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2380" w:type="dxa"/>
            <w:vAlign w:val="bottom"/>
          </w:tcPr>
          <w:p>
            <w:pPr>
              <w:ind w:left="160"/>
              <w:spacing w:after="0"/>
              <w:rPr>
                <w:sz w:val="20"/>
                <w:szCs w:val="20"/>
                <w:color w:val="auto"/>
              </w:rPr>
            </w:pPr>
            <w:r>
              <w:rPr>
                <w:rFonts w:ascii="Arial" w:cs="Arial" w:eastAsia="Arial" w:hAnsi="Arial"/>
                <w:sz w:val="16"/>
                <w:szCs w:val="16"/>
                <w:color w:val="auto"/>
              </w:rPr>
              <w:t>accrued distribution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250</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r>
      <w:tr>
        <w:trPr>
          <w:trHeight w:val="196"/>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Partnership’s profit and total</w:t>
            </w: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23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comprehensive income (Note</w:t>
            </w: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26"/>
        </w:trPr>
        <w:tc>
          <w:tcPr>
            <w:tcW w:w="23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14)</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578</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27,413</w:t>
            </w:r>
          </w:p>
        </w:tc>
        <w:tc>
          <w:tcPr>
            <w:tcW w:w="11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6,990</w:t>
            </w:r>
          </w:p>
        </w:tc>
        <w:tc>
          <w:tcPr>
            <w:tcW w:w="9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34,981</w:t>
            </w:r>
          </w:p>
        </w:tc>
        <w:tc>
          <w:tcPr>
            <w:tcW w:w="80" w:type="dxa"/>
            <w:vAlign w:val="bottom"/>
            <w:shd w:val="clear" w:color="auto" w:fill="E5FFFF"/>
          </w:tcPr>
          <w:p>
            <w:pPr>
              <w:spacing w:after="0"/>
              <w:rPr>
                <w:sz w:val="19"/>
                <w:szCs w:val="19"/>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b w:val="1"/>
                <w:bCs w:val="1"/>
                <w:color w:val="auto"/>
              </w:rPr>
              <w:t>Balance as of March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1,077,494</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11,287</w:t>
            </w:r>
          </w:p>
        </w:tc>
        <w:tc>
          <w:tcPr>
            <w:tcW w:w="2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51,137,201</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606,519</w:t>
            </w: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1,660,000</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13,222,259</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319,292</w:t>
            </w: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937,098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7"/>
        </w:trPr>
        <w:tc>
          <w:tcPr>
            <w:tcW w:w="76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764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2021 and 2022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1"/>
        </w:trPr>
        <w:tc>
          <w:tcPr>
            <w:tcW w:w="7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4"/>
          </w:tcPr>
          <w:p>
            <w:pPr>
              <w:ind w:left="50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15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64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6"/>
                <w:szCs w:val="16"/>
                <w:b w:val="1"/>
                <w:bCs w:val="1"/>
                <w:color w:val="auto"/>
              </w:rPr>
              <w:t>Note</w:t>
            </w:r>
          </w:p>
        </w:tc>
        <w:tc>
          <w:tcPr>
            <w:tcW w:w="1320" w:type="dxa"/>
            <w:vAlign w:val="bottom"/>
          </w:tcPr>
          <w:p>
            <w:pPr>
              <w:ind w:left="50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r>
      <w:tr>
        <w:trPr>
          <w:trHeight w:val="199"/>
        </w:trPr>
        <w:tc>
          <w:tcPr>
            <w:tcW w:w="764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35,360</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34,981</w:t>
            </w:r>
          </w:p>
        </w:tc>
        <w:tc>
          <w:tcPr>
            <w:tcW w:w="120" w:type="dxa"/>
            <w:vAlign w:val="bottom"/>
            <w:shd w:val="clear" w:color="auto" w:fill="E5FFFF"/>
          </w:tcPr>
          <w:p>
            <w:pPr>
              <w:spacing w:after="0"/>
              <w:rPr>
                <w:sz w:val="17"/>
                <w:szCs w:val="17"/>
                <w:color w:val="auto"/>
              </w:rPr>
            </w:pPr>
          </w:p>
        </w:tc>
      </w:tr>
      <w:tr>
        <w:trPr>
          <w:trHeight w:val="202"/>
        </w:trPr>
        <w:tc>
          <w:tcPr>
            <w:tcW w:w="7640" w:type="dxa"/>
            <w:vAlign w:val="bottom"/>
          </w:tcPr>
          <w:p>
            <w:pPr>
              <w:spacing w:after="0"/>
              <w:rPr>
                <w:sz w:val="20"/>
                <w:szCs w:val="20"/>
                <w:color w:val="auto"/>
              </w:rPr>
            </w:pPr>
            <w:r>
              <w:rPr>
                <w:rFonts w:ascii="Arial" w:cs="Arial" w:eastAsia="Arial" w:hAnsi="Arial"/>
                <w:sz w:val="16"/>
                <w:szCs w:val="16"/>
                <w:color w:val="auto"/>
              </w:rPr>
              <w:t>Adjustments for:</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7"/>
              </w:rPr>
              <w:t>4, 5</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20,686</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21,987</w:t>
            </w:r>
          </w:p>
        </w:tc>
        <w:tc>
          <w:tcPr>
            <w:tcW w:w="120" w:type="dxa"/>
            <w:vAlign w:val="bottom"/>
            <w:shd w:val="clear" w:color="auto" w:fill="E5FF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Financial costs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9,416</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8,781</w:t>
            </w:r>
          </w:p>
        </w:tc>
        <w:tc>
          <w:tcPr>
            <w:tcW w:w="120" w:type="dxa"/>
            <w:vAlign w:val="bottom"/>
          </w:tcPr>
          <w:p>
            <w:pPr>
              <w:spacing w:after="0"/>
              <w:rPr>
                <w:sz w:val="17"/>
                <w:szCs w:val="17"/>
                <w:color w:val="auto"/>
              </w:rPr>
            </w:pP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(12)</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Gain on derivatives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20" w:type="dxa"/>
            <w:vAlign w:val="bottom"/>
          </w:tcPr>
          <w:p>
            <w:pPr>
              <w:spacing w:after="0"/>
              <w:rPr>
                <w:sz w:val="17"/>
                <w:szCs w:val="17"/>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(1,319)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(4,977)</w:t>
            </w:r>
          </w:p>
        </w:tc>
      </w:tr>
      <w:tr>
        <w:trPr>
          <w:trHeight w:val="21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10</w:t>
            </w:r>
          </w:p>
        </w:tc>
        <w:tc>
          <w:tcPr>
            <w:tcW w:w="220" w:type="dxa"/>
            <w:vAlign w:val="bottom"/>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E5FFFF"/>
          </w:tcPr>
          <w:p>
            <w:pPr>
              <w:spacing w:after="0"/>
              <w:rPr>
                <w:sz w:val="18"/>
                <w:szCs w:val="18"/>
                <w:color w:val="auto"/>
              </w:rPr>
            </w:pPr>
          </w:p>
        </w:tc>
      </w:tr>
      <w:tr>
        <w:trPr>
          <w:trHeight w:val="199"/>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64,204</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60,993</w:t>
            </w:r>
          </w:p>
        </w:tc>
        <w:tc>
          <w:tcPr>
            <w:tcW w:w="120" w:type="dxa"/>
            <w:vAlign w:val="bottom"/>
          </w:tcPr>
          <w:p>
            <w:pPr>
              <w:spacing w:after="0"/>
              <w:rPr>
                <w:sz w:val="17"/>
                <w:szCs w:val="17"/>
                <w:color w:val="auto"/>
              </w:rPr>
            </w:pPr>
          </w:p>
        </w:tc>
      </w:tr>
      <w:tr>
        <w:trPr>
          <w:trHeight w:val="216"/>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(8,778)</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(2,370)</w:t>
            </w:r>
          </w:p>
        </w:tc>
      </w:tr>
      <w:tr>
        <w:trPr>
          <w:trHeight w:val="196"/>
        </w:trPr>
        <w:tc>
          <w:tcPr>
            <w:tcW w:w="7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55,426</w:t>
            </w:r>
          </w:p>
        </w:tc>
        <w:tc>
          <w:tcPr>
            <w:tcW w:w="22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58,623</w:t>
            </w:r>
          </w:p>
        </w:tc>
        <w:tc>
          <w:tcPr>
            <w:tcW w:w="120" w:type="dxa"/>
            <w:vAlign w:val="bottom"/>
            <w:tcBorders>
              <w:bottom w:val="single" w:sz="8" w:color="E5FFFF"/>
            </w:tcBorders>
          </w:tcPr>
          <w:p>
            <w:pPr>
              <w:spacing w:after="0"/>
              <w:rPr>
                <w:sz w:val="17"/>
                <w:szCs w:val="17"/>
                <w:color w:val="auto"/>
              </w:rPr>
            </w:pPr>
          </w:p>
        </w:tc>
      </w:tr>
      <w:tr>
        <w:trPr>
          <w:trHeight w:val="196"/>
        </w:trPr>
        <w:tc>
          <w:tcPr>
            <w:tcW w:w="7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Payments for tangible fixed assets additions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(5,685)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(971)</w:t>
            </w:r>
          </w:p>
        </w:tc>
      </w:tr>
      <w:tr>
        <w:trPr>
          <w:trHeight w:val="216"/>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E5FFFF"/>
          </w:tcPr>
          <w:p>
            <w:pPr>
              <w:spacing w:after="0"/>
              <w:rPr>
                <w:sz w:val="18"/>
                <w:szCs w:val="18"/>
                <w:color w:val="auto"/>
              </w:rPr>
            </w:pPr>
          </w:p>
        </w:tc>
      </w:tr>
      <w:tr>
        <w:trPr>
          <w:trHeight w:val="196"/>
        </w:trPr>
        <w:tc>
          <w:tcPr>
            <w:tcW w:w="7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(5,673</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w:t>
            </w:r>
          </w:p>
        </w:tc>
        <w:tc>
          <w:tcPr>
            <w:tcW w:w="12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7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Borrowings repayments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20" w:type="dxa"/>
            <w:vAlign w:val="bottom"/>
          </w:tcPr>
          <w:p>
            <w:pPr>
              <w:spacing w:after="0"/>
              <w:rPr>
                <w:sz w:val="17"/>
                <w:szCs w:val="17"/>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(36,017)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(34,472)</w:t>
            </w: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Principal elements of lease payments</w:t>
            </w:r>
          </w:p>
        </w:tc>
        <w:tc>
          <w:tcPr>
            <w:tcW w:w="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(123)</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(2,551)</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Interest paid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(14,468)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(12,586)</w:t>
            </w: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Release of cash collateral for interest rate swaps</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280</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7640" w:type="dxa"/>
            <w:vAlign w:val="bottom"/>
          </w:tcPr>
          <w:p>
            <w:pPr>
              <w:spacing w:after="0"/>
              <w:rPr>
                <w:sz w:val="20"/>
                <w:szCs w:val="20"/>
                <w:color w:val="auto"/>
              </w:rPr>
            </w:pPr>
            <w:r>
              <w:rPr>
                <w:rFonts w:ascii="Arial" w:cs="Arial" w:eastAsia="Arial" w:hAnsi="Arial"/>
                <w:sz w:val="16"/>
                <w:szCs w:val="16"/>
                <w:color w:val="auto"/>
              </w:rPr>
              <w:t>Repurchases of preference units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2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(10,002)</w:t>
            </w: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640" w:type="dxa"/>
            <w:vAlign w:val="bottom"/>
          </w:tcPr>
          <w:p>
            <w:pPr>
              <w:spacing w:after="0"/>
              <w:rPr>
                <w:sz w:val="20"/>
                <w:szCs w:val="20"/>
                <w:color w:val="auto"/>
              </w:rPr>
            </w:pPr>
            <w:r>
              <w:rPr>
                <w:rFonts w:ascii="Arial" w:cs="Arial" w:eastAsia="Arial" w:hAnsi="Arial"/>
                <w:sz w:val="16"/>
                <w:szCs w:val="16"/>
                <w:color w:val="auto"/>
              </w:rPr>
              <w:t>Distributions paid (including common and preference)</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20" w:type="dxa"/>
            <w:vAlign w:val="bottom"/>
          </w:tcPr>
          <w:p>
            <w:pPr>
              <w:spacing w:after="0"/>
              <w:rPr>
                <w:sz w:val="18"/>
                <w:szCs w:val="18"/>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(8,067)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(7,634)</w:t>
            </w:r>
          </w:p>
        </w:tc>
      </w:tr>
      <w:tr>
        <w:trPr>
          <w:trHeight w:val="199"/>
        </w:trPr>
        <w:tc>
          <w:tcPr>
            <w:tcW w:w="7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(58,395</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(67,265</w:t>
            </w:r>
          </w:p>
        </w:tc>
        <w:tc>
          <w:tcPr>
            <w:tcW w:w="12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7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(8,642</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(9,597</w:t>
            </w:r>
          </w:p>
        </w:tc>
        <w:tc>
          <w:tcPr>
            <w:tcW w:w="12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103,736</w:t>
            </w:r>
          </w:p>
        </w:tc>
        <w:tc>
          <w:tcPr>
            <w:tcW w:w="2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145,530</w:t>
            </w:r>
          </w:p>
        </w:tc>
        <w:tc>
          <w:tcPr>
            <w:tcW w:w="120" w:type="dxa"/>
            <w:vAlign w:val="bottom"/>
            <w:shd w:val="clear" w:color="auto" w:fill="E5FFFF"/>
          </w:tcPr>
          <w:p>
            <w:pPr>
              <w:spacing w:after="0"/>
              <w:rPr>
                <w:sz w:val="17"/>
                <w:szCs w:val="17"/>
                <w:color w:val="auto"/>
              </w:rPr>
            </w:pPr>
          </w:p>
        </w:tc>
      </w:tr>
      <w:tr>
        <w:trPr>
          <w:trHeight w:val="247"/>
        </w:trPr>
        <w:tc>
          <w:tcPr>
            <w:tcW w:w="7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340" w:type="dxa"/>
            <w:vAlign w:val="bottom"/>
            <w:tcBorders>
              <w:bottom w:val="single" w:sz="8" w:color="E5FFFF"/>
            </w:tcBorders>
          </w:tcPr>
          <w:p>
            <w:pPr>
              <w:spacing w:after="0"/>
              <w:rPr>
                <w:sz w:val="21"/>
                <w:szCs w:val="21"/>
                <w:color w:val="auto"/>
              </w:rPr>
            </w:pPr>
          </w:p>
        </w:tc>
        <w:tc>
          <w:tcPr>
            <w:tcW w:w="220" w:type="dxa"/>
            <w:vAlign w:val="bottom"/>
            <w:tcBorders>
              <w:bottom w:val="single" w:sz="8" w:color="E5FF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95,094</w:t>
            </w:r>
          </w:p>
        </w:tc>
        <w:tc>
          <w:tcPr>
            <w:tcW w:w="220" w:type="dxa"/>
            <w:vAlign w:val="bottom"/>
            <w:tcBorders>
              <w:bottom w:val="single" w:sz="8" w:color="E5FF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135,933</w:t>
            </w:r>
          </w:p>
        </w:tc>
        <w:tc>
          <w:tcPr>
            <w:tcW w:w="120" w:type="dxa"/>
            <w:vAlign w:val="bottom"/>
            <w:tcBorders>
              <w:bottom w:val="single" w:sz="8" w:color="E5FFFF"/>
            </w:tcBorders>
          </w:tcPr>
          <w:p>
            <w:pPr>
              <w:spacing w:after="0"/>
              <w:rPr>
                <w:sz w:val="21"/>
                <w:szCs w:val="21"/>
                <w:color w:val="auto"/>
              </w:rPr>
            </w:pPr>
          </w:p>
        </w:tc>
      </w:tr>
      <w:tr>
        <w:trPr>
          <w:trHeight w:val="186"/>
        </w:trPr>
        <w:tc>
          <w:tcPr>
            <w:tcW w:w="764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4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9,617</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6,686</w:t>
            </w:r>
          </w:p>
        </w:tc>
        <w:tc>
          <w:tcPr>
            <w:tcW w:w="120" w:type="dxa"/>
            <w:vAlign w:val="bottom"/>
            <w:shd w:val="clear" w:color="auto" w:fill="E5FFFF"/>
          </w:tcPr>
          <w:p>
            <w:pPr>
              <w:spacing w:after="0"/>
              <w:rPr>
                <w:sz w:val="17"/>
                <w:szCs w:val="17"/>
                <w:color w:val="auto"/>
              </w:rPr>
            </w:pPr>
          </w:p>
        </w:tc>
      </w:tr>
      <w:tr>
        <w:trPr>
          <w:trHeight w:val="206"/>
        </w:trPr>
        <w:tc>
          <w:tcPr>
            <w:tcW w:w="7640" w:type="dxa"/>
            <w:vAlign w:val="bottom"/>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7"/>
                <w:szCs w:val="17"/>
                <w:color w:val="auto"/>
              </w:rPr>
            </w:pPr>
          </w:p>
        </w:tc>
        <w:tc>
          <w:tcPr>
            <w:tcW w:w="15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GasLog Partners 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25" w:lineRule="exact"/>
        <w:rPr>
          <w:sz w:val="20"/>
          <w:szCs w:val="20"/>
          <w:color w:val="auto"/>
        </w:rPr>
      </w:pPr>
    </w:p>
    <w:p>
      <w:pPr>
        <w:ind w:right="80" w:firstLine="324"/>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Ltd. (“GasLog”) for the purpose of initially acquiring the interests in three liquefied natural gas (“LNG”) carriers that were contributed to the Partnership by GasLog in connection with the initial public offering of its common units (the “IPO”).</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6"/>
          <w:szCs w:val="16"/>
          <w:color w:val="auto"/>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 As of March 31, 2022, the Partnership wholly owned 14 LNG vessels and operated one LNG vessel leased back under a bareboat charter.</w:t>
      </w:r>
    </w:p>
    <w:p>
      <w:pPr>
        <w:spacing w:after="0" w:line="175" w:lineRule="exact"/>
        <w:rPr>
          <w:sz w:val="20"/>
          <w:szCs w:val="20"/>
          <w:color w:val="auto"/>
        </w:rPr>
      </w:pPr>
    </w:p>
    <w:p>
      <w:pPr>
        <w:jc w:val="both"/>
        <w:ind w:right="540" w:firstLine="324"/>
        <w:spacing w:after="0" w:line="278" w:lineRule="auto"/>
        <w:rPr>
          <w:sz w:val="20"/>
          <w:szCs w:val="20"/>
          <w:color w:val="auto"/>
        </w:rPr>
      </w:pPr>
      <w:r>
        <w:rPr>
          <w:rFonts w:ascii="Arial" w:cs="Arial" w:eastAsia="Arial" w:hAnsi="Arial"/>
          <w:sz w:val="16"/>
          <w:szCs w:val="16"/>
          <w:color w:val="auto"/>
        </w:rPr>
        <w:t>As of March 31, 2022, GasLog held a 33.3%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71"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financial statements of GasLog Partners and its subsidiaries, which are 100% owned by the Partnership. No new subsidiaries were established or acquired in the three months ended March 31,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25" w:lineRule="exact"/>
        <w:rPr>
          <w:sz w:val="20"/>
          <w:szCs w:val="20"/>
          <w:color w:val="auto"/>
        </w:rPr>
      </w:pPr>
    </w:p>
    <w:p>
      <w:pPr>
        <w:jc w:val="both"/>
        <w:ind w:right="100" w:firstLine="324"/>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International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2021, filed on an Annual Report on Form 20-F with the Securities Exchange Commission on March 1, 2022.</w:t>
      </w:r>
    </w:p>
    <w:p>
      <w:pPr>
        <w:spacing w:after="0" w:line="176"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The unaudited condensed consolidated financial statements have been prepared on the historical cost basis, except for the revaluation of derivative financial instruments. The same accounting policies and methods of computation have been followed in these unaudited condensed consolidated financial statements as applied in the preparation of the Partnership’s consolidated financial statements for the year ended December 31, 2021. On April 28, 2022, the Partnership’s board of directors authorized the unaudited condensed consolidated financial statements for issuance.</w:t>
      </w:r>
    </w:p>
    <w:p>
      <w:pPr>
        <w:spacing w:after="0" w:line="17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2021 and remain unchanged.</w:t>
      </w:r>
    </w:p>
    <w:p>
      <w:pPr>
        <w:spacing w:after="0" w:line="158"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March 31, 2022, the Partnership’s current assets totaled $153,817 while current liabilities totaled $169,057, resulting in a negative working capital position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$15,240. Current liabilities include an amount of $24,156 of unearned revenue in relation to vessel hires received in advance (which represents a non-cash liability that will</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be recognized as revenues after March 31, 2022 as the services are rendered). In considering going concern, management has reviewed the Partnership’s future cash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requirements, covenant compliance and earnings projections.</w:t>
      </w:r>
    </w:p>
    <w:p>
      <w:pPr>
        <w:spacing w:after="0" w:line="217" w:lineRule="exact"/>
        <w:rPr>
          <w:sz w:val="20"/>
          <w:szCs w:val="20"/>
          <w:color w:val="auto"/>
        </w:rPr>
      </w:pPr>
    </w:p>
    <w:p>
      <w:pPr>
        <w:ind w:firstLine="324"/>
        <w:spacing w:after="0" w:line="311" w:lineRule="auto"/>
        <w:rPr>
          <w:sz w:val="20"/>
          <w:szCs w:val="20"/>
          <w:color w:val="auto"/>
        </w:rPr>
      </w:pPr>
      <w:r>
        <w:rPr>
          <w:rFonts w:ascii="Arial" w:cs="Arial" w:eastAsia="Arial" w:hAnsi="Arial"/>
          <w:sz w:val="14"/>
          <w:szCs w:val="14"/>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Management anticipates that the Partnership’s primary sources of funds for at least twelve months from the date of this report will be available cash and cash from operations. Management believes that these anticipated sources of funds, as well as its ability to access the debt or equity capital markets if needed, will be sufficient for the Partnership to meet its liquidity needs and to comply with its banking covenants for at least twelve months from the date of this report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 well as a significant recovery in capital market conditions and a sustainable improvement in the LNG charter market, that are beyond the Partnership’s control.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IFRS standards or amendments that became effective in the current period which were relevant to the Partnership or material</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6"/>
          <w:szCs w:val="16"/>
          <w:color w:val="auto"/>
        </w:rPr>
        <w:t>with respect to the Partnership’s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158"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At the date of authorization of these consolidated financial statements, the following standards and amendments relevant to the Partnership were in issue but not yet effective:</w:t>
      </w:r>
    </w:p>
    <w:p>
      <w:pPr>
        <w:spacing w:after="0" w:line="91" w:lineRule="exact"/>
        <w:rPr>
          <w:sz w:val="20"/>
          <w:szCs w:val="20"/>
          <w:color w:val="auto"/>
        </w:rPr>
      </w:pPr>
    </w:p>
    <w:p>
      <w:pPr>
        <w:ind w:right="60" w:firstLine="324"/>
        <w:spacing w:after="0" w:line="291" w:lineRule="auto"/>
        <w:rPr>
          <w:sz w:val="20"/>
          <w:szCs w:val="20"/>
          <w:color w:val="auto"/>
        </w:rPr>
      </w:pPr>
      <w:r>
        <w:rPr>
          <w:rFonts w:ascii="Arial" w:cs="Arial" w:eastAsia="Arial" w:hAnsi="Arial"/>
          <w:sz w:val="15"/>
          <w:szCs w:val="15"/>
          <w:color w:val="auto"/>
        </w:rPr>
        <w:t xml:space="preserve">In January 2020, the IASB issued a narrow-scope amendment to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 Earlier application is permitted. Management anticipates that this amendment will not have a material impact on the Partnership’s financial statements.</w:t>
      </w:r>
    </w:p>
    <w:p>
      <w:pPr>
        <w:spacing w:after="0" w:line="9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6"/>
          <w:szCs w:val="16"/>
          <w:color w:val="auto"/>
        </w:rPr>
        <w:t xml:space="preserve">In February 2021, the IASB amended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IFRS Practice Statement 2 and IAS 8 </w:t>
      </w:r>
      <w:r>
        <w:rPr>
          <w:rFonts w:ascii="Arial" w:cs="Arial" w:eastAsia="Arial" w:hAnsi="Arial"/>
          <w:sz w:val="16"/>
          <w:szCs w:val="16"/>
          <w:i w:val="1"/>
          <w:iCs w:val="1"/>
          <w:color w:val="auto"/>
        </w:rPr>
        <w:t>Accounting Policies, Changes in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Estimates and Errors </w:t>
      </w:r>
      <w:r>
        <w:rPr>
          <w:rFonts w:ascii="Arial" w:cs="Arial" w:eastAsia="Arial" w:hAnsi="Arial"/>
          <w:sz w:val="16"/>
          <w:szCs w:val="16"/>
          <w:color w:val="auto"/>
        </w:rPr>
        <w:t>to improve accounting policy disclosures and help the users of the financial statements to distinguish between changes in accounting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accounting policies. The amendments will be effective for annual periods beginning on or after January 1, 2023. Management anticipates that these amendments will not have a material impact on the Partnership’s financial statements.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impact of all other IFRS standards and amendments issued but not yet adopted is not expected to be material with respect to the Partnership’s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Partnership has the following balances with related parties, which have been included in the unaudited condensed consolidated statements of financial position: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due to related parties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2022</w:t>
            </w:r>
          </w:p>
        </w:tc>
      </w:tr>
      <w:tr>
        <w:trPr>
          <w:trHeight w:val="226"/>
        </w:trPr>
        <w:tc>
          <w:tcPr>
            <w:tcW w:w="8280" w:type="dxa"/>
            <w:vAlign w:val="bottom"/>
            <w:tcBorders>
              <w:top w:val="single" w:sz="8" w:color="E5FFFF"/>
            </w:tcBorders>
            <w:shd w:val="clear" w:color="auto" w:fill="E5FFFF"/>
          </w:tcPr>
          <w:p>
            <w:pPr>
              <w:spacing w:after="0" w:line="226"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6"/>
                <w:szCs w:val="26"/>
                <w:color w:val="auto"/>
                <w:vertAlign w:val="superscript"/>
              </w:rPr>
              <w:t>(a)</w:t>
            </w: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Borders>
              <w:top w:val="single" w:sz="8" w:color="E5FFFF"/>
            </w:tcBorders>
            <w:shd w:val="clear" w:color="auto" w:fill="E5FFFF"/>
          </w:tcPr>
          <w:p>
            <w:pPr>
              <w:spacing w:after="0"/>
              <w:rPr>
                <w:sz w:val="19"/>
                <w:szCs w:val="19"/>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Borders>
              <w:top w:val="single" w:sz="8" w:color="E5FFFF"/>
            </w:tcBorders>
            <w:shd w:val="clear" w:color="auto" w:fill="E5FFFF"/>
          </w:tcPr>
          <w:p>
            <w:pPr>
              <w:spacing w:after="0"/>
              <w:rPr>
                <w:sz w:val="19"/>
                <w:szCs w:val="19"/>
                <w:color w:val="auto"/>
              </w:rPr>
            </w:pPr>
          </w:p>
        </w:tc>
      </w:tr>
      <w:tr>
        <w:trPr>
          <w:trHeight w:val="243"/>
        </w:trPr>
        <w:tc>
          <w:tcPr>
            <w:tcW w:w="8280" w:type="dxa"/>
            <w:vAlign w:val="bottom"/>
          </w:tcPr>
          <w:p>
            <w:pPr>
              <w:spacing w:after="0" w:line="243"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6"/>
                <w:szCs w:val="26"/>
                <w:color w:val="auto"/>
                <w:vertAlign w:val="superscript"/>
              </w:rPr>
              <w:t>(b)</w:t>
            </w:r>
          </w:p>
        </w:tc>
        <w:tc>
          <w:tcPr>
            <w:tcW w:w="1400" w:type="dxa"/>
            <w:vAlign w:val="bottom"/>
          </w:tcPr>
          <w:p>
            <w:pPr>
              <w:jc w:val="right"/>
              <w:spacing w:after="0"/>
              <w:rPr>
                <w:sz w:val="20"/>
                <w:szCs w:val="20"/>
                <w:color w:val="auto"/>
              </w:rPr>
            </w:pPr>
            <w:r>
              <w:rPr>
                <w:rFonts w:ascii="Arial" w:cs="Arial" w:eastAsia="Arial" w:hAnsi="Arial"/>
                <w:sz w:val="16"/>
                <w:szCs w:val="16"/>
                <w:color w:val="auto"/>
              </w:rPr>
              <w:t>821</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125</w:t>
            </w:r>
          </w:p>
        </w:tc>
      </w:tr>
      <w:tr>
        <w:trPr>
          <w:trHeight w:val="196"/>
        </w:trPr>
        <w:tc>
          <w:tcPr>
            <w:tcW w:w="82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952</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1,225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8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The balances represent mainly payments made by GasLog LNG Services on behalf of the Partnership.</w:t>
      </w:r>
    </w:p>
    <w:p>
      <w:pPr>
        <w:spacing w:after="0" w:line="50" w:lineRule="exact"/>
        <w:rPr>
          <w:rFonts w:ascii="Arial" w:cs="Arial" w:eastAsia="Arial" w:hAnsi="Arial"/>
          <w:sz w:val="27"/>
          <w:szCs w:val="27"/>
          <w:color w:val="auto"/>
          <w:vertAlign w:val="superscript"/>
        </w:rPr>
      </w:pPr>
    </w:p>
    <w:p>
      <w:pPr>
        <w:ind w:left="660" w:hanging="328"/>
        <w:spacing w:after="0" w:line="182"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The balances represent mainly payments made by GasLog on behalf of the Partnership.</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21" w:lineRule="exact"/>
        <w:rPr>
          <w:sz w:val="20"/>
          <w:szCs w:val="20"/>
          <w:color w:val="auto"/>
        </w:rPr>
      </w:pPr>
    </w:p>
    <w:p>
      <w:pPr>
        <w:ind w:right="160" w:firstLine="324"/>
        <w:spacing w:after="0" w:line="278"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2021. Refer to Note 7 “Borrowings”. As of December 31, 2021, the amount outstanding under the Sponsor Credit Facility was nil. The Sponsor Credit Facility matured in March 2022.</w:t>
      </w:r>
    </w:p>
    <w:p>
      <w:pPr>
        <w:spacing w:after="0" w:line="171" w:lineRule="exact"/>
        <w:rPr>
          <w:sz w:val="20"/>
          <w:szCs w:val="20"/>
          <w:color w:val="auto"/>
        </w:rPr>
      </w:pPr>
    </w:p>
    <w:p>
      <w:pPr>
        <w:ind w:right="340" w:firstLine="324"/>
        <w:spacing w:after="0" w:line="278" w:lineRule="auto"/>
        <w:rPr>
          <w:sz w:val="20"/>
          <w:szCs w:val="20"/>
          <w:color w:val="auto"/>
        </w:rPr>
      </w:pPr>
      <w:r>
        <w:rPr>
          <w:rFonts w:ascii="Arial" w:cs="Arial" w:eastAsia="Arial" w:hAnsi="Arial"/>
          <w:sz w:val="16"/>
          <w:szCs w:val="16"/>
          <w:color w:val="auto"/>
        </w:rPr>
        <w:t>The main terms of the Partnership’s related party transactions, including the commercial management agreements, administrative services agreement and ship management agreements with GasLog and GasLog LNG Services, have been disclosed in the annual consolidated financial statements for the year ended December 31, 2021. Refer to Note 14 “Related Party Transactions”.</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Partnership had the following transactions with such related parties, which have been included in the unaudited condensed consolidated statements of profit or loss for the three months ended March 31, 2021 and 2022:</w:t>
      </w:r>
    </w:p>
    <w:p>
      <w:pPr>
        <w:sectPr>
          <w:pgSz w:w="11900" w:h="16838" w:orient="portrait"/>
          <w:cols w:equalWidth="0" w:num="1">
            <w:col w:w="11240"/>
          </w:cols>
          <w:pgMar w:left="320" w:top="69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Company</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GasLog LNG Services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GasLog</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GasLog LNG Services</w:t>
      </w:r>
    </w:p>
    <w:p>
      <w:pPr>
        <w:spacing w:after="0" w:line="8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GasLog LNG Services GasLog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GasLog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10712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For the three months ended</w:t>
            </w:r>
          </w:p>
        </w:tc>
      </w:tr>
      <w:tr>
        <w:trPr>
          <w:trHeight w:val="202"/>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w:t>
            </w: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214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Details</w:t>
            </w:r>
          </w:p>
        </w:tc>
        <w:tc>
          <w:tcPr>
            <w:tcW w:w="120" w:type="dxa"/>
            <w:vAlign w:val="bottom"/>
          </w:tcPr>
          <w:p>
            <w:pPr>
              <w:spacing w:after="0"/>
              <w:rPr>
                <w:sz w:val="18"/>
                <w:szCs w:val="18"/>
                <w:color w:val="auto"/>
              </w:rPr>
            </w:pPr>
          </w:p>
        </w:tc>
        <w:tc>
          <w:tcPr>
            <w:tcW w:w="23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Account</w:t>
            </w:r>
          </w:p>
        </w:tc>
        <w:tc>
          <w:tcPr>
            <w:tcW w:w="1460" w:type="dxa"/>
            <w:vAlign w:val="bottom"/>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229"/>
        </w:trPr>
        <w:tc>
          <w:tcPr>
            <w:tcW w:w="2140" w:type="dxa"/>
            <w:vAlign w:val="bottom"/>
          </w:tcPr>
          <w:p>
            <w:pPr>
              <w:spacing w:after="0" w:line="228" w:lineRule="exact"/>
              <w:rPr>
                <w:sz w:val="20"/>
                <w:szCs w:val="20"/>
                <w:color w:val="auto"/>
              </w:rPr>
            </w:pPr>
            <w:r>
              <w:rPr>
                <w:rFonts w:ascii="Arial" w:cs="Arial" w:eastAsia="Arial" w:hAnsi="Arial"/>
                <w:sz w:val="16"/>
                <w:szCs w:val="16"/>
                <w:color w:val="auto"/>
                <w:w w:val="90"/>
              </w:rPr>
              <w:t>Commercial management fees</w:t>
            </w:r>
            <w:r>
              <w:rPr>
                <w:rFonts w:ascii="Arial" w:cs="Arial" w:eastAsia="Arial" w:hAnsi="Arial"/>
                <w:sz w:val="26"/>
                <w:szCs w:val="26"/>
                <w:color w:val="auto"/>
                <w:w w:val="90"/>
                <w:vertAlign w:val="superscript"/>
              </w:rPr>
              <w:t>(i)</w:t>
            </w: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General and administrative expenses</w:t>
            </w:r>
          </w:p>
        </w:tc>
        <w:tc>
          <w:tcPr>
            <w:tcW w:w="1220" w:type="dxa"/>
            <w:vAlign w:val="bottom"/>
          </w:tcPr>
          <w:p>
            <w:pPr>
              <w:jc w:val="right"/>
              <w:spacing w:after="0"/>
              <w:rPr>
                <w:sz w:val="20"/>
                <w:szCs w:val="20"/>
                <w:color w:val="auto"/>
              </w:rPr>
            </w:pPr>
            <w:r>
              <w:rPr>
                <w:rFonts w:ascii="Arial" w:cs="Arial" w:eastAsia="Arial" w:hAnsi="Arial"/>
                <w:sz w:val="16"/>
                <w:szCs w:val="16"/>
                <w:color w:val="auto"/>
              </w:rPr>
              <w:t>1,350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1,065</w:t>
            </w:r>
          </w:p>
        </w:tc>
      </w:tr>
      <w:tr>
        <w:trPr>
          <w:trHeight w:val="243"/>
        </w:trPr>
        <w:tc>
          <w:tcPr>
            <w:tcW w:w="2140" w:type="dxa"/>
            <w:vAlign w:val="bottom"/>
          </w:tcPr>
          <w:p>
            <w:pPr>
              <w:spacing w:after="0" w:line="243" w:lineRule="exact"/>
              <w:rPr>
                <w:sz w:val="20"/>
                <w:szCs w:val="20"/>
                <w:color w:val="auto"/>
              </w:rPr>
            </w:pPr>
            <w:r>
              <w:rPr>
                <w:rFonts w:ascii="Arial" w:cs="Arial" w:eastAsia="Arial" w:hAnsi="Arial"/>
                <w:sz w:val="16"/>
                <w:szCs w:val="16"/>
                <w:color w:val="auto"/>
                <w:w w:val="97"/>
              </w:rPr>
              <w:t>Administrative services fees</w:t>
            </w:r>
            <w:r>
              <w:rPr>
                <w:rFonts w:ascii="Arial" w:cs="Arial" w:eastAsia="Arial" w:hAnsi="Arial"/>
                <w:sz w:val="26"/>
                <w:szCs w:val="26"/>
                <w:color w:val="auto"/>
                <w:w w:val="97"/>
                <w:vertAlign w:val="superscript"/>
              </w:rPr>
              <w:t>(ii)</w:t>
            </w: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General and administrative expenses</w:t>
            </w:r>
          </w:p>
        </w:tc>
        <w:tc>
          <w:tcPr>
            <w:tcW w:w="1220" w:type="dxa"/>
            <w:vAlign w:val="bottom"/>
          </w:tcPr>
          <w:p>
            <w:pPr>
              <w:jc w:val="right"/>
              <w:spacing w:after="0"/>
              <w:rPr>
                <w:sz w:val="20"/>
                <w:szCs w:val="20"/>
                <w:color w:val="auto"/>
              </w:rPr>
            </w:pPr>
            <w:r>
              <w:rPr>
                <w:rFonts w:ascii="Arial" w:cs="Arial" w:eastAsia="Arial" w:hAnsi="Arial"/>
                <w:sz w:val="16"/>
                <w:szCs w:val="16"/>
                <w:color w:val="auto"/>
              </w:rPr>
              <w:t>1,177</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2,171</w:t>
            </w:r>
          </w:p>
        </w:tc>
      </w:tr>
      <w:tr>
        <w:trPr>
          <w:trHeight w:val="244"/>
        </w:trPr>
        <w:tc>
          <w:tcPr>
            <w:tcW w:w="2140" w:type="dxa"/>
            <w:vAlign w:val="bottom"/>
          </w:tcPr>
          <w:p>
            <w:pPr>
              <w:spacing w:after="0" w:line="243" w:lineRule="exact"/>
              <w:rPr>
                <w:sz w:val="20"/>
                <w:szCs w:val="20"/>
                <w:color w:val="auto"/>
              </w:rPr>
            </w:pPr>
            <w:r>
              <w:rPr>
                <w:rFonts w:ascii="Arial" w:cs="Arial" w:eastAsia="Arial" w:hAnsi="Arial"/>
                <w:sz w:val="16"/>
                <w:szCs w:val="16"/>
                <w:color w:val="auto"/>
              </w:rPr>
              <w:t>Management fees</w:t>
            </w:r>
            <w:r>
              <w:rPr>
                <w:rFonts w:ascii="Arial" w:cs="Arial" w:eastAsia="Arial" w:hAnsi="Arial"/>
                <w:sz w:val="26"/>
                <w:szCs w:val="26"/>
                <w:color w:val="auto"/>
                <w:vertAlign w:val="superscript"/>
              </w:rPr>
              <w:t>(iii)</w:t>
            </w: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Vessel operating costs</w:t>
            </w:r>
          </w:p>
        </w:tc>
        <w:tc>
          <w:tcPr>
            <w:tcW w:w="1220" w:type="dxa"/>
            <w:vAlign w:val="bottom"/>
          </w:tcPr>
          <w:p>
            <w:pPr>
              <w:jc w:val="right"/>
              <w:spacing w:after="0"/>
              <w:rPr>
                <w:sz w:val="20"/>
                <w:szCs w:val="20"/>
                <w:color w:val="auto"/>
              </w:rPr>
            </w:pPr>
            <w:r>
              <w:rPr>
                <w:rFonts w:ascii="Arial" w:cs="Arial" w:eastAsia="Arial" w:hAnsi="Arial"/>
                <w:sz w:val="16"/>
                <w:szCs w:val="16"/>
                <w:color w:val="auto"/>
              </w:rPr>
              <w:t>1,932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203"/>
        </w:trPr>
        <w:tc>
          <w:tcPr>
            <w:tcW w:w="2140" w:type="dxa"/>
            <w:vAlign w:val="bottom"/>
          </w:tcPr>
          <w:p>
            <w:pPr>
              <w:spacing w:after="0"/>
              <w:rPr>
                <w:sz w:val="20"/>
                <w:szCs w:val="20"/>
                <w:color w:val="auto"/>
              </w:rPr>
            </w:pPr>
            <w:r>
              <w:rPr>
                <w:rFonts w:ascii="Arial" w:cs="Arial" w:eastAsia="Arial" w:hAnsi="Arial"/>
                <w:sz w:val="16"/>
                <w:szCs w:val="16"/>
                <w:color w:val="auto"/>
              </w:rPr>
              <w:t>Other vessel operating costs</w:t>
            </w: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Vessel operating costs</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2140" w:type="dxa"/>
            <w:vAlign w:val="bottom"/>
          </w:tcPr>
          <w:p>
            <w:pPr>
              <w:spacing w:after="0"/>
              <w:rPr>
                <w:sz w:val="20"/>
                <w:szCs w:val="20"/>
                <w:color w:val="auto"/>
              </w:rPr>
            </w:pPr>
            <w:r>
              <w:rPr>
                <w:rFonts w:ascii="Arial" w:cs="Arial" w:eastAsia="Arial" w:hAnsi="Arial"/>
                <w:sz w:val="16"/>
                <w:szCs w:val="16"/>
                <w:color w:val="auto"/>
                <w:w w:val="93"/>
              </w:rPr>
              <w:t>Commitment fee under Sponsor</w:t>
            </w: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Financial costs</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40" w:type="dxa"/>
            <w:vAlign w:val="bottom"/>
          </w:tcPr>
          <w:p>
            <w:pPr>
              <w:spacing w:after="0"/>
              <w:rPr>
                <w:sz w:val="20"/>
                <w:szCs w:val="20"/>
                <w:color w:val="auto"/>
              </w:rPr>
            </w:pPr>
            <w:r>
              <w:rPr>
                <w:rFonts w:ascii="Arial" w:cs="Arial" w:eastAsia="Arial" w:hAnsi="Arial"/>
                <w:sz w:val="16"/>
                <w:szCs w:val="16"/>
                <w:color w:val="auto"/>
              </w:rPr>
              <w:t>Credit Facility</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140" w:type="dxa"/>
            <w:vAlign w:val="bottom"/>
          </w:tcPr>
          <w:p>
            <w:pPr>
              <w:spacing w:after="0"/>
              <w:rPr>
                <w:sz w:val="20"/>
                <w:szCs w:val="20"/>
                <w:color w:val="auto"/>
              </w:rPr>
            </w:pPr>
            <w:r>
              <w:rPr>
                <w:rFonts w:ascii="Arial" w:cs="Arial" w:eastAsia="Arial" w:hAnsi="Arial"/>
                <w:sz w:val="16"/>
                <w:szCs w:val="16"/>
                <w:color w:val="auto"/>
              </w:rPr>
              <w:t>Realized loss on interest rate</w:t>
            </w: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Gain on derivatives</w:t>
            </w:r>
          </w:p>
        </w:tc>
        <w:tc>
          <w:tcPr>
            <w:tcW w:w="1220" w:type="dxa"/>
            <w:vAlign w:val="bottom"/>
          </w:tcPr>
          <w:p>
            <w:pPr>
              <w:jc w:val="right"/>
              <w:spacing w:after="0"/>
              <w:rPr>
                <w:sz w:val="20"/>
                <w:szCs w:val="20"/>
                <w:color w:val="auto"/>
              </w:rPr>
            </w:pPr>
            <w:r>
              <w:rPr>
                <w:rFonts w:ascii="Arial" w:cs="Arial" w:eastAsia="Arial" w:hAnsi="Arial"/>
                <w:sz w:val="16"/>
                <w:szCs w:val="16"/>
                <w:color w:val="auto"/>
              </w:rPr>
              <w:t>1,319</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06"/>
        </w:trPr>
        <w:tc>
          <w:tcPr>
            <w:tcW w:w="2140" w:type="dxa"/>
            <w:vAlign w:val="bottom"/>
          </w:tcPr>
          <w:p>
            <w:pPr>
              <w:spacing w:after="0"/>
              <w:rPr>
                <w:sz w:val="20"/>
                <w:szCs w:val="20"/>
                <w:color w:val="auto"/>
              </w:rPr>
            </w:pPr>
            <w:r>
              <w:rPr>
                <w:rFonts w:ascii="Arial" w:cs="Arial" w:eastAsia="Arial" w:hAnsi="Arial"/>
                <w:sz w:val="16"/>
                <w:szCs w:val="16"/>
                <w:color w:val="auto"/>
                <w:w w:val="93"/>
              </w:rPr>
              <w:t>swaps held for trading (Note 13)</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-792480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-509905</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-1109980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20"/>
            <w:col w:w="8880"/>
          </w:cols>
          <w:pgMar w:left="320" w:top="697"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8"/>
          <w:szCs w:val="8"/>
          <w:color w:val="auto"/>
        </w:rPr>
      </w:pPr>
      <w:r>
        <w:rPr>
          <w:rFonts w:ascii="Arial" w:cs="Arial" w:eastAsia="Arial" w:hAnsi="Arial"/>
          <w:sz w:val="12"/>
          <w:szCs w:val="12"/>
          <w:color w:val="auto"/>
        </w:rPr>
        <w:t>Effective January 1, 2022, the annual commercial management fee changed from $360 for each vessel to a fixed commission of 1.25% on the annual gross charter revenues of each vessel.</w:t>
      </w:r>
    </w:p>
    <w:p>
      <w:pPr>
        <w:spacing w:after="0" w:line="226" w:lineRule="exact"/>
        <w:rPr>
          <w:rFonts w:ascii="Arial" w:cs="Arial" w:eastAsia="Arial" w:hAnsi="Arial"/>
          <w:sz w:val="8"/>
          <w:szCs w:val="8"/>
          <w:color w:val="auto"/>
        </w:rPr>
      </w:pPr>
    </w:p>
    <w:p>
      <w:pPr>
        <w:ind w:left="340" w:hanging="332"/>
        <w:spacing w:after="0"/>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Effective January 1, 2022, the annual administrative services fee was changed to $579 per vessel, from $314 effective since January 1, 2021.</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26" w:name="page27"/>
    <w:bookmarkEnd w:id="26"/>
    <w:p>
      <w:pPr>
        <w:ind w:left="340" w:hanging="332"/>
        <w:spacing w:after="0"/>
        <w:tabs>
          <w:tab w:leader="none" w:pos="340" w:val="left"/>
        </w:tabs>
        <w:numPr>
          <w:ilvl w:val="0"/>
          <w:numId w:val="14"/>
        </w:numPr>
        <w:rPr>
          <w:rFonts w:ascii="Arial" w:cs="Arial" w:eastAsia="Arial" w:hAnsi="Arial"/>
          <w:sz w:val="9"/>
          <w:szCs w:val="9"/>
          <w:color w:val="auto"/>
        </w:rPr>
      </w:pPr>
      <w:r>
        <w:rPr>
          <w:rFonts w:ascii="Arial" w:cs="Arial" w:eastAsia="Arial" w:hAnsi="Arial"/>
          <w:sz w:val="14"/>
          <w:szCs w:val="14"/>
          <w:color w:val="auto"/>
        </w:rPr>
        <w:t>Effective January 1, 2022, the management fee was changed to $37.5 per vessel per month (from $46 per vessel per month).</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Tangible Fixed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 in tangible fixed assets (i.e. vessels and their associated depot spares) is reported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Other tangible</w:t>
            </w:r>
          </w:p>
        </w:tc>
        <w:tc>
          <w:tcPr>
            <w:tcW w:w="13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Total tangible fixed</w:t>
            </w:r>
          </w:p>
        </w:tc>
      </w:tr>
      <w:tr>
        <w:trPr>
          <w:trHeight w:val="213"/>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40" w:type="dxa"/>
            <w:vAlign w:val="bottom"/>
            <w:gridSpan w:val="2"/>
          </w:tcPr>
          <w:p>
            <w:pPr>
              <w:ind w:left="460"/>
              <w:spacing w:after="0"/>
              <w:rPr>
                <w:sz w:val="20"/>
                <w:szCs w:val="20"/>
                <w:color w:val="auto"/>
              </w:rPr>
            </w:pPr>
            <w:r>
              <w:rPr>
                <w:rFonts w:ascii="Arial" w:cs="Arial" w:eastAsia="Arial" w:hAnsi="Arial"/>
                <w:sz w:val="16"/>
                <w:szCs w:val="16"/>
                <w:b w:val="1"/>
                <w:bCs w:val="1"/>
                <w:color w:val="auto"/>
              </w:rPr>
              <w:t>Vessels</w:t>
            </w:r>
          </w:p>
        </w:tc>
        <w:tc>
          <w:tcPr>
            <w:tcW w:w="14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assets</w:t>
            </w:r>
          </w:p>
        </w:tc>
        <w:tc>
          <w:tcPr>
            <w:tcW w:w="13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76"/>
              </w:rPr>
              <w:t>assets</w:t>
            </w:r>
          </w:p>
        </w:tc>
      </w:tr>
      <w:tr>
        <w:trPr>
          <w:trHeight w:val="158"/>
        </w:trPr>
        <w:tc>
          <w:tcPr>
            <w:tcW w:w="6780" w:type="dxa"/>
            <w:vAlign w:val="bottom"/>
            <w:tcBorders>
              <w:top w:val="single" w:sz="8" w:color="E5FFFF"/>
            </w:tcBorders>
            <w:gridSpan w:val="4"/>
            <w:shd w:val="clear" w:color="auto" w:fill="E5FFFF"/>
          </w:tcPr>
          <w:p>
            <w:pPr>
              <w:spacing w:after="0" w:line="158" w:lineRule="exact"/>
              <w:rPr>
                <w:sz w:val="20"/>
                <w:szCs w:val="20"/>
                <w:color w:val="auto"/>
              </w:rPr>
            </w:pPr>
            <w:r>
              <w:rPr>
                <w:rFonts w:ascii="Arial" w:cs="Arial" w:eastAsia="Arial" w:hAnsi="Arial"/>
                <w:sz w:val="16"/>
                <w:szCs w:val="16"/>
                <w:b w:val="1"/>
                <w:bCs w:val="1"/>
                <w:color w:val="auto"/>
              </w:rPr>
              <w:t>Cost</w:t>
            </w:r>
          </w:p>
        </w:tc>
        <w:tc>
          <w:tcPr>
            <w:tcW w:w="1420" w:type="dxa"/>
            <w:vAlign w:val="bottom"/>
            <w:tcBorders>
              <w:top w:val="single" w:sz="8" w:color="auto"/>
            </w:tcBorders>
            <w:shd w:val="clear" w:color="auto" w:fill="E5FFFF"/>
          </w:tcPr>
          <w:p>
            <w:pPr>
              <w:spacing w:after="0"/>
              <w:rPr>
                <w:sz w:val="13"/>
                <w:szCs w:val="13"/>
                <w:color w:val="auto"/>
              </w:rPr>
            </w:pPr>
          </w:p>
        </w:tc>
        <w:tc>
          <w:tcPr>
            <w:tcW w:w="220" w:type="dxa"/>
            <w:vAlign w:val="bottom"/>
            <w:tcBorders>
              <w:top w:val="single" w:sz="8" w:color="E5FFFF"/>
            </w:tcBorders>
            <w:shd w:val="clear" w:color="auto" w:fill="E5FFFF"/>
          </w:tcPr>
          <w:p>
            <w:pPr>
              <w:spacing w:after="0"/>
              <w:rPr>
                <w:sz w:val="13"/>
                <w:szCs w:val="13"/>
                <w:color w:val="auto"/>
              </w:rPr>
            </w:pPr>
          </w:p>
        </w:tc>
        <w:tc>
          <w:tcPr>
            <w:tcW w:w="1220" w:type="dxa"/>
            <w:vAlign w:val="bottom"/>
            <w:tcBorders>
              <w:top w:val="single" w:sz="8" w:color="auto"/>
            </w:tcBorders>
            <w:shd w:val="clear" w:color="auto" w:fill="E5FFFF"/>
          </w:tcPr>
          <w:p>
            <w:pPr>
              <w:spacing w:after="0"/>
              <w:rPr>
                <w:sz w:val="13"/>
                <w:szCs w:val="13"/>
                <w:color w:val="auto"/>
              </w:rPr>
            </w:pPr>
          </w:p>
        </w:tc>
        <w:tc>
          <w:tcPr>
            <w:tcW w:w="220" w:type="dxa"/>
            <w:vAlign w:val="bottom"/>
            <w:tcBorders>
              <w:top w:val="single" w:sz="8" w:color="E5FFFF"/>
            </w:tcBorders>
            <w:shd w:val="clear" w:color="auto" w:fill="E5FFFF"/>
          </w:tcPr>
          <w:p>
            <w:pPr>
              <w:spacing w:after="0"/>
              <w:rPr>
                <w:sz w:val="13"/>
                <w:szCs w:val="13"/>
                <w:color w:val="auto"/>
              </w:rPr>
            </w:pPr>
          </w:p>
        </w:tc>
        <w:tc>
          <w:tcPr>
            <w:tcW w:w="1340" w:type="dxa"/>
            <w:vAlign w:val="bottom"/>
            <w:tcBorders>
              <w:top w:val="single" w:sz="8" w:color="auto"/>
            </w:tcBorders>
            <w:shd w:val="clear" w:color="auto" w:fill="E5FFFF"/>
          </w:tcPr>
          <w:p>
            <w:pPr>
              <w:spacing w:after="0"/>
              <w:rPr>
                <w:sz w:val="13"/>
                <w:szCs w:val="13"/>
                <w:color w:val="auto"/>
              </w:rPr>
            </w:pPr>
          </w:p>
        </w:tc>
        <w:tc>
          <w:tcPr>
            <w:tcW w:w="40" w:type="dxa"/>
            <w:vAlign w:val="bottom"/>
            <w:tcBorders>
              <w:top w:val="single" w:sz="8" w:color="E5FFFF"/>
            </w:tcBorders>
            <w:shd w:val="clear" w:color="auto" w:fill="E5FFFF"/>
          </w:tcPr>
          <w:p>
            <w:pPr>
              <w:spacing w:after="0"/>
              <w:rPr>
                <w:sz w:val="13"/>
                <w:szCs w:val="13"/>
                <w:color w:val="auto"/>
              </w:rPr>
            </w:pPr>
          </w:p>
        </w:tc>
      </w:tr>
      <w:tr>
        <w:trPr>
          <w:trHeight w:val="21"/>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4960" w:type="dxa"/>
            <w:vAlign w:val="bottom"/>
            <w:tcBorders>
              <w:top w:val="single" w:sz="8" w:color="E5FFFF"/>
            </w:tcBorders>
            <w:shd w:val="clear" w:color="auto" w:fill="E5FFFF"/>
          </w:tcPr>
          <w:p>
            <w:pPr>
              <w:spacing w:after="0" w:line="20" w:lineRule="exact"/>
              <w:rPr>
                <w:sz w:val="1"/>
                <w:szCs w:val="1"/>
                <w:color w:val="auto"/>
              </w:rPr>
            </w:pPr>
          </w:p>
        </w:tc>
        <w:tc>
          <w:tcPr>
            <w:tcW w:w="142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22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Borders>
              <w:top w:val="single" w:sz="8" w:color="E5FFFF"/>
            </w:tcBorders>
            <w:shd w:val="clear" w:color="auto" w:fill="E5FFFF"/>
          </w:tcPr>
          <w:p>
            <w:pPr>
              <w:spacing w:after="0" w:line="20" w:lineRule="exact"/>
              <w:rPr>
                <w:sz w:val="1"/>
                <w:szCs w:val="1"/>
                <w:color w:val="auto"/>
              </w:rPr>
            </w:pPr>
          </w:p>
        </w:tc>
      </w:tr>
      <w:tr>
        <w:trPr>
          <w:trHeight w:val="203"/>
        </w:trPr>
        <w:tc>
          <w:tcPr>
            <w:tcW w:w="6780" w:type="dxa"/>
            <w:vAlign w:val="bottom"/>
            <w:gridSpan w:val="4"/>
          </w:tcPr>
          <w:p>
            <w:pPr>
              <w:spacing w:after="0"/>
              <w:rPr>
                <w:sz w:val="20"/>
                <w:szCs w:val="20"/>
                <w:color w:val="auto"/>
              </w:rPr>
            </w:pPr>
            <w:r>
              <w:rPr>
                <w:rFonts w:ascii="Arial" w:cs="Arial" w:eastAsia="Arial" w:hAnsi="Arial"/>
                <w:sz w:val="16"/>
                <w:szCs w:val="16"/>
                <w:color w:val="auto"/>
              </w:rPr>
              <w:t>As of January 1, 2022</w:t>
            </w:r>
          </w:p>
        </w:tc>
        <w:tc>
          <w:tcPr>
            <w:tcW w:w="1420" w:type="dxa"/>
            <w:vAlign w:val="bottom"/>
          </w:tcPr>
          <w:p>
            <w:pPr>
              <w:jc w:val="right"/>
              <w:spacing w:after="0"/>
              <w:rPr>
                <w:sz w:val="20"/>
                <w:szCs w:val="20"/>
                <w:color w:val="auto"/>
              </w:rPr>
            </w:pPr>
            <w:r>
              <w:rPr>
                <w:rFonts w:ascii="Arial" w:cs="Arial" w:eastAsia="Arial" w:hAnsi="Arial"/>
                <w:sz w:val="16"/>
                <w:szCs w:val="16"/>
                <w:color w:val="auto"/>
              </w:rPr>
              <w:t>2,681,095</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4,089</w:t>
            </w:r>
          </w:p>
        </w:tc>
        <w:tc>
          <w:tcPr>
            <w:tcW w:w="1340" w:type="dxa"/>
            <w:vAlign w:val="bottom"/>
          </w:tcPr>
          <w:p>
            <w:pPr>
              <w:jc w:val="right"/>
              <w:spacing w:after="0"/>
              <w:rPr>
                <w:sz w:val="20"/>
                <w:szCs w:val="20"/>
                <w:color w:val="auto"/>
              </w:rPr>
            </w:pPr>
            <w:r>
              <w:rPr>
                <w:rFonts w:ascii="Arial" w:cs="Arial" w:eastAsia="Arial" w:hAnsi="Arial"/>
                <w:sz w:val="16"/>
                <w:szCs w:val="16"/>
                <w:color w:val="auto"/>
              </w:rPr>
              <w:t>2,685,184</w:t>
            </w:r>
          </w:p>
        </w:tc>
        <w:tc>
          <w:tcPr>
            <w:tcW w:w="40" w:type="dxa"/>
            <w:vAlign w:val="bottom"/>
          </w:tcPr>
          <w:p>
            <w:pPr>
              <w:spacing w:after="0"/>
              <w:rPr>
                <w:sz w:val="17"/>
                <w:szCs w:val="17"/>
                <w:color w:val="auto"/>
              </w:rPr>
            </w:pPr>
          </w:p>
        </w:tc>
      </w:tr>
      <w:tr>
        <w:trPr>
          <w:trHeight w:val="216"/>
        </w:trPr>
        <w:tc>
          <w:tcPr>
            <w:tcW w:w="67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371</w:t>
            </w:r>
          </w:p>
        </w:tc>
        <w:tc>
          <w:tcPr>
            <w:tcW w:w="2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396</w:t>
            </w:r>
          </w:p>
        </w:tc>
        <w:tc>
          <w:tcPr>
            <w:tcW w:w="40" w:type="dxa"/>
            <w:vAlign w:val="bottom"/>
            <w:shd w:val="clear" w:color="auto" w:fill="E5FFFF"/>
          </w:tcPr>
          <w:p>
            <w:pPr>
              <w:spacing w:after="0"/>
              <w:rPr>
                <w:sz w:val="18"/>
                <w:szCs w:val="18"/>
                <w:color w:val="auto"/>
              </w:rPr>
            </w:pPr>
          </w:p>
        </w:tc>
      </w:tr>
      <w:tr>
        <w:trPr>
          <w:trHeight w:val="196"/>
        </w:trPr>
        <w:tc>
          <w:tcPr>
            <w:tcW w:w="678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As of March 31,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2,681,466</w:t>
            </w:r>
          </w:p>
        </w:tc>
        <w:tc>
          <w:tcPr>
            <w:tcW w:w="2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4,114</w:t>
            </w:r>
          </w:p>
        </w:tc>
        <w:tc>
          <w:tcPr>
            <w:tcW w:w="2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2,685,580</w:t>
            </w:r>
          </w:p>
        </w:tc>
        <w:tc>
          <w:tcPr>
            <w:tcW w:w="40" w:type="dxa"/>
            <w:vAlign w:val="bottom"/>
            <w:tcBorders>
              <w:bottom w:val="single" w:sz="8" w:color="E5FFFF"/>
            </w:tcBorders>
          </w:tcPr>
          <w:p>
            <w:pPr>
              <w:spacing w:after="0"/>
              <w:rPr>
                <w:sz w:val="17"/>
                <w:szCs w:val="17"/>
                <w:color w:val="auto"/>
              </w:rPr>
            </w:pPr>
          </w:p>
        </w:tc>
      </w:tr>
      <w:tr>
        <w:trPr>
          <w:trHeight w:val="196"/>
        </w:trPr>
        <w:tc>
          <w:tcPr>
            <w:tcW w:w="3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49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r>
      <w:tr>
        <w:trPr>
          <w:trHeight w:val="162"/>
        </w:trPr>
        <w:tc>
          <w:tcPr>
            <w:tcW w:w="6780" w:type="dxa"/>
            <w:vAlign w:val="bottom"/>
            <w:gridSpan w:val="4"/>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67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As of January 1, 2022</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796,601</w:t>
            </w:r>
          </w:p>
        </w:tc>
        <w:tc>
          <w:tcPr>
            <w:tcW w:w="2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796,601</w:t>
            </w:r>
          </w:p>
        </w:tc>
        <w:tc>
          <w:tcPr>
            <w:tcW w:w="40" w:type="dxa"/>
            <w:vAlign w:val="bottom"/>
            <w:shd w:val="clear" w:color="auto" w:fill="E5FFFF"/>
          </w:tcPr>
          <w:p>
            <w:pPr>
              <w:spacing w:after="0"/>
              <w:rPr>
                <w:sz w:val="17"/>
                <w:szCs w:val="17"/>
                <w:color w:val="auto"/>
              </w:rPr>
            </w:pPr>
          </w:p>
        </w:tc>
      </w:tr>
      <w:tr>
        <w:trPr>
          <w:trHeight w:val="213"/>
        </w:trPr>
        <w:tc>
          <w:tcPr>
            <w:tcW w:w="6780" w:type="dxa"/>
            <w:vAlign w:val="bottom"/>
            <w:gridSpan w:val="4"/>
          </w:tcPr>
          <w:p>
            <w:pPr>
              <w:spacing w:after="0"/>
              <w:rPr>
                <w:sz w:val="20"/>
                <w:szCs w:val="20"/>
                <w:color w:val="auto"/>
              </w:rPr>
            </w:pPr>
            <w:r>
              <w:rPr>
                <w:rFonts w:ascii="Arial" w:cs="Arial" w:eastAsia="Arial" w:hAnsi="Arial"/>
                <w:sz w:val="16"/>
                <w:szCs w:val="16"/>
                <w:color w:val="auto"/>
              </w:rPr>
              <w:t>Depreciation expense</w:t>
            </w:r>
          </w:p>
        </w:tc>
        <w:tc>
          <w:tcPr>
            <w:tcW w:w="1420" w:type="dxa"/>
            <w:vAlign w:val="bottom"/>
          </w:tcPr>
          <w:p>
            <w:pPr>
              <w:jc w:val="right"/>
              <w:spacing w:after="0"/>
              <w:rPr>
                <w:sz w:val="20"/>
                <w:szCs w:val="20"/>
                <w:color w:val="auto"/>
              </w:rPr>
            </w:pPr>
            <w:r>
              <w:rPr>
                <w:rFonts w:ascii="Arial" w:cs="Arial" w:eastAsia="Arial" w:hAnsi="Arial"/>
                <w:sz w:val="16"/>
                <w:szCs w:val="16"/>
                <w:color w:val="auto"/>
              </w:rPr>
              <w:t>17,719</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17,719</w:t>
            </w:r>
          </w:p>
        </w:tc>
        <w:tc>
          <w:tcPr>
            <w:tcW w:w="40" w:type="dxa"/>
            <w:vAlign w:val="bottom"/>
          </w:tcPr>
          <w:p>
            <w:pPr>
              <w:spacing w:after="0"/>
              <w:rPr>
                <w:sz w:val="18"/>
                <w:szCs w:val="18"/>
                <w:color w:val="auto"/>
              </w:rPr>
            </w:pPr>
          </w:p>
        </w:tc>
      </w:tr>
      <w:tr>
        <w:trPr>
          <w:trHeight w:val="199"/>
        </w:trPr>
        <w:tc>
          <w:tcPr>
            <w:tcW w:w="678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2022</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814,320</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814,320</w:t>
            </w:r>
          </w:p>
        </w:tc>
        <w:tc>
          <w:tcPr>
            <w:tcW w:w="40" w:type="dxa"/>
            <w:vAlign w:val="bottom"/>
            <w:tcBorders>
              <w:top w:val="single" w:sz="8" w:color="E5FFFF"/>
            </w:tcBorders>
            <w:shd w:val="clear" w:color="auto" w:fill="E5FFFF"/>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6780" w:type="dxa"/>
            <w:vAlign w:val="bottom"/>
            <w:gridSpan w:val="4"/>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4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r>
      <w:tr>
        <w:trPr>
          <w:trHeight w:val="21"/>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auto"/>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4960" w:type="dxa"/>
            <w:vAlign w:val="bottom"/>
            <w:tcBorders>
              <w:top w:val="single" w:sz="8" w:color="E5FFFF"/>
            </w:tcBorders>
            <w:shd w:val="clear" w:color="auto" w:fill="E5FFFF"/>
          </w:tcPr>
          <w:p>
            <w:pPr>
              <w:spacing w:after="0" w:line="20" w:lineRule="exact"/>
              <w:rPr>
                <w:sz w:val="1"/>
                <w:szCs w:val="1"/>
                <w:color w:val="auto"/>
              </w:rPr>
            </w:pPr>
          </w:p>
        </w:tc>
        <w:tc>
          <w:tcPr>
            <w:tcW w:w="142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22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Borders>
              <w:top w:val="single" w:sz="8" w:color="E5FFFF"/>
            </w:tcBorders>
            <w:shd w:val="clear" w:color="auto" w:fill="E5FFFF"/>
          </w:tcPr>
          <w:p>
            <w:pPr>
              <w:spacing w:after="0" w:line="20" w:lineRule="exact"/>
              <w:rPr>
                <w:sz w:val="1"/>
                <w:szCs w:val="1"/>
                <w:color w:val="auto"/>
              </w:rPr>
            </w:pPr>
          </w:p>
        </w:tc>
      </w:tr>
      <w:tr>
        <w:trPr>
          <w:trHeight w:val="213"/>
        </w:trPr>
        <w:tc>
          <w:tcPr>
            <w:tcW w:w="678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 2021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1,884,494</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4,089</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1,888,583</w:t>
            </w:r>
          </w:p>
        </w:tc>
        <w:tc>
          <w:tcPr>
            <w:tcW w:w="40" w:type="dxa"/>
            <w:vAlign w:val="bottom"/>
          </w:tcPr>
          <w:p>
            <w:pPr>
              <w:spacing w:after="0"/>
              <w:rPr>
                <w:sz w:val="18"/>
                <w:szCs w:val="18"/>
                <w:color w:val="auto"/>
              </w:rPr>
            </w:pPr>
          </w:p>
        </w:tc>
      </w:tr>
      <w:tr>
        <w:trPr>
          <w:trHeight w:val="209"/>
        </w:trPr>
        <w:tc>
          <w:tcPr>
            <w:tcW w:w="678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2022</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1,867,146</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4,114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1,871,260</w:t>
            </w: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vessels have been pledged as collateral under the terms of the Partnership’s credit facilities.</w:t>
      </w:r>
    </w:p>
    <w:p>
      <w:pPr>
        <w:spacing w:after="0" w:line="2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As of March 31, 2022, the Partnership concluded that there were no events or circumstances triggering the existence of potential impairment or reversal of impairment of its vessels.</w:t>
      </w:r>
    </w:p>
    <w:p>
      <w:pPr>
        <w:sectPr>
          <w:pgSz w:w="11900" w:h="16838" w:orient="portrait"/>
          <w:cols w:equalWidth="0" w:num="1">
            <w:col w:w="11240"/>
          </w:cols>
          <w:pgMar w:left="320" w:top="904"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movements in right-of-use assets are reported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Right-of-Use Assets</w:t>
      </w:r>
    </w:p>
    <w:p>
      <w:pPr>
        <w:spacing w:after="0" w:line="32"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As of January 1, 2022</w:t>
      </w:r>
    </w:p>
    <w:p>
      <w:pPr>
        <w:spacing w:after="0" w:line="26"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Additions</w:t>
      </w:r>
    </w:p>
    <w:p>
      <w:pPr>
        <w:spacing w:after="0" w:line="19"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Depreciation expense</w:t>
      </w:r>
    </w:p>
    <w:p>
      <w:pPr>
        <w:spacing w:after="0" w:line="24" w:lineRule="exact"/>
        <w:rPr>
          <w:sz w:val="20"/>
          <w:szCs w:val="20"/>
          <w:color w:val="auto"/>
        </w:rPr>
      </w:pPr>
    </w:p>
    <w:p>
      <w:pPr>
        <w:jc w:val="center"/>
        <w:ind w:left="860"/>
        <w:spacing w:after="0"/>
        <w:rPr>
          <w:sz w:val="20"/>
          <w:szCs w:val="20"/>
          <w:color w:val="auto"/>
        </w:rPr>
      </w:pPr>
      <w:r>
        <w:rPr>
          <w:rFonts w:ascii="Arial" w:cs="Arial" w:eastAsia="Arial" w:hAnsi="Arial"/>
          <w:sz w:val="16"/>
          <w:szCs w:val="16"/>
          <w:b w:val="1"/>
          <w:bCs w:val="1"/>
          <w:color w:val="auto"/>
        </w:rPr>
        <w:t>As of March 31, 2022</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the lease liabilities is as follows:</w:t>
      </w:r>
    </w:p>
    <w:p>
      <w:pPr>
        <w:spacing w:after="0" w:line="200" w:lineRule="exact"/>
        <w:rPr>
          <w:sz w:val="20"/>
          <w:szCs w:val="20"/>
          <w:color w:val="auto"/>
        </w:rPr>
      </w:pPr>
    </w:p>
    <w:p>
      <w:pPr>
        <w:spacing w:after="0" w:line="247"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As of January 1, 2022</w:t>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Additions</w:t>
      </w:r>
    </w:p>
    <w:p>
      <w:pPr>
        <w:spacing w:after="0" w:line="1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Interest expense on leases (Note 13)</w:t>
      </w:r>
    </w:p>
    <w:p>
      <w:pPr>
        <w:spacing w:after="0" w:line="1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Payments</w:t>
      </w:r>
    </w:p>
    <w:p>
      <w:pPr>
        <w:spacing w:after="0" w:line="24"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As of March 31, 2022</w:t>
      </w:r>
    </w:p>
    <w:p>
      <w:pPr>
        <w:spacing w:after="0" w:line="5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Lease liabilities—current portion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Lease liabilities—non-current portion</w:t>
      </w:r>
    </w:p>
    <w:p>
      <w:pPr>
        <w:spacing w:after="0" w:line="24"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Total</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Partners’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Vessels’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4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Vessel</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Equipment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Total</w:t>
            </w:r>
          </w:p>
        </w:tc>
      </w:tr>
      <w:tr>
        <w:trPr>
          <w:trHeight w:val="189"/>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81,651</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345</w:t>
            </w:r>
          </w:p>
        </w:tc>
        <w:tc>
          <w:tcPr>
            <w:tcW w:w="10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81,996</w:t>
            </w:r>
          </w:p>
        </w:tc>
        <w:tc>
          <w:tcPr>
            <w:tcW w:w="60" w:type="dxa"/>
            <w:vAlign w:val="bottom"/>
          </w:tcPr>
          <w:p>
            <w:pPr>
              <w:spacing w:after="0"/>
              <w:rPr>
                <w:sz w:val="16"/>
                <w:szCs w:val="16"/>
                <w:color w:val="auto"/>
              </w:rPr>
            </w:pPr>
          </w:p>
        </w:tc>
      </w:tr>
      <w:tr>
        <w:trPr>
          <w:trHeight w:val="203"/>
        </w:trPr>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7"/>
                <w:szCs w:val="17"/>
                <w:color w:val="auto"/>
              </w:rPr>
            </w:pPr>
          </w:p>
        </w:tc>
      </w:tr>
      <w:tr>
        <w:trPr>
          <w:trHeight w:val="223"/>
        </w:trPr>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(4,178)</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(4,268)</w:t>
            </w:r>
          </w:p>
        </w:tc>
      </w:tr>
      <w:tr>
        <w:trPr>
          <w:trHeight w:val="210"/>
        </w:trPr>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77,473</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77,773</w:t>
            </w:r>
          </w:p>
        </w:tc>
        <w:tc>
          <w:tcPr>
            <w:tcW w:w="60" w:type="dxa"/>
            <w:vAlign w:val="bottom"/>
          </w:tcPr>
          <w:p>
            <w:pPr>
              <w:spacing w:after="0"/>
              <w:rPr>
                <w:sz w:val="18"/>
                <w:szCs w:val="18"/>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-307975</wp:posOffset>
            </wp:positionV>
            <wp:extent cx="42773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-573405</wp:posOffset>
            </wp:positionV>
            <wp:extent cx="42773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ind w:right="2300"/>
        <w:spacing w:after="0"/>
        <w:rPr>
          <w:sz w:val="20"/>
          <w:szCs w:val="20"/>
          <w:color w:val="auto"/>
        </w:rPr>
      </w:pPr>
      <w:r>
        <w:rPr>
          <w:rFonts w:ascii="Arial" w:cs="Arial" w:eastAsia="Arial" w:hAnsi="Arial"/>
          <w:sz w:val="16"/>
          <w:szCs w:val="16"/>
          <w:b w:val="1"/>
          <w:bCs w:val="1"/>
          <w:u w:val="single" w:color="auto"/>
          <w:color w:val="auto"/>
        </w:rPr>
        <w:t>Lease Liabilities</w:t>
      </w:r>
    </w:p>
    <w:p>
      <w:pPr>
        <w:spacing w:after="0" w:line="32" w:lineRule="exact"/>
        <w:rPr>
          <w:sz w:val="20"/>
          <w:szCs w:val="20"/>
          <w:color w:val="auto"/>
        </w:rPr>
      </w:pPr>
    </w:p>
    <w:p>
      <w:pPr>
        <w:jc w:val="right"/>
        <w:ind w:right="2300"/>
        <w:spacing w:after="0"/>
        <w:rPr>
          <w:sz w:val="20"/>
          <w:szCs w:val="20"/>
          <w:color w:val="auto"/>
        </w:rPr>
      </w:pPr>
      <w:r>
        <w:rPr>
          <w:rFonts w:ascii="Arial" w:cs="Arial" w:eastAsia="Arial" w:hAnsi="Arial"/>
          <w:sz w:val="16"/>
          <w:szCs w:val="16"/>
          <w:b w:val="1"/>
          <w:bCs w:val="1"/>
          <w:color w:val="auto"/>
        </w:rPr>
        <w:t>55,898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-116205</wp:posOffset>
            </wp:positionV>
            <wp:extent cx="42773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6" w:lineRule="exact"/>
        <w:rPr>
          <w:sz w:val="20"/>
          <w:szCs w:val="20"/>
          <w:color w:val="auto"/>
        </w:rPr>
      </w:pPr>
    </w:p>
    <w:p>
      <w:pPr>
        <w:jc w:val="right"/>
        <w:ind w:right="2300"/>
        <w:spacing w:after="0"/>
        <w:rPr>
          <w:sz w:val="20"/>
          <w:szCs w:val="20"/>
          <w:color w:val="auto"/>
        </w:rPr>
      </w:pPr>
      <w:r>
        <w:rPr>
          <w:rFonts w:ascii="Arial" w:cs="Arial" w:eastAsia="Arial" w:hAnsi="Arial"/>
          <w:sz w:val="16"/>
          <w:szCs w:val="16"/>
          <w:color w:val="auto"/>
        </w:rPr>
        <w:t>45</w:t>
      </w:r>
    </w:p>
    <w:p>
      <w:pPr>
        <w:spacing w:after="0" w:line="19" w:lineRule="exact"/>
        <w:rPr>
          <w:sz w:val="20"/>
          <w:szCs w:val="20"/>
          <w:color w:val="auto"/>
        </w:rPr>
      </w:pPr>
    </w:p>
    <w:p>
      <w:pPr>
        <w:jc w:val="right"/>
        <w:ind w:right="2300"/>
        <w:spacing w:after="0"/>
        <w:rPr>
          <w:sz w:val="20"/>
          <w:szCs w:val="20"/>
          <w:color w:val="auto"/>
        </w:rPr>
      </w:pPr>
      <w:r>
        <w:rPr>
          <w:rFonts w:ascii="Arial" w:cs="Arial" w:eastAsia="Arial" w:hAnsi="Arial"/>
          <w:sz w:val="16"/>
          <w:szCs w:val="16"/>
          <w:color w:val="auto"/>
        </w:rPr>
        <w:t>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-112395</wp:posOffset>
            </wp:positionV>
            <wp:extent cx="42773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spacing w:after="0" w:line="8"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auto"/>
        </w:rPr>
        <w:t>(2,962)</w:t>
      </w:r>
    </w:p>
    <w:p>
      <w:pPr>
        <w:spacing w:after="0" w:line="28"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53,392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-116205</wp:posOffset>
            </wp:positionV>
            <wp:extent cx="427736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16"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10,406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17780</wp:posOffset>
            </wp:positionV>
            <wp:extent cx="42773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12"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42,986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17780</wp:posOffset>
            </wp:positionV>
            <wp:extent cx="711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53,392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20320</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1132840</wp:posOffset>
            </wp:positionH>
            <wp:positionV relativeFrom="paragraph">
              <wp:posOffset>37465</wp:posOffset>
            </wp:positionV>
            <wp:extent cx="711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5320" w:space="720"/>
            <w:col w:w="5200"/>
          </w:cols>
          <w:pgMar w:left="320" w:top="904" w:right="339" w:bottom="1440" w:gutter="0" w:footer="0" w:header="0"/>
          <w:type w:val="continuous"/>
        </w:sectPr>
      </w:pP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Partnership’s cash distributions for the three months ended March 31, 2022 are presented in the following table:</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Type of units</w:t>
            </w:r>
          </w:p>
        </w:tc>
        <w:tc>
          <w:tcPr>
            <w:tcW w:w="2420" w:type="dxa"/>
            <w:vAlign w:val="bottom"/>
            <w:gridSpan w:val="2"/>
          </w:tcPr>
          <w:p>
            <w:pPr>
              <w:ind w:left="440"/>
              <w:spacing w:after="0"/>
              <w:rPr>
                <w:sz w:val="20"/>
                <w:szCs w:val="20"/>
                <w:color w:val="auto"/>
              </w:rPr>
            </w:pPr>
            <w:r>
              <w:rPr>
                <w:rFonts w:ascii="Arial" w:cs="Arial" w:eastAsia="Arial" w:hAnsi="Arial"/>
                <w:sz w:val="16"/>
                <w:szCs w:val="16"/>
                <w:b w:val="1"/>
                <w:bCs w:val="1"/>
                <w:color w:val="auto"/>
              </w:rPr>
              <w:t>Distribution per unit</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1700" w:type="dxa"/>
            <w:vAlign w:val="bottom"/>
            <w:gridSpan w:val="2"/>
          </w:tcPr>
          <w:p>
            <w:pPr>
              <w:ind w:left="340"/>
              <w:spacing w:after="0"/>
              <w:rPr>
                <w:sz w:val="20"/>
                <w:szCs w:val="20"/>
                <w:color w:val="auto"/>
              </w:rPr>
            </w:pPr>
            <w:r>
              <w:rPr>
                <w:rFonts w:ascii="Arial" w:cs="Arial" w:eastAsia="Arial" w:hAnsi="Arial"/>
                <w:sz w:val="16"/>
                <w:szCs w:val="16"/>
                <w:b w:val="1"/>
                <w:bCs w:val="1"/>
                <w:color w:val="auto"/>
              </w:rPr>
              <w:t>Amount paid</w:t>
            </w:r>
          </w:p>
        </w:tc>
      </w:tr>
      <w:tr>
        <w:trPr>
          <w:trHeight w:val="199"/>
        </w:trPr>
        <w:tc>
          <w:tcPr>
            <w:tcW w:w="2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January 26, 2022</w:t>
            </w:r>
          </w:p>
        </w:tc>
        <w:tc>
          <w:tcPr>
            <w:tcW w:w="100" w:type="dxa"/>
            <w:vAlign w:val="bottom"/>
            <w:tcBorders>
              <w:top w:val="single" w:sz="8" w:color="E5FFFF"/>
            </w:tcBorders>
            <w:shd w:val="clear" w:color="auto" w:fill="E5FFFF"/>
          </w:tcPr>
          <w:p>
            <w:pPr>
              <w:spacing w:after="0"/>
              <w:rPr>
                <w:sz w:val="17"/>
                <w:szCs w:val="17"/>
                <w:color w:val="auto"/>
              </w:rPr>
            </w:pPr>
          </w:p>
        </w:tc>
        <w:tc>
          <w:tcPr>
            <w:tcW w:w="2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Common</w:t>
            </w:r>
          </w:p>
        </w:tc>
        <w:tc>
          <w:tcPr>
            <w:tcW w:w="120" w:type="dxa"/>
            <w:vAlign w:val="bottom"/>
            <w:tcBorders>
              <w:top w:val="single" w:sz="8" w:color="E5FFFF"/>
            </w:tcBorders>
            <w:shd w:val="clear" w:color="auto" w:fill="E5FFFF"/>
          </w:tcPr>
          <w:p>
            <w:pPr>
              <w:spacing w:after="0"/>
              <w:rPr>
                <w:sz w:val="17"/>
                <w:szCs w:val="17"/>
                <w:color w:val="auto"/>
              </w:rPr>
            </w:pPr>
          </w:p>
        </w:tc>
        <w:tc>
          <w:tcPr>
            <w:tcW w:w="2320" w:type="dxa"/>
            <w:vAlign w:val="bottom"/>
            <w:tcBorders>
              <w:top w:val="single" w:sz="8" w:color="auto"/>
            </w:tcBorders>
            <w:shd w:val="clear" w:color="auto" w:fill="E5FFFF"/>
          </w:tcPr>
          <w:p>
            <w:pPr>
              <w:jc w:val="right"/>
              <w:ind w:right="899"/>
              <w:spacing w:after="0"/>
              <w:rPr>
                <w:sz w:val="20"/>
                <w:szCs w:val="20"/>
                <w:color w:val="auto"/>
              </w:rPr>
            </w:pPr>
            <w:r>
              <w:rPr>
                <w:rFonts w:ascii="Arial" w:cs="Arial" w:eastAsia="Arial" w:hAnsi="Arial"/>
                <w:sz w:val="16"/>
                <w:szCs w:val="16"/>
                <w:color w:val="auto"/>
              </w:rPr>
              <w:t>$0.01</w:t>
            </w:r>
          </w:p>
        </w:tc>
        <w:tc>
          <w:tcPr>
            <w:tcW w:w="1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February 9, 2022</w:t>
            </w:r>
          </w:p>
        </w:tc>
        <w:tc>
          <w:tcPr>
            <w:tcW w:w="10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Borders>
              <w:top w:val="single" w:sz="8" w:color="E5FFFF"/>
            </w:tcBorders>
            <w:shd w:val="clear" w:color="auto" w:fill="E5FFFF"/>
          </w:tcPr>
          <w:p>
            <w:pPr>
              <w:spacing w:after="0"/>
              <w:rPr>
                <w:sz w:val="17"/>
                <w:szCs w:val="17"/>
                <w:color w:val="auto"/>
              </w:rPr>
            </w:pPr>
          </w:p>
        </w:tc>
      </w:tr>
      <w:tr>
        <w:trPr>
          <w:trHeight w:val="213"/>
        </w:trPr>
        <w:tc>
          <w:tcPr>
            <w:tcW w:w="25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February 25, 2022</w:t>
            </w:r>
          </w:p>
        </w:tc>
        <w:tc>
          <w:tcPr>
            <w:tcW w:w="24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Preference (Series A, B, C)</w:t>
            </w:r>
          </w:p>
        </w:tc>
        <w:tc>
          <w:tcPr>
            <w:tcW w:w="2320" w:type="dxa"/>
            <w:vAlign w:val="bottom"/>
          </w:tcPr>
          <w:p>
            <w:pPr>
              <w:jc w:val="right"/>
              <w:ind w:right="59"/>
              <w:spacing w:after="0"/>
              <w:rPr>
                <w:sz w:val="20"/>
                <w:szCs w:val="20"/>
                <w:color w:val="auto"/>
              </w:rPr>
            </w:pPr>
            <w:r>
              <w:rPr>
                <w:rFonts w:ascii="Arial" w:cs="Arial" w:eastAsia="Arial" w:hAnsi="Arial"/>
                <w:sz w:val="16"/>
                <w:szCs w:val="16"/>
                <w:color w:val="auto"/>
                <w:w w:val="95"/>
              </w:rPr>
              <w:t>$0.5390625, $0.5125, $0.53125</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March 15, 2022</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7,112</w:t>
            </w:r>
          </w:p>
        </w:tc>
      </w:tr>
      <w:tr>
        <w:trPr>
          <w:trHeight w:val="212"/>
        </w:trPr>
        <w:tc>
          <w:tcPr>
            <w:tcW w:w="24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23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232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560" w:type="dxa"/>
            <w:vAlign w:val="bottom"/>
            <w:tcBorders>
              <w:top w:val="single" w:sz="8" w:color="E5FFFF"/>
              <w:bottom w:val="single" w:sz="8" w:color="E5FFFF"/>
            </w:tcBorders>
            <w:gridSpan w:val="2"/>
            <w:shd w:val="clear" w:color="auto" w:fill="E5FFFF"/>
          </w:tcPr>
          <w:p>
            <w:pPr>
              <w:jc w:val="center"/>
              <w:ind w:right="100"/>
              <w:spacing w:after="0"/>
              <w:rPr>
                <w:sz w:val="20"/>
                <w:szCs w:val="20"/>
                <w:color w:val="auto"/>
              </w:rPr>
            </w:pPr>
            <w:r>
              <w:rPr>
                <w:rFonts w:ascii="Arial" w:cs="Arial" w:eastAsia="Arial" w:hAnsi="Arial"/>
                <w:sz w:val="16"/>
                <w:szCs w:val="16"/>
                <w:b w:val="1"/>
                <w:bCs w:val="1"/>
                <w:color w:val="auto"/>
                <w:w w:val="88"/>
              </w:rPr>
              <w:t>Total</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$7,634</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7" w:name="page28"/>
    <w:bookmarkEnd w:id="27"/>
    <w:p>
      <w:pPr>
        <w:ind w:firstLine="324"/>
        <w:spacing w:after="0" w:line="271" w:lineRule="auto"/>
        <w:rPr>
          <w:sz w:val="20"/>
          <w:szCs w:val="20"/>
          <w:color w:val="auto"/>
        </w:rPr>
      </w:pPr>
      <w:r>
        <w:rPr>
          <w:rFonts w:ascii="Arial" w:cs="Arial" w:eastAsia="Arial" w:hAnsi="Arial"/>
          <w:sz w:val="16"/>
          <w:szCs w:val="16"/>
          <w:color w:val="auto"/>
        </w:rPr>
        <w:t>In the three months ended March 31, 2022, under the Partnership’s preference unit repurchase programme established in March 2021 and covering the period March 11, 2021 to March 31, 2023, GasLog Partners repurchased and cancelled 7,838 8.625% Series A Cumulative Redeemable Perpetual Fixed to Floating Rate Preference Units (the “Series A Preference Units”), 172,590 8.200% Series B Cumulative Redeemable Perpetual Fixed to Floating Rate Preference Units (the “Series B Preference Units”) and 213,335 8.500% Series C Cumulative Redeemable Perpetual Fixed to Floating Rate Preference Units (the “Series C Preference Units”). The aggregate amount paid during the period for repurchases of preference units was $10,002, including commissions.</w:t>
      </w:r>
    </w:p>
    <w:p>
      <w:pPr>
        <w:spacing w:after="0" w:line="17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On April 1, 2022, GasLog Partners issued 33,700 common units in connection with the vesting of 19,638 Restricted Common Units (“RCUs”) and 14,062 Performance Common Units (“PCUs”) under its 2015 Long-Term Incentive Plan (the “2015 Plan”) (Note 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7. Borrowings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844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4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103,493</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103,493</w:t>
            </w:r>
          </w:p>
        </w:tc>
        <w:tc>
          <w:tcPr>
            <w:tcW w:w="100" w:type="dxa"/>
            <w:vAlign w:val="bottom"/>
            <w:shd w:val="clear" w:color="auto" w:fill="E5FFFF"/>
          </w:tcPr>
          <w:p>
            <w:pPr>
              <w:spacing w:after="0"/>
              <w:rPr>
                <w:sz w:val="17"/>
                <w:szCs w:val="17"/>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(4,186)</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(4,107)</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99,307</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99,386</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240" w:type="dxa"/>
            <w:vAlign w:val="bottom"/>
          </w:tcPr>
          <w:p>
            <w:pPr>
              <w:jc w:val="right"/>
              <w:spacing w:after="0"/>
              <w:rPr>
                <w:sz w:val="20"/>
                <w:szCs w:val="20"/>
                <w:color w:val="auto"/>
              </w:rPr>
            </w:pPr>
            <w:r>
              <w:rPr>
                <w:rFonts w:ascii="Arial" w:cs="Arial" w:eastAsia="Arial" w:hAnsi="Arial"/>
                <w:sz w:val="16"/>
                <w:szCs w:val="16"/>
                <w:color w:val="auto"/>
              </w:rPr>
              <w:t>996,242</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961,770</w:t>
            </w:r>
          </w:p>
        </w:tc>
        <w:tc>
          <w:tcPr>
            <w:tcW w:w="100" w:type="dxa"/>
            <w:vAlign w:val="bottom"/>
          </w:tcPr>
          <w:p>
            <w:pPr>
              <w:spacing w:after="0"/>
              <w:rPr>
                <w:sz w:val="17"/>
                <w:szCs w:val="17"/>
                <w:color w:val="auto"/>
              </w:rPr>
            </w:pP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4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(9,791)</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(8,791)</w:t>
            </w:r>
          </w:p>
        </w:tc>
      </w:tr>
      <w:tr>
        <w:trPr>
          <w:trHeight w:val="196"/>
        </w:trPr>
        <w:tc>
          <w:tcPr>
            <w:tcW w:w="8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986,451</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952,979</w:t>
            </w:r>
          </w:p>
        </w:tc>
        <w:tc>
          <w:tcPr>
            <w:tcW w:w="100" w:type="dxa"/>
            <w:vAlign w:val="bottom"/>
            <w:tcBorders>
              <w:bottom w:val="single" w:sz="8" w:color="E5FFFF"/>
            </w:tcBorders>
          </w:tcPr>
          <w:p>
            <w:pPr>
              <w:spacing w:after="0"/>
              <w:rPr>
                <w:sz w:val="17"/>
                <w:szCs w:val="17"/>
                <w:color w:val="auto"/>
              </w:rPr>
            </w:pPr>
          </w:p>
        </w:tc>
      </w:tr>
      <w:tr>
        <w:trPr>
          <w:trHeight w:val="207"/>
        </w:trPr>
        <w:tc>
          <w:tcPr>
            <w:tcW w:w="8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1,085,758</w:t>
            </w:r>
          </w:p>
        </w:tc>
        <w:tc>
          <w:tcPr>
            <w:tcW w:w="22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1,052,365</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700" w:firstLine="324"/>
        <w:spacing w:after="0" w:line="293" w:lineRule="auto"/>
        <w:rPr>
          <w:sz w:val="20"/>
          <w:szCs w:val="20"/>
          <w:color w:val="auto"/>
        </w:rPr>
      </w:pPr>
      <w:r>
        <w:rPr>
          <w:rFonts w:ascii="Arial" w:cs="Arial" w:eastAsia="Arial" w:hAnsi="Arial"/>
          <w:sz w:val="16"/>
          <w:szCs w:val="16"/>
          <w:color w:val="auto"/>
        </w:rPr>
        <w:t>The main terms of the credit facilities, including financial covenants, and the Sponsor Credit Facility have been disclosed in the annual consolidated financial statements for the year ended December 31, 2021. Refer to Note 7 “Borrowings”.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three months ended March 31, 2022, the Partnership repaid $34,472 in accordance with the repayment terms under its credit facilities.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 Partners was in compliance with its financial covenants as of March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8. Other Payables and Accruals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8440" w:type="dxa"/>
            <w:vAlign w:val="bottom"/>
          </w:tcPr>
          <w:p>
            <w:pPr>
              <w:ind w:left="340"/>
              <w:spacing w:after="0"/>
              <w:rPr>
                <w:sz w:val="20"/>
                <w:szCs w:val="20"/>
                <w:color w:val="auto"/>
              </w:rPr>
            </w:pPr>
            <w:r>
              <w:rPr>
                <w:rFonts w:ascii="Arial" w:cs="Arial" w:eastAsia="Arial" w:hAnsi="Arial"/>
                <w:sz w:val="16"/>
                <w:szCs w:val="16"/>
                <w:color w:val="auto"/>
              </w:rPr>
              <w:t>An analysis of other payables and accruals is as follows: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4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28,325</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24,156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Accrued off-hire</w:t>
            </w:r>
          </w:p>
        </w:tc>
        <w:tc>
          <w:tcPr>
            <w:tcW w:w="1240" w:type="dxa"/>
            <w:vAlign w:val="bottom"/>
          </w:tcPr>
          <w:p>
            <w:pPr>
              <w:jc w:val="right"/>
              <w:spacing w:after="0"/>
              <w:rPr>
                <w:sz w:val="20"/>
                <w:szCs w:val="20"/>
                <w:color w:val="auto"/>
              </w:rPr>
            </w:pPr>
            <w:r>
              <w:rPr>
                <w:rFonts w:ascii="Arial" w:cs="Arial" w:eastAsia="Arial" w:hAnsi="Arial"/>
                <w:sz w:val="16"/>
                <w:szCs w:val="16"/>
                <w:color w:val="auto"/>
              </w:rPr>
              <w:t>1,768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3,273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Accrued interest</w:t>
            </w:r>
          </w:p>
        </w:tc>
        <w:tc>
          <w:tcPr>
            <w:tcW w:w="1240" w:type="dxa"/>
            <w:vAlign w:val="bottom"/>
          </w:tcPr>
          <w:p>
            <w:pPr>
              <w:jc w:val="right"/>
              <w:spacing w:after="0"/>
              <w:rPr>
                <w:sz w:val="20"/>
                <w:szCs w:val="20"/>
                <w:color w:val="auto"/>
              </w:rPr>
            </w:pPr>
            <w:r>
              <w:rPr>
                <w:rFonts w:ascii="Arial" w:cs="Arial" w:eastAsia="Arial" w:hAnsi="Arial"/>
                <w:sz w:val="16"/>
                <w:szCs w:val="16"/>
                <w:color w:val="auto"/>
              </w:rPr>
              <w:t>9,180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6,142</w:t>
            </w:r>
          </w:p>
        </w:tc>
        <w:tc>
          <w:tcPr>
            <w:tcW w:w="0" w:type="dxa"/>
            <w:vAlign w:val="bottom"/>
          </w:tcPr>
          <w:p>
            <w:pPr>
              <w:spacing w:after="0"/>
              <w:rPr>
                <w:sz w:val="1"/>
                <w:szCs w:val="1"/>
                <w:color w:val="auto"/>
              </w:rPr>
            </w:pP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7,625</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9,407</w:t>
            </w:r>
          </w:p>
        </w:tc>
        <w:tc>
          <w:tcPr>
            <w:tcW w:w="0" w:type="dxa"/>
            <w:vAlign w:val="bottom"/>
          </w:tcPr>
          <w:p>
            <w:pPr>
              <w:spacing w:after="0"/>
              <w:rPr>
                <w:sz w:val="1"/>
                <w:szCs w:val="1"/>
                <w:color w:val="auto"/>
              </w:rPr>
            </w:pPr>
          </w:p>
        </w:tc>
      </w:tr>
      <w:tr>
        <w:trPr>
          <w:trHeight w:val="204"/>
        </w:trPr>
        <w:tc>
          <w:tcPr>
            <w:tcW w:w="84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50,171</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b w:val="1"/>
                <w:bCs w:val="1"/>
                <w:color w:val="auto"/>
              </w:rPr>
              <w:t>9. Revenues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440" w:type="dxa"/>
            <w:vAlign w:val="bottom"/>
          </w:tcPr>
          <w:p>
            <w:pPr>
              <w:ind w:left="340"/>
              <w:spacing w:after="0"/>
              <w:rPr>
                <w:sz w:val="20"/>
                <w:szCs w:val="20"/>
                <w:color w:val="auto"/>
              </w:rPr>
            </w:pPr>
            <w:r>
              <w:rPr>
                <w:rFonts w:ascii="Arial" w:cs="Arial" w:eastAsia="Arial" w:hAnsi="Arial"/>
                <w:sz w:val="16"/>
                <w:szCs w:val="16"/>
                <w:color w:val="auto"/>
              </w:rPr>
              <w:t>The Partnership has recognized the following amounts relating to revenues: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tcPr>
          <w:p>
            <w:pPr>
              <w:spacing w:after="0"/>
              <w:rPr>
                <w:sz w:val="24"/>
                <w:szCs w:val="24"/>
                <w:color w:val="auto"/>
              </w:rPr>
            </w:pPr>
          </w:p>
        </w:tc>
        <w:tc>
          <w:tcPr>
            <w:tcW w:w="2800" w:type="dxa"/>
            <w:vAlign w:val="bottom"/>
            <w:gridSpan w:val="4"/>
          </w:tcPr>
          <w:p>
            <w:pPr>
              <w:ind w:left="4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9"/>
        </w:trPr>
        <w:tc>
          <w:tcPr>
            <w:tcW w:w="84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March 31, 2021</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March 31, 2022</w:t>
            </w:r>
          </w:p>
        </w:tc>
        <w:tc>
          <w:tcPr>
            <w:tcW w:w="0" w:type="dxa"/>
            <w:vAlign w:val="bottom"/>
          </w:tcPr>
          <w:p>
            <w:pPr>
              <w:spacing w:after="0"/>
              <w:rPr>
                <w:sz w:val="1"/>
                <w:szCs w:val="1"/>
                <w:color w:val="auto"/>
              </w:rPr>
            </w:pP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long-term time charters</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50,034</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45,352</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Revenues from spot time charters</w:t>
            </w:r>
          </w:p>
        </w:tc>
        <w:tc>
          <w:tcPr>
            <w:tcW w:w="1240" w:type="dxa"/>
            <w:vAlign w:val="bottom"/>
          </w:tcPr>
          <w:p>
            <w:pPr>
              <w:jc w:val="right"/>
              <w:spacing w:after="0"/>
              <w:rPr>
                <w:sz w:val="20"/>
                <w:szCs w:val="20"/>
                <w:color w:val="auto"/>
              </w:rPr>
            </w:pPr>
            <w:r>
              <w:rPr>
                <w:rFonts w:ascii="Arial" w:cs="Arial" w:eastAsia="Arial" w:hAnsi="Arial"/>
                <w:sz w:val="16"/>
                <w:szCs w:val="16"/>
                <w:color w:val="auto"/>
              </w:rPr>
              <w:t>37,054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40,107</w:t>
            </w:r>
          </w:p>
        </w:tc>
        <w:tc>
          <w:tcPr>
            <w:tcW w:w="0" w:type="dxa"/>
            <w:vAlign w:val="bottom"/>
          </w:tcPr>
          <w:p>
            <w:pPr>
              <w:spacing w:after="0"/>
              <w:rPr>
                <w:sz w:val="1"/>
                <w:szCs w:val="1"/>
                <w:color w:val="auto"/>
              </w:rPr>
            </w:pPr>
          </w:p>
        </w:tc>
      </w:tr>
      <w:tr>
        <w:trPr>
          <w:trHeight w:val="210"/>
        </w:trPr>
        <w:tc>
          <w:tcPr>
            <w:tcW w:w="8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87,088</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85,459</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324"/>
        <w:spacing w:after="0" w:line="328" w:lineRule="auto"/>
        <w:rPr>
          <w:sz w:val="20"/>
          <w:szCs w:val="20"/>
          <w:color w:val="auto"/>
        </w:rPr>
      </w:pPr>
      <w:r>
        <w:rPr>
          <w:rFonts w:ascii="Arial" w:cs="Arial" w:eastAsia="Arial" w:hAnsi="Arial"/>
          <w:sz w:val="15"/>
          <w:szCs w:val="15"/>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460" w:type="dxa"/>
            <w:vAlign w:val="bottom"/>
          </w:tcPr>
          <w:p>
            <w:pPr>
              <w:ind w:left="340"/>
              <w:spacing w:after="0"/>
              <w:rPr>
                <w:sz w:val="20"/>
                <w:szCs w:val="20"/>
                <w:color w:val="auto"/>
              </w:rPr>
            </w:pPr>
            <w:r>
              <w:rPr>
                <w:rFonts w:ascii="Arial" w:cs="Arial" w:eastAsia="Arial" w:hAnsi="Arial"/>
                <w:sz w:val="16"/>
                <w:szCs w:val="16"/>
                <w:color w:val="auto"/>
              </w:rPr>
              <w:t>An analysis of general and administrative expenses is as follows:</w:t>
            </w:r>
          </w:p>
        </w:tc>
        <w:tc>
          <w:tcPr>
            <w:tcW w:w="27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27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6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March 31, 2021</w:t>
            </w:r>
          </w:p>
        </w:tc>
        <w:tc>
          <w:tcPr>
            <w:tcW w:w="12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March 31, 2022</w:t>
            </w:r>
          </w:p>
        </w:tc>
        <w:tc>
          <w:tcPr>
            <w:tcW w:w="0" w:type="dxa"/>
            <w:vAlign w:val="bottom"/>
          </w:tcPr>
          <w:p>
            <w:pPr>
              <w:spacing w:after="0"/>
              <w:rPr>
                <w:sz w:val="1"/>
                <w:szCs w:val="1"/>
                <w:color w:val="auto"/>
              </w:rPr>
            </w:pPr>
          </w:p>
        </w:tc>
      </w:tr>
      <w:tr>
        <w:trPr>
          <w:trHeight w:val="199"/>
        </w:trPr>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Administrative services fees (Note 3)</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Commercial management fees (Note 3)</w:t>
            </w:r>
          </w:p>
        </w:tc>
        <w:tc>
          <w:tcPr>
            <w:tcW w:w="1340" w:type="dxa"/>
            <w:vAlign w:val="bottom"/>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Other expenses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3,071</w:t>
            </w:r>
          </w:p>
        </w:tc>
        <w:tc>
          <w:tcPr>
            <w:tcW w:w="1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b w:val="1"/>
                <w:bCs w:val="1"/>
                <w:color w:val="auto"/>
              </w:rPr>
              <w:t>11. Vessel Operating Costs</w:t>
            </w: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84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ind w:left="340"/>
              <w:spacing w:after="0"/>
              <w:rPr>
                <w:sz w:val="20"/>
                <w:szCs w:val="20"/>
                <w:color w:val="auto"/>
              </w:rPr>
            </w:pPr>
            <w:r>
              <w:rPr>
                <w:rFonts w:ascii="Arial" w:cs="Arial" w:eastAsia="Arial" w:hAnsi="Arial"/>
                <w:sz w:val="16"/>
                <w:szCs w:val="16"/>
                <w:color w:val="auto"/>
              </w:rPr>
              <w:t>An analysis of vessel operating costs is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8460" w:type="dxa"/>
            <w:vAlign w:val="bottom"/>
          </w:tcPr>
          <w:p>
            <w:pPr>
              <w:spacing w:after="0"/>
              <w:rPr>
                <w:sz w:val="24"/>
                <w:szCs w:val="24"/>
                <w:color w:val="auto"/>
              </w:rPr>
            </w:pPr>
          </w:p>
        </w:tc>
        <w:tc>
          <w:tcPr>
            <w:tcW w:w="2700" w:type="dxa"/>
            <w:vAlign w:val="bottom"/>
            <w:gridSpan w:val="4"/>
          </w:tcPr>
          <w:p>
            <w:pPr>
              <w:ind w:left="3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846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March 31, 2021</w:t>
            </w:r>
          </w:p>
        </w:tc>
        <w:tc>
          <w:tcPr>
            <w:tcW w:w="12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March 31, 2022</w:t>
            </w:r>
          </w:p>
        </w:tc>
        <w:tc>
          <w:tcPr>
            <w:tcW w:w="0" w:type="dxa"/>
            <w:vAlign w:val="bottom"/>
          </w:tcPr>
          <w:p>
            <w:pPr>
              <w:spacing w:after="0"/>
              <w:rPr>
                <w:sz w:val="1"/>
                <w:szCs w:val="1"/>
                <w:color w:val="auto"/>
              </w:rPr>
            </w:pPr>
          </w:p>
        </w:tc>
      </w:tr>
      <w:tr>
        <w:trPr>
          <w:trHeight w:val="199"/>
        </w:trPr>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costs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8,972</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340" w:type="dxa"/>
            <w:vAlign w:val="bottom"/>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Other operating expenses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4,469</w:t>
            </w:r>
          </w:p>
        </w:tc>
        <w:tc>
          <w:tcPr>
            <w:tcW w:w="100" w:type="dxa"/>
            <w:vAlign w:val="bottom"/>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17,807</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b w:val="1"/>
                <w:bCs w:val="1"/>
                <w:color w:val="auto"/>
              </w:rPr>
              <w:t>12. Derivative Financial Instruments</w:t>
            </w: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4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ind w:left="340"/>
              <w:spacing w:after="0"/>
              <w:rPr>
                <w:sz w:val="20"/>
                <w:szCs w:val="20"/>
                <w:color w:val="auto"/>
              </w:rPr>
            </w:pPr>
            <w:r>
              <w:rPr>
                <w:rFonts w:ascii="Arial" w:cs="Arial" w:eastAsia="Arial" w:hAnsi="Arial"/>
                <w:sz w:val="16"/>
                <w:szCs w:val="16"/>
                <w:color w:val="auto"/>
              </w:rPr>
              <w:t>The fair value of the Partnership’s derivative liabilities is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46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rate swaps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w:t>
            </w:r>
          </w:p>
        </w:tc>
        <w:tc>
          <w:tcPr>
            <w:tcW w:w="10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9,245</w:t>
            </w:r>
          </w:p>
        </w:tc>
        <w:tc>
          <w:tcPr>
            <w:tcW w:w="1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liability</w:t>
            </w: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60" w:type="dxa"/>
            <w:vAlign w:val="bottom"/>
            <w:vMerge w:val="continue"/>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5,184</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4,061</w:t>
            </w:r>
          </w:p>
        </w:tc>
        <w:tc>
          <w:tcPr>
            <w:tcW w:w="100" w:type="dxa"/>
            <w:vAlign w:val="bottom"/>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9,245</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rate swap agreements</w:t>
      </w:r>
    </w:p>
    <w:p>
      <w:pPr>
        <w:spacing w:after="0" w:line="171" w:lineRule="exact"/>
        <w:rPr>
          <w:sz w:val="20"/>
          <w:szCs w:val="20"/>
          <w:color w:val="auto"/>
        </w:rPr>
      </w:pPr>
    </w:p>
    <w:p>
      <w:pPr>
        <w:ind w:right="260" w:firstLine="324"/>
        <w:spacing w:after="0" w:line="273"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economically hedge a portion of the Partnership’s exposure to fluctuations in prevailing market interest rates. Under the interest rate swaps, the counterparty effects quarterly floating-rate payments to the Partnership for the notional amount based on the three-month USD London Interbank Offered Rate (“LIBOR”), and the Partnership effects quarterly payments to the counterparty on the notional amount at the respective fixed rates.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21"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The principal terms of the Partnership’s interest rate swaps held for trading have been disclosed in the annual audited consolidated financial statements for the year ended December 31, 2021. Refer to Note 18 “Derivative Financial Instruments”.</w:t>
      </w:r>
    </w:p>
    <w:p>
      <w:pPr>
        <w:spacing w:after="0" w:line="104"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The derivative instruments of the Partnership were not designated as cash flow hedging instruments as of March 31, 2022. The change in the fair value of the interest rate swaps for the three months ended March 31, 2022 amounted to a gain of $6,823 ($3,607 for the three months ended March 31, 2021), which was recognized in profit or loss in the period incurred and is included in Gain on derivatives. During the three months ended March 31, 2022, the gain of $6,823 (Note 13), was mainly attributable to changes in the USD LIBOR yield curve, which was used to calculate the present value of the estimated future cash flows, resulting in a decrease in derivative liabilities from interest rate swaps held for trading.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20"/>
                <w:szCs w:val="20"/>
                <w:color w:val="auto"/>
              </w:rPr>
            </w:pPr>
            <w:r>
              <w:rPr>
                <w:rFonts w:ascii="Arial" w:cs="Arial" w:eastAsia="Arial" w:hAnsi="Arial"/>
                <w:sz w:val="16"/>
                <w:szCs w:val="16"/>
                <w:b w:val="1"/>
                <w:bCs w:val="1"/>
                <w:color w:val="auto"/>
              </w:rPr>
              <w:t>13. Financial Costs and Gain on Derivatives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51"/>
        </w:trPr>
        <w:tc>
          <w:tcPr>
            <w:tcW w:w="8460" w:type="dxa"/>
            <w:vAlign w:val="bottom"/>
          </w:tcPr>
          <w:p>
            <w:pPr>
              <w:ind w:left="340"/>
              <w:spacing w:after="0"/>
              <w:rPr>
                <w:sz w:val="20"/>
                <w:szCs w:val="20"/>
                <w:color w:val="auto"/>
              </w:rPr>
            </w:pPr>
            <w:r>
              <w:rPr>
                <w:rFonts w:ascii="Arial" w:cs="Arial" w:eastAsia="Arial" w:hAnsi="Arial"/>
                <w:sz w:val="16"/>
                <w:szCs w:val="16"/>
                <w:color w:val="auto"/>
              </w:rPr>
              <w:t>An analysis of financial costs is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3"/>
        </w:trPr>
        <w:tc>
          <w:tcPr>
            <w:tcW w:w="8460" w:type="dxa"/>
            <w:vAlign w:val="bottom"/>
          </w:tcPr>
          <w:p>
            <w:pPr>
              <w:spacing w:after="0"/>
              <w:rPr>
                <w:sz w:val="24"/>
                <w:szCs w:val="24"/>
                <w:color w:val="auto"/>
              </w:rPr>
            </w:pPr>
          </w:p>
        </w:tc>
        <w:tc>
          <w:tcPr>
            <w:tcW w:w="26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84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of deferred loan issuance costs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1,079</w:t>
            </w: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340" w:type="dxa"/>
            <w:vAlign w:val="bottom"/>
          </w:tcPr>
          <w:p>
            <w:pPr>
              <w:jc w:val="right"/>
              <w:spacing w:after="0"/>
              <w:rPr>
                <w:sz w:val="20"/>
                <w:szCs w:val="20"/>
                <w:color w:val="auto"/>
              </w:rPr>
            </w:pPr>
            <w:r>
              <w:rPr>
                <w:rFonts w:ascii="Arial" w:cs="Arial" w:eastAsia="Arial" w:hAnsi="Arial"/>
                <w:sz w:val="16"/>
                <w:szCs w:val="16"/>
                <w:color w:val="auto"/>
              </w:rPr>
              <w:t>7,883</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6,905</w:t>
            </w: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leases</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411</w:t>
            </w: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Commitment fees</w:t>
            </w:r>
          </w:p>
        </w:tc>
        <w:tc>
          <w:tcPr>
            <w:tcW w:w="13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including bank commissions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318</w:t>
            </w:r>
          </w:p>
        </w:tc>
      </w:tr>
      <w:tr>
        <w:trPr>
          <w:trHeight w:val="207"/>
        </w:trPr>
        <w:tc>
          <w:tcPr>
            <w:tcW w:w="846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9,416</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8,781</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29" w:name="page30"/>
    <w:bookmarkEnd w:id="29"/>
    <w:p>
      <w:pPr>
        <w:ind w:left="340"/>
        <w:spacing w:after="0"/>
        <w:rPr>
          <w:sz w:val="20"/>
          <w:szCs w:val="20"/>
          <w:color w:val="auto"/>
        </w:rPr>
      </w:pPr>
      <w:r>
        <w:rPr>
          <w:rFonts w:ascii="Arial" w:cs="Arial" w:eastAsia="Arial" w:hAnsi="Arial"/>
          <w:sz w:val="16"/>
          <w:szCs w:val="16"/>
          <w:color w:val="auto"/>
        </w:rPr>
        <w:t>An analysis of gain on derivatives is as follows:</w:t>
      </w:r>
    </w:p>
    <w:p>
      <w:pPr>
        <w:spacing w:after="0" w:line="217"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right"/>
        <w:ind w:right="180"/>
        <w:spacing w:after="0"/>
        <w:tabs>
          <w:tab w:leader="none" w:pos="1060" w:val="left"/>
        </w:tabs>
        <w:rPr>
          <w:sz w:val="20"/>
          <w:szCs w:val="20"/>
          <w:color w:val="auto"/>
        </w:rPr>
      </w:pPr>
      <w:r>
        <w:rPr>
          <w:rFonts w:ascii="Arial" w:cs="Arial" w:eastAsia="Arial" w:hAnsi="Arial"/>
          <w:sz w:val="16"/>
          <w:szCs w:val="16"/>
          <w:b w:val="1"/>
          <w:bCs w:val="1"/>
          <w:color w:val="auto"/>
        </w:rPr>
        <w:t>March 31, 2021</w:t>
      </w:r>
      <w:r>
        <w:rPr>
          <w:sz w:val="20"/>
          <w:szCs w:val="20"/>
          <w:color w:val="auto"/>
        </w:rPr>
        <w:tab/>
      </w:r>
      <w:r>
        <w:rPr>
          <w:rFonts w:ascii="Arial" w:cs="Arial" w:eastAsia="Arial" w:hAnsi="Arial"/>
          <w:sz w:val="15"/>
          <w:szCs w:val="15"/>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06374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63740" cy="25717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Unrealized gain on interest rate swaps held for trading (Note 12)</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Realized loss on interest rate swaps held for trading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06374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3740" cy="15430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Unit (“EPU”)</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(3,607)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(6,823)</w:t>
            </w:r>
          </w:p>
        </w:tc>
      </w:tr>
      <w:tr>
        <w:trPr>
          <w:trHeight w:val="206"/>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(1,319</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(4,977</w:t>
            </w:r>
          </w:p>
        </w:tc>
        <w:tc>
          <w:tcPr>
            <w:tcW w:w="4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72" w:lineRule="exact"/>
        <w:rPr>
          <w:sz w:val="20"/>
          <w:szCs w:val="20"/>
          <w:color w:val="auto"/>
        </w:rPr>
      </w:pPr>
    </w:p>
    <w:p>
      <w:pPr>
        <w:sectPr>
          <w:pgSz w:w="11900" w:h="16838" w:orient="portrait"/>
          <w:cols w:equalWidth="0" w:num="2">
            <w:col w:w="7740" w:space="720"/>
            <w:col w:w="2780"/>
          </w:cols>
          <w:pgMar w:left="320" w:top="332" w:right="339" w:bottom="1440" w:gutter="0" w:footer="0" w:header="0"/>
          <w:type w:val="continuous"/>
        </w:sectPr>
      </w:pPr>
    </w:p>
    <w:p>
      <w:pPr>
        <w:spacing w:after="0" w:line="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58" w:lineRule="exact"/>
        <w:rPr>
          <w:sz w:val="20"/>
          <w:szCs w:val="20"/>
          <w:color w:val="auto"/>
        </w:rPr>
      </w:pPr>
    </w:p>
    <w:p>
      <w:pPr>
        <w:ind w:right="20" w:firstLine="324"/>
        <w:spacing w:after="0" w:line="297"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and adding/ deducting any difference of the carrying amount of preference units above/below the fair value of the consideration paid to settle them,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60" w:type="dxa"/>
            <w:vAlign w:val="bottom"/>
          </w:tcPr>
          <w:p>
            <w:pPr>
              <w:ind w:left="340"/>
              <w:spacing w:after="0"/>
              <w:rPr>
                <w:sz w:val="20"/>
                <w:szCs w:val="20"/>
                <w:color w:val="auto"/>
              </w:rPr>
            </w:pPr>
            <w:r>
              <w:rPr>
                <w:rFonts w:ascii="Arial" w:cs="Arial" w:eastAsia="Arial" w:hAnsi="Arial"/>
                <w:sz w:val="16"/>
                <w:szCs w:val="16"/>
                <w:color w:val="auto"/>
                <w:w w:val="98"/>
              </w:rPr>
              <w:t>Earnings per unit is presented for the period in which the units were outstanding, with earnings calculated as follows: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84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March 31, 2021</w:t>
            </w: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02"/>
        </w:trPr>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 and Partnership’s profit</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34,981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Adjustment for:</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EFF"/>
          </w:tcPr>
          <w:p>
            <w:pPr>
              <w:spacing w:after="0"/>
              <w:rPr>
                <w:sz w:val="20"/>
                <w:szCs w:val="20"/>
                <w:color w:val="auto"/>
              </w:rPr>
            </w:pPr>
            <w:r>
              <w:rPr>
                <w:rFonts w:ascii="Arial" w:cs="Arial" w:eastAsia="Arial" w:hAnsi="Arial"/>
                <w:sz w:val="16"/>
                <w:szCs w:val="16"/>
                <w:color w:val="auto"/>
              </w:rPr>
              <w:t>Accrued preference unit distributions</w:t>
            </w:r>
          </w:p>
        </w:tc>
        <w:tc>
          <w:tcPr>
            <w:tcW w:w="1440" w:type="dxa"/>
            <w:vAlign w:val="bottom"/>
            <w:gridSpan w:val="2"/>
            <w:shd w:val="clear" w:color="auto" w:fill="E5FEFF"/>
          </w:tcPr>
          <w:p>
            <w:pPr>
              <w:jc w:val="right"/>
              <w:ind w:right="60"/>
              <w:spacing w:after="0"/>
              <w:rPr>
                <w:sz w:val="20"/>
                <w:szCs w:val="20"/>
                <w:color w:val="auto"/>
              </w:rPr>
            </w:pPr>
            <w:r>
              <w:rPr>
                <w:rFonts w:ascii="Arial" w:cs="Arial" w:eastAsia="Arial" w:hAnsi="Arial"/>
                <w:sz w:val="16"/>
                <w:szCs w:val="16"/>
                <w:color w:val="auto"/>
              </w:rPr>
              <w:t>(7,582)</w:t>
            </w:r>
          </w:p>
        </w:tc>
        <w:tc>
          <w:tcPr>
            <w:tcW w:w="1240" w:type="dxa"/>
            <w:vAlign w:val="bottom"/>
            <w:shd w:val="clear" w:color="auto" w:fill="E5FEFF"/>
          </w:tcPr>
          <w:p>
            <w:pPr>
              <w:jc w:val="right"/>
              <w:spacing w:after="0"/>
              <w:rPr>
                <w:sz w:val="20"/>
                <w:szCs w:val="20"/>
                <w:color w:val="auto"/>
              </w:rPr>
            </w:pPr>
            <w:r>
              <w:rPr>
                <w:rFonts w:ascii="Arial" w:cs="Arial" w:eastAsia="Arial" w:hAnsi="Arial"/>
                <w:sz w:val="16"/>
                <w:szCs w:val="16"/>
                <w:color w:val="auto"/>
              </w:rPr>
              <w:t>(6,990)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Differences on repurchase of preference units</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27,778</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27,909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Common unitholders</w:t>
            </w: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60" w:type="dxa"/>
            <w:vAlign w:val="bottom"/>
            <w:vMerge w:val="continue"/>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27,194</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60" w:type="dxa"/>
            <w:vAlign w:val="bottom"/>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47,517,824</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51,137,201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340" w:type="dxa"/>
            <w:vAlign w:val="bottom"/>
          </w:tcPr>
          <w:p>
            <w:pPr>
              <w:jc w:val="right"/>
              <w:spacing w:after="0"/>
              <w:rPr>
                <w:sz w:val="20"/>
                <w:szCs w:val="20"/>
                <w:color w:val="auto"/>
              </w:rPr>
            </w:pPr>
            <w:r>
              <w:rPr>
                <w:rFonts w:ascii="Arial" w:cs="Arial" w:eastAsia="Arial" w:hAnsi="Arial"/>
                <w:sz w:val="16"/>
                <w:szCs w:val="16"/>
                <w:color w:val="auto"/>
              </w:rPr>
              <w:t>1,021,336</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1,077,494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(basic)</w:t>
            </w: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Common unitholders</w:t>
            </w:r>
          </w:p>
        </w:tc>
        <w:tc>
          <w:tcPr>
            <w:tcW w:w="134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49,687,334</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53,064,141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340" w:type="dxa"/>
            <w:vAlign w:val="bottom"/>
          </w:tcPr>
          <w:p>
            <w:pPr>
              <w:jc w:val="right"/>
              <w:spacing w:after="0"/>
              <w:rPr>
                <w:sz w:val="20"/>
                <w:szCs w:val="20"/>
                <w:color w:val="auto"/>
              </w:rPr>
            </w:pPr>
            <w:r>
              <w:rPr>
                <w:rFonts w:ascii="Arial" w:cs="Arial" w:eastAsia="Arial" w:hAnsi="Arial"/>
                <w:sz w:val="16"/>
                <w:szCs w:val="16"/>
                <w:color w:val="auto"/>
              </w:rPr>
              <w:t>1,021,336</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1,077,494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(diluted)</w:t>
            </w: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Common unitholders</w:t>
            </w:r>
          </w:p>
        </w:tc>
        <w:tc>
          <w:tcPr>
            <w:tcW w:w="134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20" w:hanging="112"/>
        <w:spacing w:after="0" w:line="278" w:lineRule="auto"/>
        <w:tabs>
          <w:tab w:leader="none" w:pos="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unvested awards with respect to the 2015 Plan and Class B units. After the conversion of the first and second tranche of 415,000 Class B units on July 1, 2020 and 2021, respectively, the remaining 1,660,000 Class B units will become eligible for conversion on a one-for-one basis into common units at GasLog’s option in four tranches of 415,000 units per annum on July 1 of 2022, 2023, 2024 and 2025.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Commitments and Contingencies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Future gross minimum lease payments receivable in relation to non-cancellable time charter agreements for vessels in operation, including a vessel under a lease (Note</w:t>
      </w:r>
    </w:p>
    <w:p>
      <w:pPr>
        <w:spacing w:after="0" w:line="45" w:lineRule="exact"/>
        <w:rPr>
          <w:sz w:val="20"/>
          <w:szCs w:val="20"/>
          <w:color w:val="auto"/>
        </w:rPr>
      </w:pPr>
    </w:p>
    <w:p>
      <w:pPr>
        <w:ind w:right="180" w:firstLine="8"/>
        <w:spacing w:after="0" w:line="288" w:lineRule="auto"/>
        <w:tabs>
          <w:tab w:leader="none" w:pos="1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March 31, 2022,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2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922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2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195,268</w:t>
            </w: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Later than one year and not later than two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107,721</w:t>
            </w:r>
          </w:p>
        </w:tc>
      </w:tr>
      <w:tr>
        <w:trPr>
          <w:trHeight w:val="203"/>
        </w:trPr>
        <w:tc>
          <w:tcPr>
            <w:tcW w:w="9220" w:type="dxa"/>
            <w:vAlign w:val="bottom"/>
            <w:shd w:val="clear" w:color="auto" w:fill="E5FFFF"/>
          </w:tcPr>
          <w:p>
            <w:pPr>
              <w:spacing w:after="0"/>
              <w:rPr>
                <w:sz w:val="20"/>
                <w:szCs w:val="20"/>
                <w:color w:val="auto"/>
              </w:rPr>
            </w:pPr>
            <w:r>
              <w:rPr>
                <w:rFonts w:ascii="Arial" w:cs="Arial" w:eastAsia="Arial" w:hAnsi="Arial"/>
                <w:sz w:val="16"/>
                <w:szCs w:val="16"/>
                <w:color w:val="auto"/>
              </w:rPr>
              <w:t>Later than two years and not later than three years</w:t>
            </w:r>
          </w:p>
        </w:tc>
        <w:tc>
          <w:tcPr>
            <w:tcW w:w="2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51,707</w:t>
            </w: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51,636</w:t>
            </w:r>
          </w:p>
        </w:tc>
      </w:tr>
      <w:tr>
        <w:trPr>
          <w:trHeight w:val="203"/>
        </w:trPr>
        <w:tc>
          <w:tcPr>
            <w:tcW w:w="9220" w:type="dxa"/>
            <w:vAlign w:val="bottom"/>
            <w:shd w:val="clear" w:color="auto" w:fill="E5FFFF"/>
          </w:tcPr>
          <w:p>
            <w:pPr>
              <w:spacing w:after="0"/>
              <w:rPr>
                <w:sz w:val="20"/>
                <w:szCs w:val="20"/>
                <w:color w:val="auto"/>
              </w:rPr>
            </w:pPr>
            <w:r>
              <w:rPr>
                <w:rFonts w:ascii="Arial" w:cs="Arial" w:eastAsia="Arial" w:hAnsi="Arial"/>
                <w:sz w:val="16"/>
                <w:szCs w:val="16"/>
                <w:color w:val="auto"/>
              </w:rPr>
              <w:t>Later than four years and not later than five years</w:t>
            </w:r>
          </w:p>
        </w:tc>
        <w:tc>
          <w:tcPr>
            <w:tcW w:w="2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6,443</w:t>
            </w:r>
          </w:p>
        </w:tc>
      </w:tr>
      <w:tr>
        <w:trPr>
          <w:trHeight w:val="207"/>
        </w:trPr>
        <w:tc>
          <w:tcPr>
            <w:tcW w:w="92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$412,775</w:t>
            </w:r>
          </w:p>
        </w:tc>
      </w:tr>
      <w:tr>
        <w:trPr>
          <w:trHeight w:val="20"/>
        </w:trPr>
        <w:tc>
          <w:tcPr>
            <w:tcW w:w="9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30" w:name="page31"/>
    <w:bookmarkEnd w:id="30"/>
    <w:p>
      <w:pPr>
        <w:ind w:firstLine="324"/>
        <w:spacing w:after="0" w:line="369" w:lineRule="auto"/>
        <w:rPr>
          <w:sz w:val="20"/>
          <w:szCs w:val="20"/>
          <w:color w:val="auto"/>
        </w:rPr>
      </w:pPr>
      <w:r>
        <w:rPr>
          <w:rFonts w:ascii="Arial" w:cs="Arial" w:eastAsia="Arial" w:hAnsi="Arial"/>
          <w:sz w:val="14"/>
          <w:szCs w:val="14"/>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12" w:lineRule="exact"/>
        <w:rPr>
          <w:sz w:val="20"/>
          <w:szCs w:val="20"/>
          <w:color w:val="auto"/>
        </w:rPr>
      </w:pPr>
    </w:p>
    <w:p>
      <w:pPr>
        <w:ind w:right="40" w:firstLine="324"/>
        <w:spacing w:after="0" w:line="305" w:lineRule="auto"/>
        <w:rPr>
          <w:sz w:val="20"/>
          <w:szCs w:val="20"/>
          <w:color w:val="auto"/>
        </w:rPr>
      </w:pPr>
      <w:r>
        <w:rPr>
          <w:rFonts w:ascii="Arial" w:cs="Arial" w:eastAsia="Arial" w:hAnsi="Arial"/>
          <w:sz w:val="15"/>
          <w:szCs w:val="15"/>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March 31, 2022, ballast water management systems had been installed on seven out of the eleven vessels.</w:t>
      </w:r>
    </w:p>
    <w:p>
      <w:pPr>
        <w:spacing w:after="0" w:line="152" w:lineRule="exact"/>
        <w:rPr>
          <w:sz w:val="20"/>
          <w:szCs w:val="20"/>
          <w:color w:val="auto"/>
        </w:rPr>
      </w:pPr>
    </w:p>
    <w:p>
      <w:pPr>
        <w:ind w:right="18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1, 2022, GasLog Partners issued 33,700 common units in connection with the vesting of 19,638 RCUs and 14,062 PCUs under its 2015 Plan.</w:t>
      </w:r>
    </w:p>
    <w:p>
      <w:pPr>
        <w:spacing w:after="0" w:line="221" w:lineRule="exact"/>
        <w:rPr>
          <w:sz w:val="20"/>
          <w:szCs w:val="20"/>
          <w:color w:val="auto"/>
        </w:rPr>
      </w:pPr>
    </w:p>
    <w:p>
      <w:pPr>
        <w:ind w:right="680" w:firstLine="324"/>
        <w:spacing w:after="0" w:line="293" w:lineRule="auto"/>
        <w:rPr>
          <w:sz w:val="20"/>
          <w:szCs w:val="20"/>
          <w:color w:val="auto"/>
        </w:rPr>
      </w:pPr>
      <w:r>
        <w:rPr>
          <w:rFonts w:ascii="Arial" w:cs="Arial" w:eastAsia="Arial" w:hAnsi="Arial"/>
          <w:sz w:val="16"/>
          <w:szCs w:val="16"/>
          <w:color w:val="auto"/>
        </w:rPr>
        <w:t>On April 1, 2022 and April 4, 2022, GasLog Partners repurchased and cancelled 3,600 Series B Preference Units and 653 Series C Preference Units under its preference unit repurchase programme.</w:t>
      </w:r>
    </w:p>
    <w:p>
      <w:pPr>
        <w:spacing w:after="0" w:line="158" w:lineRule="exact"/>
        <w:rPr>
          <w:sz w:val="20"/>
          <w:szCs w:val="20"/>
          <w:color w:val="auto"/>
        </w:rPr>
      </w:pPr>
    </w:p>
    <w:p>
      <w:pPr>
        <w:ind w:right="80" w:firstLine="324"/>
        <w:spacing w:after="0" w:line="278" w:lineRule="auto"/>
        <w:rPr>
          <w:sz w:val="20"/>
          <w:szCs w:val="20"/>
          <w:color w:val="auto"/>
        </w:rPr>
      </w:pPr>
      <w:r>
        <w:rPr>
          <w:rFonts w:ascii="Arial" w:cs="Arial" w:eastAsia="Arial" w:hAnsi="Arial"/>
          <w:sz w:val="16"/>
          <w:szCs w:val="16"/>
          <w:color w:val="auto"/>
        </w:rPr>
        <w:t>On April 27, 2022, the board of directors of GasLog Partners approved and declared a quarterly cash distribution of $0.01 per common unit for the quarter ended March 31, 2022. The cash distribution is payable on May 12, 2022 to all unitholders of record as of May 9, 2022. The aggregate amount of the declared distribution will be $522 based on the number of units issued and outstanding as of March 31, 2022.</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3"/>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Roman"/>
      <w:start w:val="3"/>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2022-04-28T06:01:20Z</dcterms:created>
  <dcterms:modified xsi:type="dcterms:W3CDTF">2022-04-28T06:01:20Z</dcterms:modified>
</cp:coreProperties>
</file>