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9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424(b)(2)</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333-220736</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4368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4,000,000 8.500% SERIES C CUMULATIVE REDEEMABLE PERPETUAL FIXED TO FLOATING RATE PREFERENCE UNITS (LIQUIDATION PREFERENCE $25.00 PER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129540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right="60" w:firstLine="348"/>
        <w:spacing w:after="0" w:line="268" w:lineRule="auto"/>
        <w:rPr>
          <w:sz w:val="20"/>
          <w:szCs w:val="20"/>
          <w:color w:val="auto"/>
        </w:rPr>
      </w:pPr>
      <w:r>
        <w:rPr>
          <w:rFonts w:ascii="Arial" w:cs="Arial" w:eastAsia="Arial" w:hAnsi="Arial"/>
          <w:sz w:val="18"/>
          <w:szCs w:val="18"/>
          <w:color w:val="auto"/>
        </w:rPr>
        <w:t>We are offering 4,000,000 of our 8.500% Series C Cumulative Redeemable Perpetual Fixed to Floating Rate Preference Units, liquidation preference $25.00 per unit (the "Series C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right="180" w:firstLine="351"/>
        <w:spacing w:after="0" w:line="294" w:lineRule="auto"/>
        <w:rPr>
          <w:sz w:val="20"/>
          <w:szCs w:val="20"/>
          <w:color w:val="auto"/>
        </w:rPr>
      </w:pPr>
      <w:r>
        <w:rPr>
          <w:rFonts w:ascii="Arial" w:cs="Arial" w:eastAsia="Arial" w:hAnsi="Arial"/>
          <w:sz w:val="16"/>
          <w:szCs w:val="16"/>
          <w:color w:val="auto"/>
        </w:rPr>
        <w:t>Distributions on the Series C Preference Units are cumulative from the date of original issue and will be payable quarterly in arrears on the 15th day of March, June, September and December of each year, when, as and if declared by our board of directors. The initial distribution on the Series C Preference Units offered hereby will be payable on March 15, 2019. Distributions will be payable out of amounts legally available for distributions (i) from and including the original issue date to, but excluding, March 15, 2024 at a fixed rate equal to 8.500% per annum of the stated liquidation preference and (ii) from and including March 15, 2024, at a floating rate equal to three-month LIBOR plus a spread of 5.317% per annum of the stated liquidation preference.</w:t>
      </w:r>
    </w:p>
    <w:p>
      <w:pPr>
        <w:spacing w:after="0" w:line="170" w:lineRule="exact"/>
        <w:rPr>
          <w:sz w:val="24"/>
          <w:szCs w:val="24"/>
          <w:color w:val="auto"/>
        </w:rPr>
      </w:pPr>
    </w:p>
    <w:p>
      <w:pPr>
        <w:ind w:right="120" w:firstLine="341"/>
        <w:spacing w:after="0" w:line="370" w:lineRule="auto"/>
        <w:rPr>
          <w:sz w:val="20"/>
          <w:szCs w:val="20"/>
          <w:color w:val="auto"/>
        </w:rPr>
      </w:pPr>
      <w:r>
        <w:rPr>
          <w:rFonts w:ascii="Arial" w:cs="Arial" w:eastAsia="Arial" w:hAnsi="Arial"/>
          <w:sz w:val="15"/>
          <w:szCs w:val="15"/>
          <w:color w:val="auto"/>
        </w:rPr>
        <w:t>At any time on or after March 15, 2024, the Series C Preference Units may be redeemed, in whole or in part, out of amounts legally available therefor, at a redemption price of $25.00 per unit plus an amount equal to all accumulated and unpaid distributions thereon to the date of redemption, whether or not declared.</w:t>
      </w:r>
    </w:p>
    <w:p>
      <w:pPr>
        <w:spacing w:after="0" w:line="116" w:lineRule="exact"/>
        <w:rPr>
          <w:sz w:val="24"/>
          <w:szCs w:val="24"/>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intend to file an application to list the Series C Preference Units on the New York Stock Exchange, or the NYSE, under the symbol "GLOP PR C". If the application is approved, we expect trading of the Series C Preference Units on the NYSE to begin within 30 days after their original issue date. Currently, there is no public market for the Series C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right="180" w:firstLine="351"/>
        <w:spacing w:after="0" w:line="239" w:lineRule="auto"/>
        <w:rPr>
          <w:sz w:val="20"/>
          <w:szCs w:val="20"/>
          <w:color w:val="auto"/>
        </w:rPr>
      </w:pPr>
      <w:r>
        <w:rPr>
          <w:rFonts w:ascii="Arial" w:cs="Arial" w:eastAsia="Arial" w:hAnsi="Arial"/>
          <w:sz w:val="22"/>
          <w:szCs w:val="22"/>
          <w:b w:val="1"/>
          <w:bCs w:val="1"/>
          <w:color w:val="auto"/>
        </w:rPr>
        <w:t>Investing in our Series C Preference Units involves a high degree of risk. Our Series C Preference Units have not been rated and are subject to the risks associated with unrated securities. Please read the section entitled "Risk Factors" on page S-24 of this prospectus supplement and beginning on page 7 of our Annual Report on Form 20-F before you make an investment in our Series C Preference Units.</w:t>
      </w:r>
    </w:p>
    <w:p>
      <w:pPr>
        <w:spacing w:after="0" w:line="200" w:lineRule="exact"/>
        <w:rPr>
          <w:sz w:val="24"/>
          <w:szCs w:val="24"/>
          <w:color w:val="auto"/>
        </w:rPr>
      </w:pPr>
    </w:p>
    <w:p>
      <w:pPr>
        <w:ind w:right="200" w:firstLine="351"/>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4"/>
                <w:szCs w:val="1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$25.00</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$100,000,000</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120" w:type="dxa"/>
            <w:vAlign w:val="bottom"/>
            <w:gridSpan w:val="2"/>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$0.7875</w:t>
            </w:r>
          </w:p>
        </w:tc>
        <w:tc>
          <w:tcPr>
            <w:tcW w:w="11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$3,150,000</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GasLog Partners LP (before expenses)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$24.2125</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$96,850,000</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4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4"/>
          <w:szCs w:val="24"/>
          <w:color w:val="auto"/>
        </w:rPr>
      </w:pPr>
    </w:p>
    <w:p>
      <w:pPr>
        <w:ind w:left="1680" w:hanging="531"/>
        <w:spacing w:after="0"/>
        <w:tabs>
          <w:tab w:leader="none" w:pos="1680" w:val="left"/>
        </w:tabs>
        <w:numPr>
          <w:ilvl w:val="0"/>
          <w:numId w:val="1"/>
        </w:numPr>
        <w:rPr>
          <w:rFonts w:ascii="Arial" w:cs="Arial" w:eastAsia="Arial" w:hAnsi="Arial"/>
          <w:sz w:val="11"/>
          <w:szCs w:val="11"/>
          <w:color w:val="auto"/>
        </w:rPr>
      </w:pPr>
      <w:r>
        <w:rPr>
          <w:rFonts w:ascii="Arial" w:cs="Arial" w:eastAsia="Arial" w:hAnsi="Arial"/>
          <w:sz w:val="14"/>
          <w:szCs w:val="14"/>
          <w:color w:val="auto"/>
        </w:rPr>
        <w:t>See "Underwriting" for additional information regarding the total underwriting compensation.</w:t>
      </w:r>
    </w:p>
    <w:p>
      <w:pPr>
        <w:spacing w:after="0" w:line="206" w:lineRule="exact"/>
        <w:rPr>
          <w:sz w:val="24"/>
          <w:szCs w:val="24"/>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600,000 Series C Preference Units. If the underwriters exercise the option in full, the total underwriting discounts and commissions payable by us will be $3,622,500, and total proceeds to us before expenses will be $111,377,500.</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underwriters expect to deliver the Series C Preference Units on or about November 15, 2018.</w:t>
      </w:r>
    </w:p>
    <w:p>
      <w:pPr>
        <w:sectPr>
          <w:pgSz w:w="11900" w:h="16838" w:orient="portrait"/>
          <w:cols w:equalWidth="0" w:num="1">
            <w:col w:w="11420"/>
          </w:cols>
          <w:pgMar w:left="240" w:top="685" w:right="239" w:bottom="0" w:gutter="0" w:footer="0" w:header="0"/>
        </w:sectPr>
      </w:pPr>
    </w:p>
    <w:bookmarkStart w:id="1" w:name="page2"/>
    <w:bookmarkEnd w:id="1"/>
    <w:p>
      <w:pPr>
        <w:jc w:val="center"/>
        <w:ind w:left="360"/>
        <w:spacing w:after="0"/>
        <w:rPr>
          <w:sz w:val="20"/>
          <w:szCs w:val="20"/>
          <w:color w:val="auto"/>
        </w:rPr>
      </w:pPr>
      <w:r>
        <w:rPr>
          <w:rFonts w:ascii="Arial" w:cs="Arial" w:eastAsia="Arial" w:hAnsi="Arial"/>
          <w:sz w:val="18"/>
          <w:szCs w:val="18"/>
          <w:i w:val="1"/>
          <w:iCs w:val="1"/>
          <w:color w:val="auto"/>
        </w:rPr>
        <w:t>Joint Bookrunners</w:t>
      </w:r>
    </w:p>
    <w:p>
      <w:pPr>
        <w:spacing w:after="0" w:line="354" w:lineRule="exact"/>
        <w:rPr>
          <w:sz w:val="20"/>
          <w:szCs w:val="20"/>
          <w:color w:val="auto"/>
        </w:rPr>
      </w:pPr>
    </w:p>
    <w:p>
      <w:pPr>
        <w:spacing w:after="0"/>
        <w:tabs>
          <w:tab w:leader="none" w:pos="4020" w:val="left"/>
          <w:tab w:leader="none" w:pos="6540" w:val="left"/>
          <w:tab w:leader="none" w:pos="7780" w:val="left"/>
          <w:tab w:leader="none" w:pos="10040" w:val="left"/>
        </w:tabs>
        <w:rPr>
          <w:sz w:val="20"/>
          <w:szCs w:val="20"/>
          <w:color w:val="auto"/>
        </w:rPr>
      </w:pPr>
      <w:r>
        <w:rPr>
          <w:rFonts w:ascii="Arial" w:cs="Arial" w:eastAsia="Arial" w:hAnsi="Arial"/>
          <w:sz w:val="24"/>
          <w:szCs w:val="24"/>
          <w:b w:val="1"/>
          <w:bCs w:val="1"/>
          <w:color w:val="auto"/>
        </w:rPr>
        <w:t>UBS Investment Bank</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Stifel</w:t>
      </w:r>
      <w:r>
        <w:rPr>
          <w:sz w:val="20"/>
          <w:szCs w:val="20"/>
          <w:color w:val="auto"/>
        </w:rPr>
        <w:tab/>
      </w:r>
      <w:r>
        <w:rPr>
          <w:rFonts w:ascii="Arial" w:cs="Arial" w:eastAsia="Arial" w:hAnsi="Arial"/>
          <w:sz w:val="24"/>
          <w:szCs w:val="24"/>
          <w:b w:val="1"/>
          <w:bCs w:val="1"/>
          <w:color w:val="auto"/>
        </w:rPr>
        <w:t>Citigroup</w:t>
      </w:r>
      <w:r>
        <w:rPr>
          <w:sz w:val="20"/>
          <w:szCs w:val="20"/>
          <w:color w:val="auto"/>
        </w:rPr>
        <w:tab/>
      </w:r>
      <w:r>
        <w:rPr>
          <w:rFonts w:ascii="Arial" w:cs="Arial" w:eastAsia="Arial" w:hAnsi="Arial"/>
          <w:sz w:val="21"/>
          <w:szCs w:val="21"/>
          <w:b w:val="1"/>
          <w:bCs w:val="1"/>
          <w:color w:val="auto"/>
        </w:rPr>
        <w:t>Credit Suisse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96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60" w:type="dxa"/>
            <w:vAlign w:val="bottom"/>
            <w:gridSpan w:val="11"/>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74"/>
        </w:trPr>
        <w:tc>
          <w:tcPr>
            <w:tcW w:w="1140" w:type="dxa"/>
            <w:vAlign w:val="bottom"/>
          </w:tcPr>
          <w:p>
            <w:pPr>
              <w:spacing w:after="0"/>
              <w:rPr>
                <w:sz w:val="24"/>
                <w:szCs w:val="24"/>
                <w:color w:val="auto"/>
              </w:rPr>
            </w:pPr>
          </w:p>
        </w:tc>
        <w:tc>
          <w:tcPr>
            <w:tcW w:w="6820" w:type="dxa"/>
            <w:vAlign w:val="bottom"/>
            <w:gridSpan w:val="29"/>
          </w:tcPr>
          <w:p>
            <w:pPr>
              <w:spacing w:after="0"/>
              <w:rPr>
                <w:sz w:val="20"/>
                <w:szCs w:val="20"/>
                <w:color w:val="auto"/>
              </w:rPr>
            </w:pPr>
            <w:r>
              <w:rPr>
                <w:rFonts w:ascii="Arial" w:cs="Arial" w:eastAsia="Arial" w:hAnsi="Arial"/>
                <w:sz w:val="18"/>
                <w:szCs w:val="18"/>
                <w:b w:val="1"/>
                <w:bCs w:val="1"/>
                <w:color w:val="auto"/>
              </w:rPr>
              <w:t>PROSPECTUS SUPPLEMENT</w:t>
            </w: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3360" w:type="dxa"/>
            <w:vAlign w:val="bottom"/>
            <w:tcBorders>
              <w:bottom w:val="single" w:sz="8" w:color="0000EE"/>
            </w:tcBorders>
            <w:gridSpan w:val="18"/>
          </w:tcPr>
          <w:p>
            <w:pPr>
              <w:spacing w:after="0" w:line="184"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ABOUT THIS PROSPECTUS SUPPLEMENT</w:t>
              </w:r>
            </w:hyperlink>
          </w:p>
        </w:tc>
        <w:tc>
          <w:tcPr>
            <w:tcW w:w="3460" w:type="dxa"/>
            <w:vAlign w:val="bottom"/>
            <w:gridSpan w:val="11"/>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0000EE"/>
            </w:tcBorders>
            <w:gridSpan w:val="2"/>
          </w:tcPr>
          <w:p>
            <w:pPr>
              <w:jc w:val="right"/>
              <w:spacing w:after="0" w:line="184"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980" w:type="dxa"/>
            <w:vAlign w:val="bottom"/>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S-24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FORWARD-LOOKING STATEMENTS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S-34</w:t>
              </w:r>
            </w:hyperlink>
          </w:p>
        </w:tc>
      </w:tr>
      <w:tr>
        <w:trPr>
          <w:trHeight w:val="196"/>
        </w:trPr>
        <w:tc>
          <w:tcPr>
            <w:tcW w:w="11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USE OF PROCEEDS</w:t>
              </w:r>
            </w:hyperlink>
          </w:p>
        </w:tc>
        <w:tc>
          <w:tcPr>
            <w:tcW w:w="1300" w:type="dxa"/>
            <w:vAlign w:val="bottom"/>
            <w:tcBorders>
              <w:top w:val="single" w:sz="8" w:color="0000EE"/>
            </w:tcBorders>
            <w:gridSpan w:val="6"/>
          </w:tcPr>
          <w:p>
            <w:pPr>
              <w:spacing w:after="0"/>
              <w:rPr>
                <w:sz w:val="17"/>
                <w:szCs w:val="17"/>
                <w:color w:val="auto"/>
              </w:rPr>
            </w:pPr>
          </w:p>
        </w:tc>
        <w:tc>
          <w:tcPr>
            <w:tcW w:w="3960" w:type="dxa"/>
            <w:vAlign w:val="bottom"/>
            <w:gridSpan w:val="15"/>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S-36</w:t>
              </w:r>
            </w:hyperlink>
          </w:p>
        </w:tc>
      </w:tr>
      <w:tr>
        <w:trPr>
          <w:trHeight w:val="196"/>
        </w:trPr>
        <w:tc>
          <w:tcPr>
            <w:tcW w:w="1140" w:type="dxa"/>
            <w:vAlign w:val="bottom"/>
          </w:tcPr>
          <w:p>
            <w:pPr>
              <w:spacing w:after="0"/>
              <w:rPr>
                <w:sz w:val="17"/>
                <w:szCs w:val="17"/>
                <w:color w:val="auto"/>
              </w:rPr>
            </w:pPr>
          </w:p>
        </w:tc>
        <w:tc>
          <w:tcPr>
            <w:tcW w:w="682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RATIO OF EARNINGS TO FIXED CHARGES AND PREFERENCE UNIT DISTRIBUTIONS</w:t>
              </w:r>
            </w:hyperlink>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S-37</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CASH AND CAPITALIZATION</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S-38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DESCRIPTION OF SERIES C PREFERENCE UNITS</w:t>
              </w:r>
            </w:hyperlink>
          </w:p>
        </w:tc>
        <w:tc>
          <w:tcPr>
            <w:tcW w:w="2880" w:type="dxa"/>
            <w:vAlign w:val="bottom"/>
            <w:gridSpan w:val="6"/>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S-40</w:t>
              </w:r>
            </w:hyperlink>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SUMMARY OF OUR PARTNERSHIP AGREEMENT</w:t>
              </w:r>
            </w:hyperlink>
          </w:p>
        </w:tc>
        <w:tc>
          <w:tcPr>
            <w:tcW w:w="2900" w:type="dxa"/>
            <w:vAlign w:val="bottom"/>
            <w:gridSpan w:val="7"/>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55">
              <w:r>
                <w:rPr>
                  <w:rFonts w:ascii="Arial" w:cs="Arial" w:eastAsia="Arial" w:hAnsi="Arial"/>
                  <w:sz w:val="18"/>
                  <w:szCs w:val="18"/>
                  <w:color w:val="0000EE"/>
                  <w:w w:val="84"/>
                </w:rPr>
                <w:t>S-49</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72">
              <w:r>
                <w:rPr>
                  <w:rFonts w:ascii="Arial" w:cs="Arial" w:eastAsia="Arial" w:hAnsi="Arial"/>
                  <w:sz w:val="18"/>
                  <w:szCs w:val="18"/>
                  <w:color w:val="0000EE"/>
                  <w:w w:val="84"/>
                </w:rPr>
                <w:t>S-66</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NON-UNITED STATES TAX CONSIDERATIONS</w:t>
              </w:r>
            </w:hyperlink>
          </w:p>
        </w:tc>
        <w:tc>
          <w:tcPr>
            <w:tcW w:w="3120" w:type="dxa"/>
            <w:vAlign w:val="bottom"/>
            <w:gridSpan w:val="8"/>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81">
              <w:r>
                <w:rPr>
                  <w:rFonts w:ascii="Arial" w:cs="Arial" w:eastAsia="Arial" w:hAnsi="Arial"/>
                  <w:sz w:val="18"/>
                  <w:szCs w:val="18"/>
                  <w:color w:val="0000EE"/>
                  <w:w w:val="84"/>
                </w:rPr>
                <w:t>S-75</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UNDERWRITING</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S-76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LEGAL MATTERS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S-83</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5400" w:type="dxa"/>
            <w:vAlign w:val="bottom"/>
            <w:gridSpan w:val="22"/>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S-83</w:t>
              </w:r>
            </w:hyperlink>
          </w:p>
        </w:tc>
      </w:tr>
      <w:tr>
        <w:trPr>
          <w:trHeight w:val="196"/>
        </w:trPr>
        <w:tc>
          <w:tcPr>
            <w:tcW w:w="1140" w:type="dxa"/>
            <w:vAlign w:val="bottom"/>
          </w:tcPr>
          <w:p>
            <w:pPr>
              <w:spacing w:after="0"/>
              <w:rPr>
                <w:sz w:val="17"/>
                <w:szCs w:val="17"/>
                <w:color w:val="auto"/>
              </w:rPr>
            </w:pPr>
          </w:p>
        </w:tc>
        <w:tc>
          <w:tcPr>
            <w:tcW w:w="33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EXPENSES RELATED TO THIS OFFERING</w:t>
              </w:r>
            </w:hyperlink>
          </w:p>
        </w:tc>
        <w:tc>
          <w:tcPr>
            <w:tcW w:w="3500" w:type="dxa"/>
            <w:vAlign w:val="bottom"/>
            <w:gridSpan w:val="12"/>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S-83</w:t>
              </w:r>
            </w:hyperlink>
          </w:p>
        </w:tc>
      </w:tr>
      <w:tr>
        <w:trPr>
          <w:trHeight w:val="196"/>
        </w:trPr>
        <w:tc>
          <w:tcPr>
            <w:tcW w:w="1140" w:type="dxa"/>
            <w:vAlign w:val="bottom"/>
          </w:tcPr>
          <w:p>
            <w:pPr>
              <w:spacing w:after="0"/>
              <w:rPr>
                <w:sz w:val="17"/>
                <w:szCs w:val="17"/>
                <w:color w:val="auto"/>
              </w:rPr>
            </w:pPr>
          </w:p>
        </w:tc>
        <w:tc>
          <w:tcPr>
            <w:tcW w:w="432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S-83</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INCORPORATION OF CERTAIN INFORMATION BY REFERENCE</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S-85</w:t>
              </w:r>
            </w:hyperlink>
          </w:p>
        </w:tc>
      </w:tr>
      <w:tr>
        <w:trPr>
          <w:trHeight w:val="444"/>
        </w:trPr>
        <w:tc>
          <w:tcPr>
            <w:tcW w:w="1140" w:type="dxa"/>
            <w:vAlign w:val="bottom"/>
          </w:tcPr>
          <w:p>
            <w:pPr>
              <w:spacing w:after="0"/>
              <w:rPr>
                <w:sz w:val="24"/>
                <w:szCs w:val="24"/>
                <w:color w:val="auto"/>
              </w:rPr>
            </w:pPr>
          </w:p>
        </w:tc>
        <w:tc>
          <w:tcPr>
            <w:tcW w:w="5060" w:type="dxa"/>
            <w:vAlign w:val="bottom"/>
            <w:tcBorders>
              <w:top w:val="single" w:sz="8" w:color="0000EE"/>
            </w:tcBorders>
            <w:gridSpan w:val="27"/>
          </w:tcPr>
          <w:p>
            <w:pPr>
              <w:spacing w:after="0"/>
              <w:rPr>
                <w:sz w:val="20"/>
                <w:szCs w:val="20"/>
                <w:color w:val="auto"/>
              </w:rPr>
            </w:pPr>
            <w:r>
              <w:rPr>
                <w:rFonts w:ascii="Arial" w:cs="Arial" w:eastAsia="Arial" w:hAnsi="Arial"/>
                <w:sz w:val="18"/>
                <w:szCs w:val="18"/>
                <w:b w:val="1"/>
                <w:bCs w:val="1"/>
                <w:color w:val="auto"/>
              </w:rPr>
              <w:t>PROSPECTUS</w:t>
            </w:r>
          </w:p>
        </w:tc>
        <w:tc>
          <w:tcPr>
            <w:tcW w:w="1760" w:type="dxa"/>
            <w:vAlign w:val="bottom"/>
            <w:gridSpan w:val="2"/>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6820" w:type="dxa"/>
            <w:vAlign w:val="bottom"/>
            <w:gridSpan w:val="29"/>
          </w:tcPr>
          <w:p>
            <w:pPr>
              <w:spacing w:after="0" w:line="184" w:lineRule="exact"/>
              <w:rPr>
                <w:rFonts w:ascii="Arial" w:cs="Arial" w:eastAsia="Arial" w:hAnsi="Arial"/>
                <w:sz w:val="18"/>
                <w:szCs w:val="18"/>
                <w:color w:val="0000EE"/>
              </w:rPr>
            </w:pPr>
            <w:hyperlink w:anchor="page94">
              <w:r>
                <w:rPr>
                  <w:rFonts w:ascii="Arial" w:cs="Arial" w:eastAsia="Arial" w:hAnsi="Arial"/>
                  <w:sz w:val="18"/>
                  <w:szCs w:val="18"/>
                  <w:color w:val="0000EE"/>
                </w:rPr>
                <w:t>FORWARD-LOOKING STATEMENTS</w:t>
              </w:r>
            </w:hyperlink>
          </w:p>
        </w:tc>
        <w:tc>
          <w:tcPr>
            <w:tcW w:w="2320" w:type="dxa"/>
            <w:vAlign w:val="bottom"/>
            <w:gridSpan w:val="5"/>
          </w:tcPr>
          <w:p>
            <w:pPr>
              <w:jc w:val="right"/>
              <w:spacing w:after="0" w:line="184" w:lineRule="exact"/>
              <w:rPr>
                <w:rFonts w:ascii="Arial" w:cs="Arial" w:eastAsia="Arial" w:hAnsi="Arial"/>
                <w:sz w:val="18"/>
                <w:szCs w:val="18"/>
                <w:color w:val="0000EE"/>
              </w:rPr>
            </w:pPr>
            <w:hyperlink w:anchor="page94">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60" w:type="dxa"/>
            <w:vAlign w:val="bottom"/>
            <w:gridSpan w:val="5"/>
          </w:tcPr>
          <w:p>
            <w:pPr>
              <w:spacing w:after="0" w:line="19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THE COMPANY</w:t>
              </w:r>
            </w:hyperlink>
          </w:p>
        </w:tc>
        <w:tc>
          <w:tcPr>
            <w:tcW w:w="1600" w:type="dxa"/>
            <w:vAlign w:val="bottom"/>
            <w:gridSpan w:val="9"/>
          </w:tcPr>
          <w:p>
            <w:pPr>
              <w:spacing w:after="0"/>
              <w:rPr>
                <w:sz w:val="17"/>
                <w:szCs w:val="17"/>
                <w:color w:val="auto"/>
              </w:rPr>
            </w:pPr>
          </w:p>
        </w:tc>
        <w:tc>
          <w:tcPr>
            <w:tcW w:w="3960" w:type="dxa"/>
            <w:vAlign w:val="bottom"/>
            <w:gridSpan w:val="15"/>
          </w:tcPr>
          <w:p>
            <w:pPr>
              <w:spacing w:after="0"/>
              <w:rPr>
                <w:sz w:val="17"/>
                <w:szCs w:val="17"/>
                <w:color w:val="auto"/>
              </w:rPr>
            </w:pPr>
          </w:p>
        </w:tc>
        <w:tc>
          <w:tcPr>
            <w:tcW w:w="2320" w:type="dxa"/>
            <w:vAlign w:val="bottom"/>
            <w:gridSpan w:val="5"/>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60" w:type="dxa"/>
            <w:vAlign w:val="bottom"/>
            <w:gridSpan w:val="5"/>
          </w:tcPr>
          <w:p>
            <w:pPr>
              <w:spacing w:after="0" w:line="196" w:lineRule="exact"/>
              <w:rPr>
                <w:rFonts w:ascii="Arial" w:cs="Arial" w:eastAsia="Arial" w:hAnsi="Arial"/>
                <w:sz w:val="18"/>
                <w:szCs w:val="18"/>
                <w:color w:val="0000EE"/>
                <w:w w:val="93"/>
              </w:rPr>
            </w:pPr>
            <w:hyperlink w:anchor="page98">
              <w:r>
                <w:rPr>
                  <w:rFonts w:ascii="Arial" w:cs="Arial" w:eastAsia="Arial" w:hAnsi="Arial"/>
                  <w:sz w:val="18"/>
                  <w:szCs w:val="18"/>
                  <w:color w:val="0000EE"/>
                  <w:w w:val="93"/>
                </w:rPr>
                <w:t>RISK FACTORS</w:t>
              </w:r>
            </w:hyperlink>
          </w:p>
        </w:tc>
        <w:tc>
          <w:tcPr>
            <w:tcW w:w="5560" w:type="dxa"/>
            <w:vAlign w:val="bottom"/>
            <w:gridSpan w:val="24"/>
          </w:tcPr>
          <w:p>
            <w:pPr>
              <w:spacing w:after="0"/>
              <w:rPr>
                <w:sz w:val="17"/>
                <w:szCs w:val="17"/>
                <w:color w:val="auto"/>
              </w:rPr>
            </w:pPr>
          </w:p>
        </w:tc>
        <w:tc>
          <w:tcPr>
            <w:tcW w:w="2320" w:type="dxa"/>
            <w:vAlign w:val="bottom"/>
            <w:gridSpan w:val="5"/>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SERVICE OF PROCESS AND ENFORCEMENT OF LIABILITIES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880" w:type="dxa"/>
            <w:vAlign w:val="bottom"/>
            <w:gridSpan w:val="2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ABOUT THIS PROSPECTUS</w:t>
              </w:r>
            </w:hyperlink>
          </w:p>
        </w:tc>
        <w:tc>
          <w:tcPr>
            <w:tcW w:w="1940" w:type="dxa"/>
            <w:vAlign w:val="bottom"/>
            <w:gridSpan w:val="3"/>
          </w:tcPr>
          <w:p>
            <w:pPr>
              <w:spacing w:after="0"/>
              <w:rPr>
                <w:sz w:val="17"/>
                <w:szCs w:val="17"/>
                <w:color w:val="auto"/>
              </w:rPr>
            </w:pPr>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320" w:type="dxa"/>
            <w:vAlign w:val="bottom"/>
            <w:gridSpan w:val="24"/>
          </w:tcPr>
          <w:p>
            <w:pPr>
              <w:spacing w:after="0" w:line="19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17"/>
                <w:szCs w:val="17"/>
                <w:color w:val="auto"/>
              </w:rPr>
            </w:pPr>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INCORPORATION OF CERTAIN INFORMATION BY REFERENCE</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RATIO OF EARNINGS TO FIXED CHARGES AND PREFERENCE UNIT DISTRIBUTIONS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USE OF PROCEEDS</w:t>
              </w:r>
            </w:hyperlink>
          </w:p>
        </w:tc>
        <w:tc>
          <w:tcPr>
            <w:tcW w:w="5260" w:type="dxa"/>
            <w:vAlign w:val="bottom"/>
            <w:gridSpan w:val="21"/>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CAPITALIZATION AND INDEBTEDNESS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10</w:t>
              </w:r>
            </w:hyperlink>
          </w:p>
        </w:tc>
      </w:tr>
      <w:tr>
        <w:trPr>
          <w:trHeight w:val="196"/>
        </w:trPr>
        <w:tc>
          <w:tcPr>
            <w:tcW w:w="11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DESCRIPTION OF COMMON UNITS</w:t>
              </w:r>
            </w:hyperlink>
          </w:p>
        </w:tc>
        <w:tc>
          <w:tcPr>
            <w:tcW w:w="340" w:type="dxa"/>
            <w:vAlign w:val="bottom"/>
            <w:tcBorders>
              <w:top w:val="single" w:sz="8" w:color="0000EE"/>
            </w:tcBorders>
            <w:gridSpan w:val="2"/>
          </w:tcPr>
          <w:p>
            <w:pPr>
              <w:spacing w:after="0"/>
              <w:rPr>
                <w:sz w:val="17"/>
                <w:szCs w:val="17"/>
                <w:color w:val="auto"/>
              </w:rPr>
            </w:pPr>
          </w:p>
        </w:tc>
        <w:tc>
          <w:tcPr>
            <w:tcW w:w="3620" w:type="dxa"/>
            <w:vAlign w:val="bottom"/>
            <w:gridSpan w:val="13"/>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DESCRIPTION OF SERIES A PREFERENCE UNITS</w:t>
              </w:r>
            </w:hyperlink>
          </w:p>
        </w:tc>
        <w:tc>
          <w:tcPr>
            <w:tcW w:w="2880" w:type="dxa"/>
            <w:vAlign w:val="bottom"/>
            <w:gridSpan w:val="6"/>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DESCRIPTION OF OTHER CLASSES OF UNITS</w:t>
              </w:r>
            </w:hyperlink>
          </w:p>
        </w:tc>
        <w:tc>
          <w:tcPr>
            <w:tcW w:w="3140" w:type="dxa"/>
            <w:vAlign w:val="bottom"/>
            <w:gridSpan w:val="9"/>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DESCRIPTION OF DEBT SECURITIES</w:t>
              </w:r>
            </w:hyperlink>
          </w:p>
        </w:tc>
        <w:tc>
          <w:tcPr>
            <w:tcW w:w="3860" w:type="dxa"/>
            <w:vAlign w:val="bottom"/>
            <w:gridSpan w:val="14"/>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12</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DESCRIPTION OF WARRANTS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19</w:t>
              </w:r>
            </w:hyperlink>
          </w:p>
        </w:tc>
      </w:tr>
      <w:tr>
        <w:trPr>
          <w:trHeight w:val="196"/>
        </w:trPr>
        <w:tc>
          <w:tcPr>
            <w:tcW w:w="11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113">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3"/>
          </w:tcPr>
          <w:p>
            <w:pPr>
              <w:spacing w:after="0"/>
              <w:rPr>
                <w:sz w:val="17"/>
                <w:szCs w:val="17"/>
                <w:color w:val="auto"/>
              </w:rPr>
            </w:pPr>
          </w:p>
        </w:tc>
        <w:tc>
          <w:tcPr>
            <w:tcW w:w="4400" w:type="dxa"/>
            <w:vAlign w:val="bottom"/>
            <w:gridSpan w:val="16"/>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64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DESCRIPTION OF THE COMBINATION UNITS</w:t>
              </w:r>
            </w:hyperlink>
          </w:p>
        </w:tc>
        <w:tc>
          <w:tcPr>
            <w:tcW w:w="3180" w:type="dxa"/>
            <w:vAlign w:val="bottom"/>
            <w:gridSpan w:val="10"/>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20</w:t>
              </w:r>
            </w:hyperlink>
          </w:p>
        </w:tc>
      </w:tr>
      <w:tr>
        <w:trPr>
          <w:trHeight w:val="196"/>
        </w:trPr>
        <w:tc>
          <w:tcPr>
            <w:tcW w:w="1140" w:type="dxa"/>
            <w:vAlign w:val="bottom"/>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SUMMARY OF OUR PARTNERSHIP AGREEMENT</w:t>
              </w:r>
            </w:hyperlink>
          </w:p>
        </w:tc>
        <w:tc>
          <w:tcPr>
            <w:tcW w:w="2900" w:type="dxa"/>
            <w:vAlign w:val="bottom"/>
            <w:gridSpan w:val="7"/>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4">
              <w:r>
                <w:rPr>
                  <w:rFonts w:ascii="Arial" w:cs="Arial" w:eastAsia="Arial" w:hAnsi="Arial"/>
                  <w:sz w:val="18"/>
                  <w:szCs w:val="18"/>
                  <w:color w:val="0000EE"/>
                  <w:w w:val="79"/>
                </w:rPr>
                <w:t>21</w:t>
              </w:r>
            </w:hyperlink>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129">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29">
              <w:r>
                <w:rPr>
                  <w:rFonts w:ascii="Arial" w:cs="Arial" w:eastAsia="Arial" w:hAnsi="Arial"/>
                  <w:sz w:val="18"/>
                  <w:szCs w:val="18"/>
                  <w:color w:val="0000EE"/>
                  <w:w w:val="79"/>
                </w:rPr>
                <w:t>36</w:t>
              </w:r>
            </w:hyperlink>
          </w:p>
        </w:tc>
      </w:tr>
      <w:tr>
        <w:trPr>
          <w:trHeight w:val="196"/>
        </w:trPr>
        <w:tc>
          <w:tcPr>
            <w:tcW w:w="1140" w:type="dxa"/>
            <w:vAlign w:val="bottom"/>
          </w:tcPr>
          <w:p>
            <w:pPr>
              <w:spacing w:after="0"/>
              <w:rPr>
                <w:sz w:val="17"/>
                <w:szCs w:val="17"/>
                <w:color w:val="auto"/>
              </w:rPr>
            </w:pPr>
          </w:p>
        </w:tc>
        <w:tc>
          <w:tcPr>
            <w:tcW w:w="476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41">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NON-UNITED STATES TAX CONSIDERATIONS</w:t>
              </w:r>
            </w:hyperlink>
          </w:p>
        </w:tc>
        <w:tc>
          <w:tcPr>
            <w:tcW w:w="3120" w:type="dxa"/>
            <w:vAlign w:val="bottom"/>
            <w:gridSpan w:val="8"/>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1">
              <w:r>
                <w:rPr>
                  <w:rFonts w:ascii="Arial" w:cs="Arial" w:eastAsia="Arial" w:hAnsi="Arial"/>
                  <w:sz w:val="18"/>
                  <w:szCs w:val="18"/>
                  <w:color w:val="0000EE"/>
                  <w:w w:val="79"/>
                </w:rPr>
                <w:t>48</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PLAN OF DISTRIBUTION</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48</w:t>
              </w:r>
            </w:hyperlink>
          </w:p>
        </w:tc>
      </w:tr>
      <w:tr>
        <w:trPr>
          <w:trHeight w:val="196"/>
        </w:trPr>
        <w:tc>
          <w:tcPr>
            <w:tcW w:w="1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EXPENSES</w:t>
              </w:r>
            </w:hyperlink>
          </w:p>
        </w:tc>
        <w:tc>
          <w:tcPr>
            <w:tcW w:w="1100" w:type="dxa"/>
            <w:vAlign w:val="bottom"/>
            <w:tcBorders>
              <w:top w:val="single" w:sz="8" w:color="0000EE"/>
            </w:tcBorders>
            <w:gridSpan w:val="6"/>
          </w:tcPr>
          <w:p>
            <w:pPr>
              <w:spacing w:after="0"/>
              <w:rPr>
                <w:sz w:val="17"/>
                <w:szCs w:val="17"/>
                <w:color w:val="auto"/>
              </w:rPr>
            </w:pPr>
          </w:p>
        </w:tc>
        <w:tc>
          <w:tcPr>
            <w:tcW w:w="4820" w:type="dxa"/>
            <w:vAlign w:val="bottom"/>
            <w:gridSpan w:val="20"/>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3">
              <w:r>
                <w:rPr>
                  <w:rFonts w:ascii="Arial" w:cs="Arial" w:eastAsia="Arial" w:hAnsi="Arial"/>
                  <w:sz w:val="18"/>
                  <w:szCs w:val="18"/>
                  <w:color w:val="0000EE"/>
                  <w:w w:val="79"/>
                </w:rPr>
                <w:t>50</w:t>
              </w:r>
            </w:hyperlink>
          </w:p>
        </w:tc>
      </w:tr>
      <w:tr>
        <w:trPr>
          <w:trHeight w:val="196"/>
        </w:trPr>
        <w:tc>
          <w:tcPr>
            <w:tcW w:w="1140" w:type="dxa"/>
            <w:vAlign w:val="bottom"/>
          </w:tcPr>
          <w:p>
            <w:pPr>
              <w:spacing w:after="0"/>
              <w:rPr>
                <w:sz w:val="17"/>
                <w:szCs w:val="17"/>
                <w:color w:val="auto"/>
              </w:rPr>
            </w:pPr>
          </w:p>
        </w:tc>
        <w:tc>
          <w:tcPr>
            <w:tcW w:w="6820" w:type="dxa"/>
            <w:vAlign w:val="bottom"/>
            <w:gridSpan w:val="29"/>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LEGAL MATTERS</w:t>
              </w:r>
            </w:hyperlink>
          </w:p>
        </w:tc>
        <w:tc>
          <w:tcPr>
            <w:tcW w:w="2320" w:type="dxa"/>
            <w:vAlign w:val="bottom"/>
            <w:gridSpan w:val="5"/>
          </w:tcPr>
          <w:p>
            <w:pPr>
              <w:jc w:val="right"/>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50</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5400" w:type="dxa"/>
            <w:vAlign w:val="bottom"/>
            <w:gridSpan w:val="22"/>
          </w:tcPr>
          <w:p>
            <w:pPr>
              <w:spacing w:after="0"/>
              <w:rPr>
                <w:sz w:val="17"/>
                <w:szCs w:val="17"/>
                <w:color w:val="auto"/>
              </w:rPr>
            </w:pPr>
          </w:p>
        </w:tc>
        <w:tc>
          <w:tcPr>
            <w:tcW w:w="21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3">
              <w:r>
                <w:rPr>
                  <w:rFonts w:ascii="Arial" w:cs="Arial" w:eastAsia="Arial" w:hAnsi="Arial"/>
                  <w:sz w:val="18"/>
                  <w:szCs w:val="18"/>
                  <w:color w:val="0000EE"/>
                  <w:w w:val="79"/>
                </w:rPr>
                <w:t>50</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174" w:lineRule="exact"/>
        <w:rPr>
          <w:sz w:val="20"/>
          <w:szCs w:val="20"/>
          <w:color w:val="auto"/>
        </w:rPr>
      </w:pPr>
    </w:p>
    <w:p>
      <w:pPr>
        <w:ind w:right="60" w:firstLine="345"/>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expect that delivery of the Series C Preference Units will be made to investors on November 15, 2018, which will be the fifth business day following the date of pricing of the Series C Preference Units (such settlement being referred to as "T+5"). Under Rule 15c6-1 under the Exchange Act, trades in the secondary market are required to settle in two business days, unless the parties to any such trade expressly agree otherwise. Accordingly, purchasers who wish to trade their Series C Preference Units on the initial pricing date of the Series C Preference Units or the succeeding two business days will be required, by virtue of the fact that the Series C Preference Units initially will settle in T+5, to specify an alternate settlement arrangement at the time of any such trade to prevent a failed settlement and should consult their advisors.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978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978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right="60" w:firstLine="351"/>
        <w:spacing w:after="0" w:line="298"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accompanying prospectus. The information presented in this prospectus supplement assumes, unless otherwise noted, that the underwriters do not exercise their option to purchase additional Series C Preference Units. You should read "Risk Factors" beginning on page S-24 of this prospectus supplement and beginning on page 7 of our Annual Report on Form 20-F filed with the Securities and Exchange Commission ("SEC") on February 12, 2018 ("Annual Report on Form 20-F").</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 this prospectus supplement, unless otherwise indicated, references to:</w:t>
      </w:r>
    </w:p>
    <w:p>
      <w:pPr>
        <w:spacing w:after="0" w:line="252" w:lineRule="exact"/>
        <w:rPr>
          <w:sz w:val="20"/>
          <w:szCs w:val="20"/>
          <w:color w:val="auto"/>
        </w:rPr>
      </w:pPr>
    </w:p>
    <w:p>
      <w:pPr>
        <w:ind w:left="1320" w:right="84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Partners", the "Partnership", "we", "our", "us" or similar terms refer to GasLog Partners LP or any one or more of its subsidiaries, or to all such entities unless the context otherwise indicates;</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320" w:right="50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"our general partner" refers to GasLog Partners GP LLC, the general partner of GasLog Partners and a wholly owned subsidiary of GasLog;</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LNG Services" refers to GasLog LNG Services Ltd., a wholly owned subsidiary of GasLog;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"GasLog Partners Holdings" refers to GasLog Partners Holdings LLC, a wholly owned subsidiary of GasLog;</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"Shell" refers to Royal Dutch Shell plc or any one or more of its subsidiaries;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"Mitsui" refers to Mitsui &amp; Co., Ltd.;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"Lepta Shipping" refers to Lepta Shipping Co., Ltd., a subsidiary of Mitsui;</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"Centrica" refers to Pioneer Shipping Limited, a wholly owned subsidiary of Centrica plc;</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"Cheniere" </w:t>
      </w:r>
      <w:r>
        <w:rPr>
          <w:rFonts w:ascii="Arial" w:cs="Arial" w:eastAsia="Arial" w:hAnsi="Arial"/>
          <w:sz w:val="18"/>
          <w:szCs w:val="18"/>
          <w:color w:val="auto"/>
        </w:rPr>
        <w:t>refers to</w:t>
      </w:r>
      <w:r>
        <w:rPr>
          <w:rFonts w:ascii="Arial" w:cs="Arial" w:eastAsia="Arial" w:hAnsi="Arial"/>
          <w:sz w:val="18"/>
          <w:szCs w:val="18"/>
          <w:i w:val="1"/>
          <w:iCs w:val="1"/>
          <w:color w:val="auto"/>
        </w:rPr>
        <w:t xml:space="preserve"> Cheniere Energy, Inc.;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"LNG" refers to liquefied natural gas;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"Cool Pool" refers to an LNG carrier pooling arrangement operated by GasLog and Golar LNG Ltd.;</w:t>
      </w:r>
    </w:p>
    <w:p>
      <w:pPr>
        <w:spacing w:after="0" w:line="252" w:lineRule="exact"/>
        <w:rPr>
          <w:rFonts w:ascii="Arial" w:cs="Arial" w:eastAsia="Arial" w:hAnsi="Arial"/>
          <w:sz w:val="18"/>
          <w:szCs w:val="18"/>
          <w:color w:val="auto"/>
        </w:rPr>
      </w:pPr>
    </w:p>
    <w:p>
      <w:pPr>
        <w:ind w:left="1320" w:right="46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"Series A Preference Units" refers to the 8.625% Series A Cumulative Redeemable Perpetual Fixed to Floating Rate Preference Units issued by us on May 15, 2017;</w:t>
      </w:r>
    </w:p>
    <w:p>
      <w:pPr>
        <w:spacing w:after="0" w:line="199" w:lineRule="exact"/>
        <w:rPr>
          <w:rFonts w:ascii="Arial" w:cs="Arial" w:eastAsia="Arial" w:hAnsi="Arial"/>
          <w:sz w:val="18"/>
          <w:szCs w:val="18"/>
          <w:color w:val="auto"/>
        </w:rPr>
      </w:pPr>
    </w:p>
    <w:p>
      <w:pPr>
        <w:ind w:left="1320" w:right="46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"Series B Preference Units" refers to the 8.200% Series B Cumulative Redeemable Perpetual Fixed to Floating Rate Preference Units issued by us on January 17, 2018;</w:t>
      </w:r>
    </w:p>
    <w:p>
      <w:pPr>
        <w:spacing w:after="0" w:line="199" w:lineRule="exact"/>
        <w:rPr>
          <w:rFonts w:ascii="Arial" w:cs="Arial" w:eastAsia="Arial" w:hAnsi="Arial"/>
          <w:sz w:val="18"/>
          <w:szCs w:val="18"/>
          <w:color w:val="auto"/>
        </w:rPr>
      </w:pPr>
    </w:p>
    <w:p>
      <w:pPr>
        <w:ind w:left="1320" w:right="22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"omnibus agreement" refers to the Omnibus Agreement dated May 12, 2014 by and among the Partnership, GasLog, our general partner and GasLog Partners Holdings LLC, as amended;</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"IPO" refers to the initial public offering of GasLog Partners on May 12, 2014;</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"IFRS" refers to International Financial Reporting Standards;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"IASB" refers to International Accounting Standards Board;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"NYSE" refers to the New York Stock Exchange;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"SEC" refers to the U.S. Securities and Exchange Commission;</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"dollars" and "$" refer to, and amounts are presented in, U.S. dollars;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"TFDE" refers to tri-fuel diesel electric;</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"Steam" refers to steam-powered;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"LP-2S" refers to low pressure dual-fuel two-stroke engine propulsion;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"cbm" refers to cubic meters.</w:t>
      </w:r>
    </w:p>
    <w:p>
      <w:pPr>
        <w:sectPr>
          <w:pgSz w:w="11900" w:h="16838" w:orient="portrait"/>
          <w:cols w:equalWidth="0" w:num="1">
            <w:col w:w="11180"/>
          </w:cols>
          <w:pgMar w:left="240" w:top="131" w:right="479" w:bottom="337" w:gutter="0" w:footer="0" w:header="0"/>
        </w:sectPr>
      </w:pPr>
    </w:p>
    <w:bookmarkStart w:id="6" w:name="page7"/>
    <w:bookmarkEnd w:id="6"/>
    <w:p>
      <w:pPr>
        <w:jc w:val="center"/>
        <w:ind w:right="-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10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10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160" w:firstLine="348"/>
        <w:spacing w:after="0" w:line="256"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Our fleet of 13 LNG carriers, 12 of which have fixed charter terms expiring between 2019 and 2026 that can be extended at the charterers' option, and one that currently operates in the spot market, were contributed to us by, or acquired by us from, GasLog, which controls us through its ownership of our general partner.</w:t>
      </w:r>
    </w:p>
    <w:p>
      <w:pPr>
        <w:spacing w:after="0" w:line="197" w:lineRule="exact"/>
        <w:rPr>
          <w:sz w:val="20"/>
          <w:szCs w:val="20"/>
          <w:color w:val="auto"/>
        </w:rPr>
      </w:pPr>
    </w:p>
    <w:p>
      <w:pPr>
        <w:ind w:left="240" w:right="220" w:firstLine="351"/>
        <w:spacing w:after="0" w:line="323" w:lineRule="auto"/>
        <w:rPr>
          <w:sz w:val="20"/>
          <w:szCs w:val="20"/>
          <w:color w:val="auto"/>
        </w:rPr>
      </w:pPr>
      <w:r>
        <w:rPr>
          <w:rFonts w:ascii="Arial" w:cs="Arial" w:eastAsia="Arial" w:hAnsi="Arial"/>
          <w:sz w:val="15"/>
          <w:szCs w:val="15"/>
          <w:color w:val="auto"/>
        </w:rPr>
        <w:t xml:space="preserve">Our fleet consists of 13 LNG carriers, including eight vessels with modern TFDE propulsion technology and five Steam vessels that operate under multi-year charters, except for the </w:t>
      </w:r>
      <w:r>
        <w:rPr>
          <w:rFonts w:ascii="Arial" w:cs="Arial" w:eastAsia="Arial" w:hAnsi="Arial"/>
          <w:sz w:val="15"/>
          <w:szCs w:val="15"/>
          <w:i w:val="1"/>
          <w:iCs w:val="1"/>
          <w:color w:val="auto"/>
        </w:rPr>
        <w:t>GasLog Shanghai</w:t>
      </w:r>
      <w:r>
        <w:rPr>
          <w:rFonts w:ascii="Arial" w:cs="Arial" w:eastAsia="Arial" w:hAnsi="Arial"/>
          <w:sz w:val="15"/>
          <w:szCs w:val="15"/>
          <w:color w:val="auto"/>
        </w:rPr>
        <w:t>, which currently operates in the spot market through the Cool Pool.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 in the future.</w:t>
      </w:r>
    </w:p>
    <w:p>
      <w:pPr>
        <w:spacing w:after="0" w:line="152" w:lineRule="exact"/>
        <w:rPr>
          <w:sz w:val="20"/>
          <w:szCs w:val="20"/>
          <w:color w:val="auto"/>
        </w:rPr>
      </w:pPr>
    </w:p>
    <w:p>
      <w:pPr>
        <w:ind w:left="240" w:right="40" w:firstLine="348"/>
        <w:spacing w:after="0" w:line="291" w:lineRule="auto"/>
        <w:rPr>
          <w:sz w:val="20"/>
          <w:szCs w:val="20"/>
          <w:color w:val="auto"/>
        </w:rPr>
      </w:pPr>
      <w:r>
        <w:rPr>
          <w:rFonts w:ascii="Arial" w:cs="Arial" w:eastAsia="Arial" w:hAnsi="Arial"/>
          <w:sz w:val="16"/>
          <w:szCs w:val="16"/>
          <w:color w:val="auto"/>
        </w:rPr>
        <w:t>We operate our vessels mainly under multi-year charters with fixed-fee contracts that generate predictable cash flows during the life of these charters. We intend to grow our portfolio through further acquisitions of LNG carriers or other LNG infrastructure assets from GasLog and third parties. However, we cannot assure you that we will make any particular acquisition or that, as a consequence, we will successfully grow our per common unit distributions. Among other things, our ability to acquire additional LNG carriers or other LNG infrastructure assets will be dependent upon our ability to raise additional equity and debt financing. For further discussion of the risks that we face, please see "Risk Factors" beginning on page S-24 and please read "Item 3. Key Information—D. Risk Factors" of our Annual Report on Form 20-F.</w:t>
      </w:r>
    </w:p>
    <w:p>
      <w:pPr>
        <w:spacing w:after="0" w:line="174" w:lineRule="exact"/>
        <w:rPr>
          <w:sz w:val="20"/>
          <w:szCs w:val="20"/>
          <w:color w:val="auto"/>
        </w:rPr>
      </w:pPr>
    </w:p>
    <w:p>
      <w:pPr>
        <w:ind w:left="240" w:firstLine="348"/>
        <w:spacing w:after="0" w:line="283" w:lineRule="auto"/>
        <w:rPr>
          <w:sz w:val="20"/>
          <w:szCs w:val="20"/>
          <w:color w:val="auto"/>
        </w:rPr>
      </w:pPr>
      <w:r>
        <w:rPr>
          <w:rFonts w:ascii="Arial" w:cs="Arial" w:eastAsia="Arial" w:hAnsi="Arial"/>
          <w:sz w:val="16"/>
          <w:szCs w:val="16"/>
          <w:color w:val="auto"/>
        </w:rPr>
        <w:t>We are controlled by GasLog, which currently holds a 27.5% interest (including the 2% interest through general partner units) in us, and owns and controls our general partner. The issuance of the Series C Preference Units in this offering will not affect this limited partner percentage ownership of GasLog, as the Series C Preference Units will not be included in the calculation of "Percentage Interest" as defined in our Partnership Agreement. GasLog is, we believe, a leading independent international owner, operator and manager of LNG carriers and provides support to international energy companies as part of their LNG logistics chain. GasLog was founded by its chairman, Peter G. Livanos, whose family's shipping activities commenced more than</w:t>
      </w:r>
    </w:p>
    <w:p>
      <w:pPr>
        <w:spacing w:after="0" w:line="2" w:lineRule="exact"/>
        <w:rPr>
          <w:sz w:val="20"/>
          <w:szCs w:val="20"/>
          <w:color w:val="auto"/>
        </w:rPr>
      </w:pPr>
    </w:p>
    <w:p>
      <w:pPr>
        <w:ind w:left="240" w:right="100"/>
        <w:spacing w:after="0" w:line="312" w:lineRule="auto"/>
        <w:rPr>
          <w:sz w:val="20"/>
          <w:szCs w:val="20"/>
          <w:color w:val="auto"/>
        </w:rPr>
      </w:pPr>
      <w:r>
        <w:rPr>
          <w:rFonts w:ascii="Arial" w:cs="Arial" w:eastAsia="Arial" w:hAnsi="Arial"/>
          <w:sz w:val="15"/>
          <w:szCs w:val="15"/>
          <w:color w:val="auto"/>
        </w:rPr>
        <w:t>100 years ago. On April 4, 2012, GasLog completed its initial public offering, and its common shares began trading on the NYSE on March 30, 2012, under the symbol "GLOG". At the time of its initial public offering, GasLog's wholly owned fleet consisted of ten LNG carriers, including eight newbuildings on order. Since its initial public offering, GasLog has increased by approximately 105% the total carrying capacity of vessels in its fleet, which includes vessels on the water and newbuildings on order. As of November 7, 2018, GasLog's wholly owned fleet includes 19 LNG carriers (including 12 ships in operation and 7 LNG carriers on order) and GasLog has one LNG carrier operating under its technical management for third parties and a vessel secured under a long-term bareboat charter from Lepta Shipping, a subsidiary of Mitsui. See "—Our Fleet" and "—Additional Vessels".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927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92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about our fleet as of November 7, 2018:</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4"/>
                <w:szCs w:val="14"/>
                <w:b w:val="1"/>
                <w:bCs w:val="1"/>
                <w:color w:val="auto"/>
              </w:rPr>
              <w:t>Cargo</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5"/>
              </w:rPr>
              <w:t>Capacity</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LNG Carrier</w:t>
            </w: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 Built</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(cbm)</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Charterer</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5"/>
                <w:szCs w:val="15"/>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Optional Period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 xml:space="preserve">1 </w:t>
            </w:r>
            <w:r>
              <w:rPr>
                <w:rFonts w:ascii="Arial" w:cs="Arial" w:eastAsia="Arial" w:hAnsi="Arial"/>
                <w:sz w:val="18"/>
                <w:szCs w:val="18"/>
                <w:i w:val="1"/>
                <w:iCs w:val="1"/>
                <w:color w:val="auto"/>
                <w:w w:val="86"/>
              </w:rPr>
              <w:t>Methane</w:t>
            </w:r>
          </w:p>
        </w:tc>
        <w:tc>
          <w:tcPr>
            <w:tcW w:w="202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rPr>
              <w:t>Rita Andrea</w:t>
            </w:r>
          </w:p>
        </w:tc>
        <w:tc>
          <w:tcPr>
            <w:tcW w:w="840" w:type="dxa"/>
            <w:vAlign w:val="bottom"/>
            <w:tcBorders>
              <w:top w:val="single" w:sz="8" w:color="CCEEFF"/>
            </w:tcBorders>
            <w:shd w:val="clear" w:color="auto" w:fill="CCEEFF"/>
          </w:tcPr>
          <w:p>
            <w:pPr>
              <w:jc w:val="center"/>
              <w:ind w:left="14"/>
              <w:spacing w:after="0" w:line="189" w:lineRule="exact"/>
              <w:rPr>
                <w:sz w:val="20"/>
                <w:szCs w:val="20"/>
                <w:color w:val="auto"/>
              </w:rPr>
            </w:pPr>
            <w:r>
              <w:rPr>
                <w:rFonts w:ascii="Arial" w:cs="Arial" w:eastAsia="Arial" w:hAnsi="Arial"/>
                <w:sz w:val="18"/>
                <w:szCs w:val="18"/>
                <w:color w:val="auto"/>
                <w:w w:val="84"/>
              </w:rPr>
              <w:t>2006</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w w:val="82"/>
              </w:rPr>
              <w:t>145,000</w:t>
            </w:r>
          </w:p>
        </w:tc>
        <w:tc>
          <w:tcPr>
            <w:tcW w:w="1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CCEEFF"/>
            </w:tcBorders>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89"/>
              </w:rPr>
              <w:t>Shell</w:t>
            </w: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4"/>
              </w:rPr>
              <w:t>Steam</w:t>
            </w: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April 2020</w:t>
            </w:r>
          </w:p>
        </w:tc>
        <w:tc>
          <w:tcPr>
            <w:tcW w:w="1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gridSpan w:val="2"/>
            <w:shd w:val="clear" w:color="auto" w:fill="CCEEFF"/>
          </w:tcPr>
          <w:p>
            <w:pPr>
              <w:jc w:val="center"/>
              <w:ind w:right="8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October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i w:val="1"/>
                <w:iCs w:val="1"/>
                <w:color w:val="auto"/>
              </w:rPr>
              <w:t>Methane Jane Elizabeth</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2006</w:t>
            </w:r>
          </w:p>
        </w:tc>
        <w:tc>
          <w:tcPr>
            <w:tcW w:w="16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tcPr>
          <w:p>
            <w:pPr>
              <w:spacing w:after="0"/>
              <w:rPr>
                <w:sz w:val="22"/>
                <w:szCs w:val="2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140" w:type="dxa"/>
            <w:vAlign w:val="bottom"/>
            <w:gridSpan w:val="2"/>
          </w:tcPr>
          <w:p>
            <w:pPr>
              <w:jc w:val="center"/>
              <w:ind w:left="92"/>
              <w:spacing w:after="0" w:line="263" w:lineRule="exact"/>
              <w:rPr>
                <w:sz w:val="20"/>
                <w:szCs w:val="20"/>
                <w:color w:val="auto"/>
              </w:rPr>
            </w:pPr>
            <w:r>
              <w:rPr>
                <w:rFonts w:ascii="Arial" w:cs="Arial" w:eastAsia="Arial" w:hAnsi="Arial"/>
                <w:sz w:val="18"/>
                <w:szCs w:val="18"/>
                <w:color w:val="auto"/>
                <w:w w:val="81"/>
              </w:rPr>
              <w:t>2019</w:t>
            </w:r>
            <w:r>
              <w:rPr>
                <w:rFonts w:ascii="Arial" w:cs="Arial" w:eastAsia="Arial" w:hAnsi="Arial"/>
                <w:sz w:val="29"/>
                <w:szCs w:val="29"/>
                <w:color w:val="auto"/>
                <w:w w:val="81"/>
                <w:vertAlign w:val="superscript"/>
              </w:rPr>
              <w:t>(1)</w:t>
            </w:r>
          </w:p>
        </w:tc>
        <w:tc>
          <w:tcPr>
            <w:tcW w:w="160" w:type="dxa"/>
            <w:vAlign w:val="bottom"/>
          </w:tcPr>
          <w:p>
            <w:pPr>
              <w:spacing w:after="0"/>
              <w:rPr>
                <w:sz w:val="22"/>
                <w:szCs w:val="22"/>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December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i w:val="1"/>
                <w:iCs w:val="1"/>
                <w:color w:val="auto"/>
              </w:rPr>
              <w:t>Methane Alison Victoria</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2007</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140" w:type="dxa"/>
            <w:vAlign w:val="bottom"/>
            <w:gridSpan w:val="2"/>
            <w:shd w:val="clear" w:color="auto" w:fill="CCEEFF"/>
          </w:tcPr>
          <w:p>
            <w:pPr>
              <w:jc w:val="center"/>
              <w:ind w:left="92"/>
              <w:spacing w:after="0" w:line="263" w:lineRule="exact"/>
              <w:rPr>
                <w:sz w:val="20"/>
                <w:szCs w:val="20"/>
                <w:color w:val="auto"/>
              </w:rPr>
            </w:pPr>
            <w:r>
              <w:rPr>
                <w:rFonts w:ascii="Arial" w:cs="Arial" w:eastAsia="Arial" w:hAnsi="Arial"/>
                <w:sz w:val="18"/>
                <w:szCs w:val="18"/>
                <w:color w:val="auto"/>
                <w:w w:val="81"/>
              </w:rPr>
              <w:t>2019</w:t>
            </w:r>
            <w:r>
              <w:rPr>
                <w:rFonts w:ascii="Arial" w:cs="Arial" w:eastAsia="Arial" w:hAnsi="Arial"/>
                <w:sz w:val="29"/>
                <w:szCs w:val="29"/>
                <w:color w:val="auto"/>
                <w:w w:val="81"/>
                <w:vertAlign w:val="superscript"/>
              </w:rPr>
              <w:t>(1)</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2780" w:type="dxa"/>
            <w:vAlign w:val="bottom"/>
            <w:gridSpan w:val="3"/>
            <w:vMerge w:val="restart"/>
          </w:tcPr>
          <w:p>
            <w:pPr>
              <w:ind w:left="160"/>
              <w:spacing w:after="0"/>
              <w:rPr>
                <w:sz w:val="20"/>
                <w:szCs w:val="20"/>
                <w:color w:val="auto"/>
              </w:rPr>
            </w:pPr>
            <w:r>
              <w:rPr>
                <w:rFonts w:ascii="Arial" w:cs="Arial" w:eastAsia="Arial" w:hAnsi="Arial"/>
                <w:sz w:val="18"/>
                <w:szCs w:val="18"/>
                <w:i w:val="1"/>
                <w:iCs w:val="1"/>
                <w:color w:val="auto"/>
              </w:rPr>
              <w:t xml:space="preserve">Methane Jane Elizabeth </w:t>
            </w:r>
            <w:r>
              <w:rPr>
                <w:rFonts w:ascii="Arial" w:cs="Arial" w:eastAsia="Arial" w:hAnsi="Arial"/>
                <w:sz w:val="18"/>
                <w:szCs w:val="18"/>
                <w:color w:val="auto"/>
              </w:rPr>
              <w:t>or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November or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78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88"/>
              </w:rPr>
              <w:t>New</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6"/>
              </w:rPr>
              <w:t>December</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780" w:type="dxa"/>
            <w:vAlign w:val="bottom"/>
            <w:gridSpan w:val="3"/>
          </w:tcPr>
          <w:p>
            <w:pPr>
              <w:ind w:left="320"/>
              <w:spacing w:after="0" w:line="263"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color w:val="auto"/>
                <w:vertAlign w:val="superscript"/>
              </w:rPr>
              <w:t>(1)</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2006/2007</w:t>
            </w: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tcPr>
          <w:p>
            <w:pPr>
              <w:spacing w:after="0"/>
              <w:rPr>
                <w:sz w:val="22"/>
                <w:szCs w:val="2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Customer</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1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2020</w:t>
            </w:r>
          </w:p>
        </w:tc>
        <w:tc>
          <w:tcPr>
            <w:tcW w:w="1240" w:type="dxa"/>
            <w:vAlign w:val="bottom"/>
            <w:gridSpan w:val="2"/>
          </w:tcPr>
          <w:p>
            <w:pPr>
              <w:jc w:val="center"/>
              <w:ind w:left="172"/>
              <w:spacing w:after="0" w:line="263" w:lineRule="exact"/>
              <w:rPr>
                <w:sz w:val="20"/>
                <w:szCs w:val="20"/>
                <w:color w:val="auto"/>
              </w:rPr>
            </w:pPr>
            <w:r>
              <w:rPr>
                <w:rFonts w:ascii="Arial" w:cs="Arial" w:eastAsia="Arial" w:hAnsi="Arial"/>
                <w:sz w:val="18"/>
                <w:szCs w:val="18"/>
                <w:color w:val="auto"/>
                <w:w w:val="85"/>
              </w:rPr>
              <w:t>2021-2024</w:t>
            </w:r>
            <w:r>
              <w:rPr>
                <w:rFonts w:ascii="Arial" w:cs="Arial" w:eastAsia="Arial" w:hAnsi="Arial"/>
                <w:sz w:val="29"/>
                <w:szCs w:val="29"/>
                <w:color w:val="auto"/>
                <w:w w:val="85"/>
                <w:vertAlign w:val="superscript"/>
              </w:rPr>
              <w:t>(2)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i w:val="1"/>
                <w:iCs w:val="1"/>
                <w:color w:val="auto"/>
              </w:rPr>
              <w:t>Methane Shirley Elisabeth</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2007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i w:val="1"/>
                <w:iCs w:val="1"/>
                <w:color w:val="auto"/>
              </w:rPr>
              <w:t>Methane Heather Sally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December</w:t>
            </w:r>
          </w:p>
        </w:tc>
        <w:tc>
          <w:tcPr>
            <w:tcW w:w="124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85"/>
              </w:rPr>
              <w:t>2023-2025</w:t>
            </w:r>
            <w:r>
              <w:rPr>
                <w:rFonts w:ascii="Arial" w:cs="Arial" w:eastAsia="Arial" w:hAnsi="Arial"/>
                <w:sz w:val="29"/>
                <w:szCs w:val="29"/>
                <w:color w:val="auto"/>
                <w:w w:val="85"/>
                <w:vertAlign w:val="superscript"/>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gridSpan w:val="3"/>
            <w:vMerge w:val="continue"/>
          </w:tcPr>
          <w:p>
            <w:pPr>
              <w:spacing w:after="0"/>
              <w:rPr>
                <w:sz w:val="19"/>
                <w:szCs w:val="19"/>
                <w:color w:val="auto"/>
              </w:rPr>
            </w:pP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2007</w:t>
            </w:r>
          </w:p>
        </w:tc>
        <w:tc>
          <w:tcPr>
            <w:tcW w:w="1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145,000</w:t>
            </w:r>
          </w:p>
        </w:tc>
        <w:tc>
          <w:tcPr>
            <w:tcW w:w="1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1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2020</w:t>
            </w: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Spot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i w:val="1"/>
                <w:iCs w:val="1"/>
                <w:color w:val="auto"/>
              </w:rPr>
              <w:t>GasLog Shanghai</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60"/>
              <w:spacing w:after="0" w:line="263" w:lineRule="exact"/>
              <w:rPr>
                <w:sz w:val="20"/>
                <w:szCs w:val="20"/>
                <w:color w:val="auto"/>
              </w:rPr>
            </w:pPr>
            <w:r>
              <w:rPr>
                <w:rFonts w:ascii="Arial" w:cs="Arial" w:eastAsia="Arial" w:hAnsi="Arial"/>
                <w:sz w:val="18"/>
                <w:szCs w:val="18"/>
                <w:color w:val="auto"/>
                <w:w w:val="86"/>
              </w:rPr>
              <w:t>Market</w:t>
            </w:r>
            <w:r>
              <w:rPr>
                <w:rFonts w:ascii="Arial" w:cs="Arial" w:eastAsia="Arial" w:hAnsi="Arial"/>
                <w:sz w:val="29"/>
                <w:szCs w:val="29"/>
                <w:color w:val="auto"/>
                <w:w w:val="86"/>
                <w:vertAlign w:val="superscript"/>
              </w:rPr>
              <w:t>(4)</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December</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i w:val="1"/>
                <w:iCs w:val="1"/>
                <w:color w:val="auto"/>
              </w:rPr>
              <w:t>GasLog Santiago</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New</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2021 or</w:t>
            </w:r>
          </w:p>
        </w:tc>
        <w:tc>
          <w:tcPr>
            <w:tcW w:w="124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85"/>
              </w:rPr>
              <w:t>2022-2028</w:t>
            </w:r>
            <w:r>
              <w:rPr>
                <w:rFonts w:ascii="Arial" w:cs="Arial" w:eastAsia="Arial" w:hAnsi="Arial"/>
                <w:sz w:val="29"/>
                <w:szCs w:val="29"/>
                <w:color w:val="auto"/>
                <w:w w:val="85"/>
                <w:vertAlign w:val="superscript"/>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gridSpan w:val="3"/>
            <w:vMerge w:val="continue"/>
          </w:tcPr>
          <w:p>
            <w:pPr>
              <w:spacing w:after="0"/>
              <w:rPr>
                <w:sz w:val="19"/>
                <w:szCs w:val="19"/>
                <w:color w:val="auto"/>
              </w:rPr>
            </w:pP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Customer</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January 2022</w:t>
            </w: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i w:val="1"/>
                <w:iCs w:val="1"/>
                <w:color w:val="auto"/>
              </w:rPr>
              <w:t>GasLog Sydney</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60"/>
              <w:spacing w:after="0" w:line="256" w:lineRule="exact"/>
              <w:rPr>
                <w:sz w:val="20"/>
                <w:szCs w:val="20"/>
                <w:color w:val="auto"/>
              </w:rPr>
            </w:pPr>
            <w:r>
              <w:rPr>
                <w:rFonts w:ascii="Arial" w:cs="Arial" w:eastAsia="Arial" w:hAnsi="Arial"/>
                <w:sz w:val="18"/>
                <w:szCs w:val="18"/>
                <w:color w:val="auto"/>
                <w:w w:val="82"/>
              </w:rPr>
              <w:t>Cheniere</w:t>
            </w:r>
            <w:r>
              <w:rPr>
                <w:rFonts w:ascii="Arial" w:cs="Arial" w:eastAsia="Arial" w:hAnsi="Arial"/>
                <w:sz w:val="29"/>
                <w:szCs w:val="29"/>
                <w:color w:val="auto"/>
                <w:w w:val="82"/>
                <w:vertAlign w:val="superscript"/>
              </w:rPr>
              <w:t>(6)</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2020</w:t>
            </w:r>
          </w:p>
        </w:tc>
        <w:tc>
          <w:tcPr>
            <w:tcW w:w="1240" w:type="dxa"/>
            <w:vAlign w:val="bottom"/>
            <w:gridSpan w:val="2"/>
            <w:shd w:val="clear" w:color="auto" w:fill="CCEEFF"/>
          </w:tcPr>
          <w:p>
            <w:pPr>
              <w:jc w:val="center"/>
              <w:ind w:left="172"/>
              <w:spacing w:after="0" w:line="256" w:lineRule="exact"/>
              <w:rPr>
                <w:sz w:val="20"/>
                <w:szCs w:val="20"/>
                <w:color w:val="auto"/>
              </w:rPr>
            </w:pPr>
            <w:r>
              <w:rPr>
                <w:rFonts w:ascii="Arial" w:cs="Arial" w:eastAsia="Arial" w:hAnsi="Arial"/>
                <w:sz w:val="18"/>
                <w:szCs w:val="18"/>
                <w:color w:val="auto"/>
                <w:w w:val="85"/>
              </w:rPr>
              <w:t>2020-2021</w:t>
            </w:r>
            <w:r>
              <w:rPr>
                <w:rFonts w:ascii="Arial" w:cs="Arial" w:eastAsia="Arial" w:hAnsi="Arial"/>
                <w:sz w:val="29"/>
                <w:szCs w:val="29"/>
                <w:color w:val="auto"/>
                <w:w w:val="85"/>
                <w:vertAlign w:val="superscript"/>
              </w:rPr>
              <w:t>(7)</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i w:val="1"/>
                <w:iCs w:val="1"/>
                <w:color w:val="auto"/>
              </w:rPr>
              <w:t>GasLog Seattle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December</w:t>
            </w:r>
          </w:p>
        </w:tc>
        <w:tc>
          <w:tcPr>
            <w:tcW w:w="1240" w:type="dxa"/>
            <w:vAlign w:val="bottom"/>
            <w:gridSpan w:val="2"/>
            <w:vMerge w:val="restart"/>
          </w:tcPr>
          <w:p>
            <w:pPr>
              <w:jc w:val="center"/>
              <w:ind w:left="172"/>
              <w:spacing w:after="0"/>
              <w:rPr>
                <w:sz w:val="20"/>
                <w:szCs w:val="20"/>
                <w:color w:val="auto"/>
              </w:rPr>
            </w:pPr>
            <w:r>
              <w:rPr>
                <w:rFonts w:ascii="Arial" w:cs="Arial" w:eastAsia="Arial" w:hAnsi="Arial"/>
                <w:sz w:val="18"/>
                <w:szCs w:val="18"/>
                <w:color w:val="auto"/>
                <w:w w:val="85"/>
              </w:rPr>
              <w:t>2025-2030</w:t>
            </w:r>
            <w:r>
              <w:rPr>
                <w:rFonts w:ascii="Arial" w:cs="Arial" w:eastAsia="Arial" w:hAnsi="Arial"/>
                <w:sz w:val="29"/>
                <w:szCs w:val="29"/>
                <w:color w:val="auto"/>
                <w:w w:val="85"/>
                <w:vertAlign w:val="superscript"/>
              </w:rPr>
              <w:t>(8)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gridSpan w:val="3"/>
            <w:vMerge w:val="continue"/>
          </w:tcPr>
          <w:p>
            <w:pPr>
              <w:spacing w:after="0"/>
              <w:rPr>
                <w:sz w:val="19"/>
                <w:szCs w:val="19"/>
                <w:color w:val="auto"/>
              </w:rPr>
            </w:pP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2013</w:t>
            </w:r>
          </w:p>
        </w:tc>
        <w:tc>
          <w:tcPr>
            <w:tcW w:w="16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14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2020</w:t>
            </w: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i w:val="1"/>
                <w:iCs w:val="1"/>
                <w:color w:val="auto"/>
              </w:rPr>
              <w:t>Solaris</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2014</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155,000</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2021</w:t>
            </w:r>
          </w:p>
        </w:tc>
        <w:tc>
          <w:tcPr>
            <w:tcW w:w="1240" w:type="dxa"/>
            <w:vAlign w:val="bottom"/>
            <w:gridSpan w:val="2"/>
            <w:shd w:val="clear" w:color="auto" w:fill="CCEEFF"/>
          </w:tcPr>
          <w:p>
            <w:pPr>
              <w:jc w:val="center"/>
              <w:ind w:left="172"/>
              <w:spacing w:after="0" w:line="256" w:lineRule="exact"/>
              <w:rPr>
                <w:sz w:val="20"/>
                <w:szCs w:val="20"/>
                <w:color w:val="auto"/>
              </w:rPr>
            </w:pPr>
            <w:r>
              <w:rPr>
                <w:rFonts w:ascii="Arial" w:cs="Arial" w:eastAsia="Arial" w:hAnsi="Arial"/>
                <w:sz w:val="18"/>
                <w:szCs w:val="18"/>
                <w:color w:val="auto"/>
                <w:w w:val="85"/>
              </w:rPr>
              <w:t>2026-2031</w:t>
            </w:r>
            <w:r>
              <w:rPr>
                <w:rFonts w:ascii="Arial" w:cs="Arial" w:eastAsia="Arial" w:hAnsi="Arial"/>
                <w:sz w:val="29"/>
                <w:szCs w:val="29"/>
                <w:color w:val="auto"/>
                <w:w w:val="85"/>
                <w:vertAlign w:val="superscript"/>
              </w:rPr>
              <w:t>(8)</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i w:val="1"/>
                <w:iCs w:val="1"/>
                <w:color w:val="auto"/>
              </w:rPr>
              <w:t>GasLog Greece</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174,000</w:t>
            </w:r>
          </w:p>
        </w:tc>
        <w:tc>
          <w:tcPr>
            <w:tcW w:w="180" w:type="dxa"/>
            <w:vAlign w:val="bottom"/>
          </w:tcPr>
          <w:p>
            <w:pPr>
              <w:spacing w:after="0"/>
              <w:rPr>
                <w:sz w:val="22"/>
                <w:szCs w:val="2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1240" w:type="dxa"/>
            <w:vAlign w:val="bottom"/>
            <w:gridSpan w:val="2"/>
          </w:tcPr>
          <w:p>
            <w:pPr>
              <w:jc w:val="center"/>
              <w:ind w:left="152"/>
              <w:spacing w:after="0" w:line="256" w:lineRule="exact"/>
              <w:rPr>
                <w:sz w:val="20"/>
                <w:szCs w:val="20"/>
                <w:color w:val="auto"/>
              </w:rPr>
            </w:pPr>
            <w:r>
              <w:rPr>
                <w:rFonts w:ascii="Arial" w:cs="Arial" w:eastAsia="Arial" w:hAnsi="Arial"/>
                <w:sz w:val="18"/>
                <w:szCs w:val="18"/>
                <w:color w:val="auto"/>
                <w:w w:val="81"/>
              </w:rPr>
              <w:t>2031</w:t>
            </w:r>
            <w:r>
              <w:rPr>
                <w:rFonts w:ascii="Arial" w:cs="Arial" w:eastAsia="Arial" w:hAnsi="Arial"/>
                <w:sz w:val="29"/>
                <w:szCs w:val="29"/>
                <w:color w:val="auto"/>
                <w:w w:val="81"/>
                <w:vertAlign w:val="superscript"/>
              </w:rPr>
              <w:t>(9)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7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i w:val="1"/>
                <w:iCs w:val="1"/>
                <w:color w:val="auto"/>
              </w:rPr>
              <w:t>GasLog Geneva</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September</w:t>
            </w:r>
          </w:p>
        </w:tc>
        <w:tc>
          <w:tcPr>
            <w:tcW w:w="142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82"/>
              </w:rPr>
              <w:t>2028-2031</w:t>
            </w:r>
            <w:r>
              <w:rPr>
                <w:rFonts w:ascii="Arial" w:cs="Arial" w:eastAsia="Arial" w:hAnsi="Arial"/>
                <w:sz w:val="29"/>
                <w:szCs w:val="29"/>
                <w:color w:val="auto"/>
                <w:w w:val="82"/>
                <w:vertAlign w:val="superscript"/>
              </w:rPr>
              <w:t>(10)</w:t>
            </w:r>
          </w:p>
        </w:tc>
        <w:tc>
          <w:tcPr>
            <w:tcW w:w="0" w:type="dxa"/>
            <w:vAlign w:val="bottom"/>
          </w:tcPr>
          <w:p>
            <w:pPr>
              <w:spacing w:after="0"/>
              <w:rPr>
                <w:sz w:val="1"/>
                <w:szCs w:val="1"/>
                <w:color w:val="auto"/>
              </w:rPr>
            </w:pPr>
          </w:p>
        </w:tc>
      </w:tr>
      <w:tr>
        <w:trPr>
          <w:trHeight w:val="224"/>
        </w:trPr>
        <w:tc>
          <w:tcPr>
            <w:tcW w:w="2780" w:type="dxa"/>
            <w:vAlign w:val="bottom"/>
            <w:gridSpan w:val="3"/>
            <w:vMerge w:val="continue"/>
            <w:shd w:val="clear" w:color="auto" w:fill="CCEEFF"/>
          </w:tcPr>
          <w:p>
            <w:pPr>
              <w:spacing w:after="0"/>
              <w:rPr>
                <w:sz w:val="19"/>
                <w:szCs w:val="19"/>
                <w:color w:val="auto"/>
              </w:rPr>
            </w:pP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4"/>
              </w:rPr>
              <w:t>2016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174,000</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1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2023</w:t>
            </w:r>
          </w:p>
        </w:tc>
        <w:tc>
          <w:tcPr>
            <w:tcW w:w="142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i w:val="1"/>
                <w:iCs w:val="1"/>
                <w:color w:val="auto"/>
              </w:rPr>
              <w:t>GasLog Gibraltar</w:t>
            </w:r>
            <w:r>
              <w:rPr>
                <w:rFonts w:ascii="Arial" w:cs="Arial" w:eastAsia="Arial" w:hAnsi="Arial"/>
                <w:sz w:val="29"/>
                <w:szCs w:val="29"/>
                <w:color w:val="auto"/>
                <w:vertAlign w:val="superscript"/>
              </w:rPr>
              <w:t>(11)</w:t>
            </w:r>
          </w:p>
        </w:tc>
        <w:tc>
          <w:tcPr>
            <w:tcW w:w="840" w:type="dxa"/>
            <w:vAlign w:val="bottom"/>
          </w:tcPr>
          <w:p>
            <w:pPr>
              <w:jc w:val="center"/>
              <w:ind w:left="14"/>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174,000</w:t>
            </w:r>
          </w:p>
        </w:tc>
        <w:tc>
          <w:tcPr>
            <w:tcW w:w="18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Shell</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2"/>
              </w:rPr>
              <w:t>2028-2031</w:t>
            </w:r>
            <w:r>
              <w:rPr>
                <w:rFonts w:ascii="Arial" w:cs="Arial" w:eastAsia="Arial" w:hAnsi="Arial"/>
                <w:sz w:val="29"/>
                <w:szCs w:val="29"/>
                <w:color w:val="auto"/>
                <w:w w:val="82"/>
                <w:vertAlign w:val="superscript"/>
              </w:rPr>
              <w:t>(10)</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right="24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GasLog Partners has secured a one-year charter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w:t>
      </w:r>
    </w:p>
    <w:p>
      <w:pPr>
        <w:spacing w:after="0" w:line="111" w:lineRule="exact"/>
        <w:rPr>
          <w:rFonts w:ascii="Arial" w:cs="Arial" w:eastAsia="Arial" w:hAnsi="Arial"/>
          <w:sz w:val="11"/>
          <w:szCs w:val="11"/>
          <w:color w:val="auto"/>
        </w:rPr>
      </w:pPr>
    </w:p>
    <w:p>
      <w:pPr>
        <w:ind w:left="188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right="100" w:hanging="544"/>
        <w:spacing w:after="0" w:line="318" w:lineRule="auto"/>
        <w:tabs>
          <w:tab w:leader="none" w:pos="1880" w:val="left"/>
        </w:tabs>
        <w:numPr>
          <w:ilvl w:val="0"/>
          <w:numId w:val="3"/>
        </w:numPr>
        <w:rPr>
          <w:rFonts w:ascii="Arial" w:cs="Arial" w:eastAsia="Arial" w:hAnsi="Arial"/>
          <w:sz w:val="10"/>
          <w:szCs w:val="10"/>
          <w:color w:val="auto"/>
        </w:rPr>
      </w:pPr>
      <w:r>
        <w:rPr>
          <w:rFonts w:ascii="Arial" w:cs="Arial" w:eastAsia="Arial" w:hAnsi="Arial"/>
          <w:sz w:val="12"/>
          <w:szCs w:val="12"/>
          <w:color w:val="auto"/>
        </w:rPr>
        <w:t>Charterer may extend the term of the related charters for one extension period of three or five years, and each charter requires that the charterer gives us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vessel is currently operating in the spot market under the Cool Pool.</w:t>
      </w:r>
    </w:p>
    <w:p>
      <w:pPr>
        <w:spacing w:after="0" w:line="122" w:lineRule="exact"/>
        <w:rPr>
          <w:rFonts w:ascii="Arial" w:cs="Arial" w:eastAsia="Arial" w:hAnsi="Arial"/>
          <w:sz w:val="11"/>
          <w:szCs w:val="11"/>
          <w:color w:val="auto"/>
        </w:rPr>
      </w:pPr>
    </w:p>
    <w:p>
      <w:pPr>
        <w:ind w:left="1880" w:right="30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3"/>
        </w:numPr>
        <w:rPr>
          <w:rFonts w:ascii="Arial" w:cs="Arial" w:eastAsia="Arial" w:hAnsi="Arial"/>
          <w:sz w:val="10"/>
          <w:szCs w:val="10"/>
          <w:color w:val="auto"/>
        </w:rPr>
      </w:pPr>
      <w:r>
        <w:rPr>
          <w:rFonts w:ascii="Arial" w:cs="Arial" w:eastAsia="Arial" w:hAnsi="Arial"/>
          <w:sz w:val="12"/>
          <w:szCs w:val="12"/>
          <w:color w:val="auto"/>
        </w:rPr>
        <w:t>The vessel is currently operating in the spot market under a short-term charter and is expected to begin her 18-month charter with Cheniere in December 2018.</w:t>
      </w:r>
    </w:p>
    <w:p>
      <w:pPr>
        <w:spacing w:after="0" w:line="145" w:lineRule="exact"/>
        <w:rPr>
          <w:rFonts w:ascii="Arial" w:cs="Arial" w:eastAsia="Arial" w:hAnsi="Arial"/>
          <w:sz w:val="10"/>
          <w:szCs w:val="10"/>
          <w:color w:val="auto"/>
        </w:rPr>
      </w:pPr>
    </w:p>
    <w:p>
      <w:pPr>
        <w:ind w:left="1880" w:right="16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right="180" w:hanging="544"/>
        <w:spacing w:after="0" w:line="318" w:lineRule="auto"/>
        <w:tabs>
          <w:tab w:leader="none" w:pos="1880" w:val="left"/>
        </w:tabs>
        <w:numPr>
          <w:ilvl w:val="0"/>
          <w:numId w:val="3"/>
        </w:numPr>
        <w:rPr>
          <w:rFonts w:ascii="Arial" w:cs="Arial" w:eastAsia="Arial" w:hAnsi="Arial"/>
          <w:sz w:val="10"/>
          <w:szCs w:val="10"/>
          <w:color w:val="auto"/>
        </w:rPr>
      </w:pPr>
      <w:r>
        <w:rPr>
          <w:rFonts w:ascii="Arial" w:cs="Arial" w:eastAsia="Arial" w:hAnsi="Arial"/>
          <w:sz w:val="12"/>
          <w:szCs w:val="12"/>
          <w:color w:val="auto"/>
        </w:rPr>
        <w:t>Charterer may extend the term of these time charters for a period ranging from five to ten years, provided that the charterer gives us advance notice of its exercise of any extension option. The period shown reflects the expiration of the minimum optional period and the maximum optional period.</w:t>
      </w:r>
    </w:p>
    <w:p>
      <w:pPr>
        <w:spacing w:after="0" w:line="66" w:lineRule="exact"/>
        <w:rPr>
          <w:rFonts w:ascii="Arial" w:cs="Arial" w:eastAsia="Arial" w:hAnsi="Arial"/>
          <w:sz w:val="10"/>
          <w:szCs w:val="10"/>
          <w:color w:val="auto"/>
        </w:r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the time charter for a period of five years, provided that the charterer gives us advance notice of declaration.</w:t>
      </w:r>
    </w:p>
    <w:p>
      <w:pPr>
        <w:spacing w:after="0" w:line="122" w:lineRule="exact"/>
        <w:rPr>
          <w:rFonts w:ascii="Arial" w:cs="Arial" w:eastAsia="Arial" w:hAnsi="Arial"/>
          <w:sz w:val="11"/>
          <w:szCs w:val="11"/>
          <w:color w:val="auto"/>
        </w:rPr>
      </w:pPr>
    </w:p>
    <w:p>
      <w:pPr>
        <w:ind w:left="1880" w:right="260" w:hanging="544"/>
        <w:spacing w:after="0" w:line="239" w:lineRule="auto"/>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880" w:hanging="544"/>
        <w:spacing w:after="0"/>
        <w:tabs>
          <w:tab w:leader="none" w:pos="1880" w:val="left"/>
        </w:tabs>
        <w:numPr>
          <w:ilvl w:val="0"/>
          <w:numId w:val="3"/>
        </w:numPr>
        <w:rPr>
          <w:rFonts w:ascii="Arial" w:cs="Arial" w:eastAsia="Arial" w:hAnsi="Arial"/>
          <w:sz w:val="11"/>
          <w:szCs w:val="11"/>
          <w:color w:val="auto"/>
        </w:rPr>
      </w:pPr>
      <w:r>
        <w:rPr>
          <w:rFonts w:ascii="Arial" w:cs="Arial" w:eastAsia="Arial" w:hAnsi="Arial"/>
          <w:sz w:val="14"/>
          <w:szCs w:val="14"/>
          <w:color w:val="auto"/>
        </w:rPr>
        <w:t xml:space="preserve">On April 26, 2018, GasLog Partners acquired from GasLog 100% of the shares in the entity that owns and charters the </w:t>
      </w:r>
      <w:r>
        <w:rPr>
          <w:rFonts w:ascii="Arial" w:cs="Arial" w:eastAsia="Arial" w:hAnsi="Arial"/>
          <w:sz w:val="14"/>
          <w:szCs w:val="14"/>
          <w:i w:val="1"/>
          <w:iCs w:val="1"/>
          <w:color w:val="auto"/>
        </w:rPr>
        <w:t>GasLog Gibraltar</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73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27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0" w:firstLine="351"/>
        <w:spacing w:after="0" w:line="332" w:lineRule="auto"/>
        <w:rPr>
          <w:sz w:val="20"/>
          <w:szCs w:val="20"/>
          <w:color w:val="auto"/>
        </w:rPr>
      </w:pPr>
      <w:r>
        <w:rPr>
          <w:rFonts w:ascii="Arial" w:cs="Arial" w:eastAsia="Arial" w:hAnsi="Arial"/>
          <w:sz w:val="16"/>
          <w:szCs w:val="16"/>
          <w:color w:val="auto"/>
        </w:rPr>
        <w:t xml:space="preserve">On October 25, 2018, GasLog Partners announced an agreement with GasLog to purchase 100% of the ownership interest in GAS-twenty seven Ltd., the entity that owns and charters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to Shell. The acquisition is expected to close in November 2018.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left="240" w:firstLine="348"/>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are due to come off charter in October 2019, December 2019, April 2020 and June 2020, respectively, each plus or minus 30 days. GasLog Partners has secured a one-year charter for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(as nominated by the Partnership), commencing in either November or December 2019 at the Partnership's option. GasLog Partners continues to pursue opportunities for new multi-year charters with third parties and, on an interim basis, may consider trading the vessels in the spot market, pursuing the most advantageous redeployment depending on evolving market conditions.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Vessels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225"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 xml:space="preserve">We currently have the option to purchase from GasLog: (i)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within 36 months after GasLog notifies our board of directors of her acceptance by her charterers and (ii)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within 30 days after GasLog notifies us that the vessel has commenced its multi-year charter with Shell. In each case, our option to purchase is at fair market value as determined pursuant to the omnibus agreement. Our option to acquire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Julia Louise </w:t>
      </w:r>
      <w:r>
        <w:rPr>
          <w:rFonts w:ascii="Arial" w:cs="Arial" w:eastAsia="Arial" w:hAnsi="Arial"/>
          <w:sz w:val="16"/>
          <w:szCs w:val="16"/>
          <w:color w:val="auto"/>
        </w:rPr>
        <w:t>expired in March 2018, while the options to acquire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expired in April 2018. In each case,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to purchase is at fair market value as determined pursuant to the omnibus agreement. See "Item 7. Major Unitholders and Related Party Transactions —B. Related Party Transactions—Omnibus Agreement—Noncompetition" of our Annual Report on Form 20-F for additional information on the LNG carrier purchase options.</w:t>
      </w:r>
    </w:p>
    <w:p>
      <w:pPr>
        <w:spacing w:after="0" w:line="15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Capacity</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160" w:type="dxa"/>
            <w:vAlign w:val="bottom"/>
            <w:gridSpan w:val="4"/>
          </w:tcPr>
          <w:p>
            <w:pPr>
              <w:spacing w:after="0"/>
              <w:rPr>
                <w:sz w:val="20"/>
                <w:szCs w:val="20"/>
                <w:color w:val="auto"/>
              </w:rPr>
            </w:pPr>
            <w:r>
              <w:rPr>
                <w:rFonts w:ascii="Arial" w:cs="Arial" w:eastAsia="Arial" w:hAnsi="Arial"/>
                <w:sz w:val="14"/>
                <w:szCs w:val="14"/>
                <w:b w:val="1"/>
                <w:bCs w:val="1"/>
                <w:color w:val="auto"/>
              </w:rPr>
              <w:t>LNG Carrier</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7"/>
              </w:rPr>
              <w:t>Year Built</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(cbm)</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2"/>
              </w:rPr>
              <w:t>Expiration</w:t>
            </w:r>
            <w:r>
              <w:rPr>
                <w:rFonts w:ascii="Arial" w:cs="Arial" w:eastAsia="Arial" w:hAnsi="Arial"/>
                <w:sz w:val="20"/>
                <w:szCs w:val="20"/>
                <w:b w:val="1"/>
                <w:bCs w:val="1"/>
                <w:color w:val="auto"/>
                <w:w w:val="92"/>
                <w:vertAlign w:val="superscript"/>
              </w:rPr>
              <w:t>(1)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1</w:t>
            </w:r>
          </w:p>
        </w:tc>
        <w:tc>
          <w:tcPr>
            <w:tcW w:w="66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w w:val="98"/>
              </w:rPr>
              <w:t>GasLog</w:t>
            </w:r>
          </w:p>
        </w:tc>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Glasgow</w:t>
            </w:r>
          </w:p>
        </w:tc>
        <w:tc>
          <w:tcPr>
            <w:tcW w:w="92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2016</w:t>
            </w:r>
          </w:p>
        </w:tc>
        <w:tc>
          <w:tcPr>
            <w:tcW w:w="860" w:type="dxa"/>
            <w:vAlign w:val="bottom"/>
            <w:tcBorders>
              <w:top w:val="single" w:sz="8" w:color="CCEEFF"/>
            </w:tcBorders>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174,000</w:t>
            </w:r>
          </w:p>
        </w:tc>
        <w:tc>
          <w:tcPr>
            <w:tcW w:w="64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TFDE</w:t>
            </w: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365"/>
        </w:trPr>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2</w:t>
            </w:r>
          </w:p>
        </w:tc>
        <w:tc>
          <w:tcPr>
            <w:tcW w:w="2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color w:val="auto"/>
                <w:vertAlign w:val="superscript"/>
              </w:rPr>
              <w:t>(2)</w:t>
            </w:r>
          </w:p>
        </w:tc>
        <w:tc>
          <w:tcPr>
            <w:tcW w:w="18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174,000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6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May 2028</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Indicates the expiration of the initial fixed term.</w:t>
      </w:r>
    </w:p>
    <w:p>
      <w:pPr>
        <w:spacing w:after="0" w:line="122" w:lineRule="exact"/>
        <w:rPr>
          <w:rFonts w:ascii="Arial" w:cs="Arial" w:eastAsia="Arial" w:hAnsi="Arial"/>
          <w:sz w:val="11"/>
          <w:szCs w:val="11"/>
          <w:color w:val="auto"/>
        </w:rPr>
      </w:pPr>
    </w:p>
    <w:p>
      <w:pPr>
        <w:ind w:left="1880" w:right="240" w:hanging="544"/>
        <w:spacing w:after="0" w:line="239" w:lineRule="auto"/>
        <w:tabs>
          <w:tab w:leader="none" w:pos="1880" w:val="left"/>
        </w:tabs>
        <w:numPr>
          <w:ilvl w:val="0"/>
          <w:numId w:val="4"/>
        </w:numPr>
        <w:rPr>
          <w:rFonts w:ascii="Arial" w:cs="Arial" w:eastAsia="Arial" w:hAnsi="Arial"/>
          <w:sz w:val="11"/>
          <w:szCs w:val="11"/>
          <w:color w:val="auto"/>
        </w:rPr>
      </w:pPr>
      <w:r>
        <w:rPr>
          <w:rFonts w:ascii="Arial" w:cs="Arial" w:eastAsia="Arial" w:hAnsi="Arial"/>
          <w:sz w:val="14"/>
          <w:szCs w:val="14"/>
          <w:color w:val="auto"/>
        </w:rPr>
        <w:t>The vessel is currently on a short-term charter until the commencement of her multi-year charter party with a subsidiary of Shell, from the beginning of 2019 until May 2028.</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left="240" w:right="80" w:firstLine="351"/>
        <w:spacing w:after="0" w:line="290"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five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8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58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following the notice from GasLog that each vessel has been acquired or has become a Five-Year Vessel.</w:t>
      </w: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Cargo</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Year Built</w:t>
            </w:r>
            <w:r>
              <w:rPr>
                <w:rFonts w:ascii="Arial" w:cs="Arial" w:eastAsia="Arial" w:hAnsi="Arial"/>
                <w:sz w:val="22"/>
                <w:szCs w:val="22"/>
                <w:b w:val="1"/>
                <w:bCs w:val="1"/>
                <w:color w:val="auto"/>
                <w:w w:val="96"/>
                <w:vertAlign w:val="superscript"/>
              </w:rPr>
              <w:t>(1)</w:t>
            </w:r>
          </w:p>
        </w:tc>
        <w:tc>
          <w:tcPr>
            <w:tcW w:w="160" w:type="dxa"/>
            <w:vAlign w:val="bottom"/>
            <w:vMerge w:val="restart"/>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Capacity</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96"/>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LNG Carrier</w:t>
            </w:r>
          </w:p>
        </w:tc>
        <w:tc>
          <w:tcPr>
            <w:tcW w:w="92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8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5"/>
              </w:rPr>
              <w:t>Expiration</w:t>
            </w:r>
            <w:r>
              <w:rPr>
                <w:rFonts w:ascii="Arial" w:cs="Arial" w:eastAsia="Arial" w:hAnsi="Arial"/>
                <w:sz w:val="20"/>
                <w:szCs w:val="20"/>
                <w:b w:val="1"/>
                <w:bCs w:val="1"/>
                <w:color w:val="auto"/>
                <w:w w:val="95"/>
                <w:vertAlign w:val="superscript"/>
              </w:rPr>
              <w:t>(2)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 xml:space="preserve">1 </w:t>
            </w:r>
            <w:r>
              <w:rPr>
                <w:rFonts w:ascii="Arial" w:cs="Arial" w:eastAsia="Arial" w:hAnsi="Arial"/>
                <w:sz w:val="18"/>
                <w:szCs w:val="18"/>
                <w:color w:val="auto"/>
                <w:w w:val="93"/>
              </w:rPr>
              <w:t>Hull No.</w:t>
            </w:r>
          </w:p>
        </w:tc>
        <w:tc>
          <w:tcPr>
            <w:tcW w:w="3180" w:type="dxa"/>
            <w:vAlign w:val="bottom"/>
            <w:tcBorders>
              <w:top w:val="single" w:sz="8" w:color="CCEEFF"/>
            </w:tcBorders>
            <w:gridSpan w:val="2"/>
            <w:shd w:val="clear" w:color="auto" w:fill="CCEEFF"/>
          </w:tcPr>
          <w:p>
            <w:pPr>
              <w:jc w:val="right"/>
              <w:ind w:right="2800"/>
              <w:spacing w:after="0" w:line="189" w:lineRule="exact"/>
              <w:rPr>
                <w:sz w:val="20"/>
                <w:szCs w:val="20"/>
                <w:color w:val="auto"/>
              </w:rPr>
            </w:pPr>
            <w:r>
              <w:rPr>
                <w:rFonts w:ascii="Arial" w:cs="Arial" w:eastAsia="Arial" w:hAnsi="Arial"/>
                <w:sz w:val="18"/>
                <w:szCs w:val="18"/>
                <w:color w:val="auto"/>
                <w:w w:val="89"/>
              </w:rPr>
              <w:t>2131</w:t>
            </w:r>
          </w:p>
        </w:tc>
        <w:tc>
          <w:tcPr>
            <w:tcW w:w="1080" w:type="dxa"/>
            <w:vAlign w:val="bottom"/>
            <w:tcBorders>
              <w:top w:val="single" w:sz="8" w:color="CCEEFF"/>
            </w:tcBorders>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Q1 2019</w:t>
            </w:r>
          </w:p>
        </w:tc>
        <w:tc>
          <w:tcPr>
            <w:tcW w:w="86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174,000</w:t>
            </w:r>
          </w:p>
        </w:tc>
        <w:tc>
          <w:tcPr>
            <w:tcW w:w="7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Shell</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LP-2S</w:t>
            </w:r>
          </w:p>
        </w:tc>
        <w:tc>
          <w:tcPr>
            <w:tcW w:w="1120" w:type="dxa"/>
            <w:vAlign w:val="bottom"/>
            <w:tcBorders>
              <w:top w:val="single" w:sz="8" w:color="CCEEFF"/>
            </w:tcBorders>
            <w:gridSpan w:val="2"/>
            <w:shd w:val="clear" w:color="auto" w:fill="CCEEFF"/>
          </w:tcPr>
          <w:p>
            <w:pPr>
              <w:jc w:val="right"/>
              <w:ind w:right="174"/>
              <w:spacing w:after="0" w:line="189" w:lineRule="exact"/>
              <w:rPr>
                <w:sz w:val="20"/>
                <w:szCs w:val="20"/>
                <w:color w:val="auto"/>
              </w:rPr>
            </w:pPr>
            <w:r>
              <w:rPr>
                <w:rFonts w:ascii="Arial" w:cs="Arial" w:eastAsia="Arial" w:hAnsi="Arial"/>
                <w:sz w:val="18"/>
                <w:szCs w:val="18"/>
                <w:color w:val="auto"/>
              </w:rPr>
              <w:t>2029</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Hull No. 2213</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Q2 2020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Centrica</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120" w:type="dxa"/>
            <w:vAlign w:val="bottom"/>
            <w:gridSpan w:val="2"/>
          </w:tcPr>
          <w:p>
            <w:pPr>
              <w:jc w:val="right"/>
              <w:ind w:right="174"/>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Hull No. 2262</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Q3 2020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Centrica</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12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Hull No. 2300</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Q4 2020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Cheniere</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LP-2S</w:t>
            </w:r>
          </w:p>
        </w:tc>
        <w:tc>
          <w:tcPr>
            <w:tcW w:w="1120" w:type="dxa"/>
            <w:vAlign w:val="bottom"/>
            <w:gridSpan w:val="2"/>
          </w:tcPr>
          <w:p>
            <w:pPr>
              <w:jc w:val="right"/>
              <w:ind w:right="174"/>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Hull No. 2301</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Q4 2020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Cheniere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112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1880" w:hanging="544"/>
        <w:spacing w:after="0"/>
        <w:tabs>
          <w:tab w:leader="none" w:pos="1880" w:val="left"/>
        </w:tabs>
        <w:numPr>
          <w:ilvl w:val="0"/>
          <w:numId w:val="5"/>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left="240" w:right="2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the date of this prospectus supplement,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Relationship with GasLog Ltd.</w:t>
      </w:r>
    </w:p>
    <w:p>
      <w:pPr>
        <w:spacing w:after="0" w:line="231" w:lineRule="exact"/>
        <w:rPr>
          <w:sz w:val="20"/>
          <w:szCs w:val="20"/>
          <w:color w:val="auto"/>
        </w:rPr>
      </w:pPr>
    </w:p>
    <w:p>
      <w:pPr>
        <w:ind w:left="240" w:right="160" w:firstLine="348"/>
        <w:spacing w:after="0" w:line="288" w:lineRule="auto"/>
        <w:rPr>
          <w:sz w:val="20"/>
          <w:szCs w:val="20"/>
          <w:color w:val="auto"/>
        </w:rPr>
      </w:pPr>
      <w:r>
        <w:rPr>
          <w:rFonts w:ascii="Arial" w:cs="Arial" w:eastAsia="Arial" w:hAnsi="Arial"/>
          <w:sz w:val="16"/>
          <w:szCs w:val="16"/>
          <w:color w:val="auto"/>
        </w:rPr>
        <w:t>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November 7, 2018, GasLog's wholly owned fleet includes 19 LNG carriers (including twelve ships in operation and seven LNG carriers on order) and GasLog has one LNG carrier operating under its technical management for third parties, and a vessel secured under a long-term bareboat charter from Lepta Shipping. In addition, GasLog holds a 27.5% interest (including the 2% interest through general partner units) in the Partnership. GasLog was incorporated in 2003 and is effectively controlled by its chairman, Peter G. Livanos, who beneficially owns approximately 40.1% of GasLog's common shares. Mr. Livanos's family's shipping activities commenced more than 100 years ago. Since its initial public offering in April 2012, GasLog has increased by approximately 105% the total carrying capacity of vessels in its fleet, which includes vessels on the water and newbuildings on order. In addition, GasLog,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813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81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8" w:lineRule="auto"/>
        <w:rPr>
          <w:sz w:val="20"/>
          <w:szCs w:val="20"/>
          <w:color w:val="auto"/>
        </w:rPr>
      </w:pPr>
      <w:r>
        <w:rPr>
          <w:rFonts w:ascii="Arial" w:cs="Arial" w:eastAsia="Arial" w:hAnsi="Arial"/>
          <w:sz w:val="16"/>
          <w:szCs w:val="16"/>
          <w:color w:val="auto"/>
        </w:rPr>
        <w:t xml:space="preserve">through its wholly owned subsidiary GasLog LNG Services, provides ship management services to the LNG carriers in our fleet, except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which is managed by a subsidiary of Shell and, subject to any alternative arrangements with the applicable charterer, additional ships we may acquire from GasLog. GasLog also provides certain administrative and commercial management services to the Partnership. There are also risks associated with GasLog that may affect us. See "Item 3. Key Information—D. Risk Factors—Risks Inherent in Our Business" of our Annual Report on Form 20-F.</w:t>
      </w:r>
    </w:p>
    <w:p>
      <w:pPr>
        <w:spacing w:after="0" w:line="167" w:lineRule="exact"/>
        <w:rPr>
          <w:sz w:val="20"/>
          <w:szCs w:val="20"/>
          <w:color w:val="auto"/>
        </w:rPr>
      </w:pPr>
    </w:p>
    <w:p>
      <w:pPr>
        <w:ind w:left="240" w:right="20" w:firstLine="351"/>
        <w:spacing w:after="0" w:line="298" w:lineRule="auto"/>
        <w:rPr>
          <w:sz w:val="20"/>
          <w:szCs w:val="20"/>
          <w:color w:val="auto"/>
        </w:rPr>
      </w:pPr>
      <w:r>
        <w:rPr>
          <w:rFonts w:ascii="Arial" w:cs="Arial" w:eastAsia="Arial" w:hAnsi="Arial"/>
          <w:sz w:val="16"/>
          <w:szCs w:val="16"/>
          <w:color w:val="auto"/>
        </w:rPr>
        <w:t>Upon completion of this offering, GasLog will own our 2.0% general partner interest, all of our incentive distribution rights and 11,843,691 common units. Our general partner, by virtue of its general partner interest, controls the appointment of four of our seven directors (subject to its right to transfer the power to elect one director to the common unitholders so that they will thereafter elect a majority of our directors). GasLog intends to utilize us as its primary growth vehicle to pursue the acquisition of LNG carriers that are expected to generate multi-year, stable cash flows.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876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87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Organizational and Ownership Structure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and diagram depict our simplified organizational and ownership structure as of November 7, 2018:</w:t>
      </w: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80" w:type="dxa"/>
            <w:vAlign w:val="bottom"/>
            <w:gridSpan w:val="3"/>
          </w:tcPr>
          <w:p>
            <w:pPr>
              <w:ind w:left="140"/>
              <w:spacing w:after="0"/>
              <w:rPr>
                <w:sz w:val="20"/>
                <w:szCs w:val="20"/>
                <w:color w:val="auto"/>
              </w:rPr>
            </w:pPr>
            <w:r>
              <w:rPr>
                <w:rFonts w:ascii="Arial" w:cs="Arial" w:eastAsia="Arial" w:hAnsi="Arial"/>
                <w:sz w:val="14"/>
                <w:szCs w:val="14"/>
                <w:b w:val="1"/>
                <w:bCs w:val="1"/>
                <w:color w:val="auto"/>
              </w:rPr>
              <w:t>Number of</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Percentage</w:t>
            </w:r>
          </w:p>
        </w:tc>
      </w:tr>
      <w:tr>
        <w:trPr>
          <w:trHeight w:val="176"/>
        </w:trPr>
        <w:tc>
          <w:tcPr>
            <w:tcW w:w="23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20" w:type="dxa"/>
            <w:vAlign w:val="bottom"/>
            <w:tcBorders>
              <w:bottom w:val="single" w:sz="8" w:color="auto"/>
            </w:tcBorders>
          </w:tcPr>
          <w:p>
            <w:pPr>
              <w:jc w:val="right"/>
              <w:ind w:right="160"/>
              <w:spacing w:after="0" w:line="176"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0"/>
                <w:szCs w:val="20"/>
                <w:b w:val="1"/>
                <w:bCs w:val="1"/>
                <w:color w:val="auto"/>
                <w:vertAlign w:val="superscript"/>
              </w:rPr>
              <w:t>(1)</w:t>
            </w:r>
          </w:p>
        </w:tc>
        <w:tc>
          <w:tcPr>
            <w:tcW w:w="160" w:type="dxa"/>
            <w:vAlign w:val="bottom"/>
            <w:gridSpan w:val="2"/>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Ownership</w:t>
            </w:r>
          </w:p>
        </w:tc>
        <w:tc>
          <w:tcPr>
            <w:tcW w:w="160" w:type="dxa"/>
            <w:vAlign w:val="bottom"/>
          </w:tcPr>
          <w:p>
            <w:pPr>
              <w:spacing w:after="0"/>
              <w:rPr>
                <w:sz w:val="15"/>
                <w:szCs w:val="15"/>
                <w:color w:val="auto"/>
              </w:rPr>
            </w:pPr>
          </w:p>
        </w:tc>
      </w:tr>
      <w:tr>
        <w:trPr>
          <w:trHeight w:val="210"/>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Common Units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33,605,302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Common Units held by GasLog Ltd.</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11,843,691</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927,532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r>
      <w:tr>
        <w:trPr>
          <w:trHeight w:val="210"/>
        </w:trPr>
        <w:tc>
          <w:tcPr>
            <w:tcW w:w="2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46,376,525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4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880" w:right="120" w:hanging="544"/>
        <w:spacing w:after="0" w:line="230" w:lineRule="auto"/>
        <w:tabs>
          <w:tab w:leader="none" w:pos="1880" w:val="left"/>
        </w:tabs>
        <w:numPr>
          <w:ilvl w:val="0"/>
          <w:numId w:val="6"/>
        </w:numPr>
        <w:rPr>
          <w:rFonts w:ascii="Arial" w:cs="Arial" w:eastAsia="Arial" w:hAnsi="Arial"/>
          <w:sz w:val="11"/>
          <w:szCs w:val="11"/>
          <w:color w:val="auto"/>
        </w:rPr>
      </w:pPr>
      <w:r>
        <w:rPr>
          <w:rFonts w:ascii="Arial" w:cs="Arial" w:eastAsia="Arial" w:hAnsi="Arial"/>
          <w:sz w:val="14"/>
          <w:szCs w:val="14"/>
          <w:color w:val="auto"/>
        </w:rPr>
        <w:t>The above table does not include 5,750,000 Series A Preference Units which were issued on May 15, 2017 or 4,600,000 Series B Preference Units which were issued on January 17, 2018. The preference units will not impact the other classes' percentage ownership, as the Series A Preference Units, the Series B Preference Units and the Series C Preference Units (when issued) are not included in the calculation of "Percentage Interest" as defined in our Third Amended and Restated Agreement of Limited Partnership.</w:t>
      </w:r>
    </w:p>
    <w:p>
      <w:pPr>
        <w:sectPr>
          <w:pgSz w:w="11900" w:h="16838" w:orient="portrait"/>
          <w:cols w:equalWidth="0" w:num="1">
            <w:col w:w="11160"/>
          </w:cols>
          <w:pgMar w:left="240" w:top="13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2480" w:type="dxa"/>
            <w:vAlign w:val="bottom"/>
            <w:tcBorders>
              <w:top w:val="single" w:sz="8" w:color="auto"/>
              <w:left w:val="single" w:sz="8" w:color="auto"/>
            </w:tcBorders>
          </w:tcPr>
          <w:p>
            <w:pPr>
              <w:spacing w:after="0"/>
              <w:rPr>
                <w:sz w:val="24"/>
                <w:szCs w:val="24"/>
                <w:color w:val="auto"/>
              </w:rPr>
            </w:pPr>
          </w:p>
        </w:tc>
        <w:tc>
          <w:tcPr>
            <w:tcW w:w="8940" w:type="dxa"/>
            <w:vAlign w:val="bottom"/>
            <w:tcBorders>
              <w:top w:val="single" w:sz="8" w:color="auto"/>
              <w:right w:val="single" w:sz="8" w:color="auto"/>
            </w:tcBorders>
          </w:tcPr>
          <w:p>
            <w:pPr>
              <w:ind w:left="272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4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Issuer</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GasLog Partners LP.</w:t>
            </w:r>
          </w:p>
        </w:tc>
      </w:tr>
      <w:tr>
        <w:trPr>
          <w:trHeight w:val="426"/>
        </w:trPr>
        <w:tc>
          <w:tcPr>
            <w:tcW w:w="24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Securities</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4,000,000 of our 8.500% Series C Cumulative Redeemable Perpetual Fixed to Floating Rate Preference</w:t>
            </w:r>
          </w:p>
        </w:tc>
      </w:tr>
      <w:tr>
        <w:trPr>
          <w:trHeight w:val="216"/>
        </w:trPr>
        <w:tc>
          <w:tcPr>
            <w:tcW w:w="24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Offered</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Units ("Series C Preference Units"), liquidation preference $25.00 per unit (or 4,600,000 units if the</w:t>
            </w:r>
          </w:p>
        </w:tc>
      </w:tr>
      <w:tr>
        <w:trPr>
          <w:trHeight w:val="222"/>
        </w:trPr>
        <w:tc>
          <w:tcPr>
            <w:tcW w:w="2480" w:type="dxa"/>
            <w:vAlign w:val="bottom"/>
            <w:tcBorders>
              <w:left w:val="single" w:sz="8" w:color="auto"/>
            </w:tcBorders>
          </w:tcPr>
          <w:p>
            <w:pPr>
              <w:spacing w:after="0"/>
              <w:rPr>
                <w:sz w:val="19"/>
                <w:szCs w:val="19"/>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underwriters exercise their option to purchase additional units in full).</w:t>
            </w:r>
          </w:p>
        </w:tc>
      </w:tr>
      <w:tr>
        <w:trPr>
          <w:trHeight w:val="432"/>
        </w:trPr>
        <w:tc>
          <w:tcPr>
            <w:tcW w:w="2480" w:type="dxa"/>
            <w:vAlign w:val="bottom"/>
            <w:tcBorders>
              <w:left w:val="single" w:sz="8" w:color="auto"/>
            </w:tcBorders>
          </w:tcPr>
          <w:p>
            <w:pPr>
              <w:spacing w:after="0"/>
              <w:rPr>
                <w:sz w:val="24"/>
                <w:szCs w:val="24"/>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 a detailed description of the Series C Preference Units, see "Description of Series C Preference Units".</w:t>
            </w:r>
          </w:p>
        </w:tc>
      </w:tr>
      <w:tr>
        <w:trPr>
          <w:trHeight w:val="432"/>
        </w:trPr>
        <w:tc>
          <w:tcPr>
            <w:tcW w:w="24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Price Per Unit</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$25.00</w:t>
            </w:r>
          </w:p>
        </w:tc>
      </w:tr>
      <w:tr>
        <w:trPr>
          <w:trHeight w:val="426"/>
        </w:trPr>
        <w:tc>
          <w:tcPr>
            <w:tcW w:w="24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Conversion;</w:t>
            </w:r>
          </w:p>
        </w:tc>
        <w:tc>
          <w:tcPr>
            <w:tcW w:w="8940" w:type="dxa"/>
            <w:vAlign w:val="bottom"/>
            <w:tcBorders>
              <w:right w:val="single" w:sz="8" w:color="auto"/>
            </w:tcBorders>
          </w:tcPr>
          <w:p>
            <w:pPr>
              <w:spacing w:after="0"/>
              <w:rPr>
                <w:sz w:val="24"/>
                <w:szCs w:val="24"/>
                <w:color w:val="auto"/>
              </w:rPr>
            </w:pPr>
          </w:p>
        </w:tc>
      </w:tr>
      <w:tr>
        <w:trPr>
          <w:trHeight w:val="216"/>
        </w:trPr>
        <w:tc>
          <w:tcPr>
            <w:tcW w:w="24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Exchange</w:t>
            </w:r>
          </w:p>
        </w:tc>
        <w:tc>
          <w:tcPr>
            <w:tcW w:w="894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and</w:t>
            </w:r>
          </w:p>
        </w:tc>
        <w:tc>
          <w:tcPr>
            <w:tcW w:w="8940" w:type="dxa"/>
            <w:vAlign w:val="bottom"/>
            <w:tcBorders>
              <w:right w:val="single" w:sz="8" w:color="auto"/>
            </w:tcBorders>
          </w:tcPr>
          <w:p>
            <w:pPr>
              <w:spacing w:after="0"/>
              <w:rPr>
                <w:sz w:val="18"/>
                <w:szCs w:val="18"/>
                <w:color w:val="auto"/>
              </w:rPr>
            </w:pPr>
          </w:p>
        </w:tc>
      </w:tr>
      <w:tr>
        <w:trPr>
          <w:trHeight w:val="216"/>
        </w:trPr>
        <w:tc>
          <w:tcPr>
            <w:tcW w:w="24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Preemptive</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Series C Preference Units will not have any conversion or exchange rights or be subject to preemptive</w:t>
            </w:r>
          </w:p>
        </w:tc>
      </w:tr>
      <w:tr>
        <w:trPr>
          <w:trHeight w:val="222"/>
        </w:trPr>
        <w:tc>
          <w:tcPr>
            <w:tcW w:w="24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Rights</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rights.</w:t>
            </w:r>
          </w:p>
        </w:tc>
      </w:tr>
      <w:tr>
        <w:trPr>
          <w:trHeight w:val="426"/>
        </w:trPr>
        <w:tc>
          <w:tcPr>
            <w:tcW w:w="24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Distributions</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Distributions on Series C Preference Units will accrue and be cumulative from the date that the Series C</w:t>
            </w:r>
          </w:p>
        </w:tc>
      </w:tr>
      <w:tr>
        <w:trPr>
          <w:trHeight w:val="216"/>
        </w:trPr>
        <w:tc>
          <w:tcPr>
            <w:tcW w:w="248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Preference Units are originally issued and will be payable on each Distribution Payment Date (as defined</w:t>
            </w:r>
          </w:p>
        </w:tc>
      </w:tr>
      <w:tr>
        <w:trPr>
          <w:trHeight w:val="222"/>
        </w:trPr>
        <w:tc>
          <w:tcPr>
            <w:tcW w:w="2480" w:type="dxa"/>
            <w:vAlign w:val="bottom"/>
            <w:tcBorders>
              <w:left w:val="single" w:sz="8" w:color="auto"/>
            </w:tcBorders>
          </w:tcPr>
          <w:p>
            <w:pPr>
              <w:spacing w:after="0"/>
              <w:rPr>
                <w:sz w:val="19"/>
                <w:szCs w:val="19"/>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below) when, as and if declared by our board of directors out of legally available funds for such purpose.</w:t>
            </w:r>
          </w:p>
        </w:tc>
      </w:tr>
      <w:tr>
        <w:trPr>
          <w:trHeight w:val="426"/>
        </w:trPr>
        <w:tc>
          <w:tcPr>
            <w:tcW w:w="24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Distribution</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March 15, June 15, September 15 and December 15 (each, a "Distribution Payment Date") commencing</w:t>
            </w:r>
          </w:p>
        </w:tc>
      </w:tr>
      <w:tr>
        <w:trPr>
          <w:trHeight w:val="216"/>
        </w:trPr>
        <w:tc>
          <w:tcPr>
            <w:tcW w:w="24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Payment</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March 15, 2019. If any Distribution Payment Date would otherwise fall on a date that is not a Business</w:t>
            </w:r>
          </w:p>
        </w:tc>
      </w:tr>
      <w:tr>
        <w:trPr>
          <w:trHeight w:val="216"/>
        </w:trPr>
        <w:tc>
          <w:tcPr>
            <w:tcW w:w="24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Dates</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Day, then the distribution will be payable on the immediately succeeding Business Day without the</w:t>
            </w:r>
          </w:p>
        </w:tc>
      </w:tr>
      <w:tr>
        <w:trPr>
          <w:trHeight w:val="222"/>
        </w:trPr>
        <w:tc>
          <w:tcPr>
            <w:tcW w:w="2480" w:type="dxa"/>
            <w:vAlign w:val="bottom"/>
            <w:tcBorders>
              <w:left w:val="single" w:sz="8" w:color="auto"/>
            </w:tcBorders>
          </w:tcPr>
          <w:p>
            <w:pPr>
              <w:spacing w:after="0"/>
              <w:rPr>
                <w:sz w:val="19"/>
                <w:szCs w:val="19"/>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accumulation of additional distributions. Distributions will not bear interest.</w:t>
            </w:r>
          </w:p>
        </w:tc>
      </w:tr>
      <w:tr>
        <w:trPr>
          <w:trHeight w:val="426"/>
        </w:trPr>
        <w:tc>
          <w:tcPr>
            <w:tcW w:w="24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Distribution</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From and including the original issue date to, but excluding, March 15, 2024, the distribution rate for the</w:t>
            </w:r>
          </w:p>
        </w:tc>
      </w:tr>
      <w:tr>
        <w:trPr>
          <w:trHeight w:val="216"/>
        </w:trPr>
        <w:tc>
          <w:tcPr>
            <w:tcW w:w="24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Rate</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Series C Preference Units will be 8.500% per annum per $25.00 of liquidation preference per unit (equal</w:t>
            </w:r>
          </w:p>
        </w:tc>
      </w:tr>
      <w:tr>
        <w:trPr>
          <w:trHeight w:val="216"/>
        </w:trPr>
        <w:tc>
          <w:tcPr>
            <w:tcW w:w="248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 $2.125 per annum per unit). From and including March 15, 2024, the distribution rate will be a floating</w:t>
            </w:r>
          </w:p>
        </w:tc>
      </w:tr>
      <w:tr>
        <w:trPr>
          <w:trHeight w:val="216"/>
        </w:trPr>
        <w:tc>
          <w:tcPr>
            <w:tcW w:w="248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rate equal to three-month LIBOR plus a spread of 5.317% per annum per $25.00 of liquidation preference</w:t>
            </w:r>
          </w:p>
        </w:tc>
      </w:tr>
      <w:tr>
        <w:trPr>
          <w:trHeight w:val="222"/>
        </w:trPr>
        <w:tc>
          <w:tcPr>
            <w:tcW w:w="2480" w:type="dxa"/>
            <w:vAlign w:val="bottom"/>
            <w:tcBorders>
              <w:left w:val="single" w:sz="8" w:color="auto"/>
            </w:tcBorders>
          </w:tcPr>
          <w:p>
            <w:pPr>
              <w:spacing w:after="0"/>
              <w:rPr>
                <w:sz w:val="19"/>
                <w:szCs w:val="19"/>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 unit.</w:t>
            </w:r>
          </w:p>
        </w:tc>
      </w:tr>
      <w:tr>
        <w:trPr>
          <w:trHeight w:val="426"/>
        </w:trPr>
        <w:tc>
          <w:tcPr>
            <w:tcW w:w="24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Distribution</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Distributions payable on the Series C Preference Units for any distribution period during the fixed rate</w:t>
            </w:r>
          </w:p>
        </w:tc>
      </w:tr>
      <w:tr>
        <w:trPr>
          <w:trHeight w:val="216"/>
        </w:trPr>
        <w:tc>
          <w:tcPr>
            <w:tcW w:w="248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w w:val="95"/>
              </w:rPr>
              <w:t>Calculations</w:t>
            </w: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period will be calculated based on a 360-day year consisting of twelve 30-day months. Distributions</w:t>
            </w:r>
          </w:p>
        </w:tc>
      </w:tr>
      <w:tr>
        <w:trPr>
          <w:trHeight w:val="216"/>
        </w:trPr>
        <w:tc>
          <w:tcPr>
            <w:tcW w:w="248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payable on the Series C Preference Units for any distribution period during the floating rate period will be</w:t>
            </w:r>
          </w:p>
        </w:tc>
      </w:tr>
      <w:tr>
        <w:trPr>
          <w:trHeight w:val="216"/>
        </w:trPr>
        <w:tc>
          <w:tcPr>
            <w:tcW w:w="248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calculated based on a 360-day year and the number of days actually elapsed during the applicable</w:t>
            </w:r>
          </w:p>
        </w:tc>
      </w:tr>
      <w:tr>
        <w:trPr>
          <w:trHeight w:val="222"/>
        </w:trPr>
        <w:tc>
          <w:tcPr>
            <w:tcW w:w="2480" w:type="dxa"/>
            <w:vAlign w:val="bottom"/>
            <w:tcBorders>
              <w:left w:val="single" w:sz="8" w:color="auto"/>
            </w:tcBorders>
          </w:tcPr>
          <w:p>
            <w:pPr>
              <w:spacing w:after="0"/>
              <w:rPr>
                <w:sz w:val="19"/>
                <w:szCs w:val="19"/>
                <w:color w:val="auto"/>
              </w:rPr>
            </w:pPr>
          </w:p>
        </w:tc>
        <w:tc>
          <w:tcPr>
            <w:tcW w:w="89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distribution period.</w:t>
            </w:r>
          </w:p>
        </w:tc>
      </w:tr>
      <w:tr>
        <w:trPr>
          <w:trHeight w:val="228"/>
        </w:trPr>
        <w:tc>
          <w:tcPr>
            <w:tcW w:w="2480" w:type="dxa"/>
            <w:vAlign w:val="bottom"/>
            <w:tcBorders>
              <w:left w:val="single" w:sz="8" w:color="auto"/>
              <w:bottom w:val="single" w:sz="8" w:color="auto"/>
            </w:tcBorders>
          </w:tcPr>
          <w:p>
            <w:pPr>
              <w:spacing w:after="0"/>
              <w:rPr>
                <w:sz w:val="19"/>
                <w:szCs w:val="19"/>
                <w:color w:val="auto"/>
              </w:rPr>
            </w:pPr>
          </w:p>
        </w:tc>
        <w:tc>
          <w:tcPr>
            <w:tcW w:w="8940" w:type="dxa"/>
            <w:vAlign w:val="bottom"/>
            <w:tcBorders>
              <w:bottom w:val="single" w:sz="8" w:color="auto"/>
              <w:right w:val="single" w:sz="8" w:color="auto"/>
            </w:tcBorders>
          </w:tcPr>
          <w:p>
            <w:pPr>
              <w:spacing w:after="0"/>
              <w:rPr>
                <w:sz w:val="19"/>
                <w:szCs w:val="19"/>
                <w:color w:val="auto"/>
              </w:rPr>
            </w:pPr>
          </w:p>
        </w:tc>
      </w:tr>
      <w:tr>
        <w:trPr>
          <w:trHeight w:val="427"/>
        </w:trPr>
        <w:tc>
          <w:tcPr>
            <w:tcW w:w="2480" w:type="dxa"/>
            <w:vAlign w:val="bottom"/>
          </w:tcPr>
          <w:p>
            <w:pPr>
              <w:spacing w:after="0"/>
              <w:rPr>
                <w:sz w:val="24"/>
                <w:szCs w:val="24"/>
                <w:color w:val="auto"/>
              </w:rPr>
            </w:pPr>
          </w:p>
        </w:tc>
        <w:tc>
          <w:tcPr>
            <w:tcW w:w="8940" w:type="dxa"/>
            <w:vAlign w:val="bottom"/>
          </w:tcPr>
          <w:p>
            <w:pPr>
              <w:ind w:left="3120"/>
              <w:spacing w:after="0"/>
              <w:rPr>
                <w:sz w:val="20"/>
                <w:szCs w:val="20"/>
                <w:color w:val="auto"/>
              </w:rPr>
            </w:pPr>
            <w:r>
              <w:rPr>
                <w:rFonts w:ascii="Arial" w:cs="Arial" w:eastAsia="Arial" w:hAnsi="Arial"/>
                <w:sz w:val="18"/>
                <w:szCs w:val="18"/>
                <w:color w:val="auto"/>
              </w:rPr>
              <w:t>S-8</w:t>
            </w:r>
          </w:p>
        </w:tc>
      </w:tr>
      <w:tr>
        <w:trPr>
          <w:trHeight w:val="228"/>
        </w:trPr>
        <w:tc>
          <w:tcPr>
            <w:tcW w:w="2480" w:type="dxa"/>
            <w:vAlign w:val="bottom"/>
            <w:tcBorders>
              <w:bottom w:val="single" w:sz="8" w:color="808080"/>
            </w:tcBorders>
          </w:tcPr>
          <w:p>
            <w:pPr>
              <w:spacing w:after="0"/>
              <w:rPr>
                <w:sz w:val="19"/>
                <w:szCs w:val="19"/>
                <w:color w:val="auto"/>
              </w:rPr>
            </w:pPr>
          </w:p>
        </w:tc>
        <w:tc>
          <w:tcPr>
            <w:tcW w:w="8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1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Ranking</w:t>
            </w:r>
          </w:p>
        </w:tc>
        <w:tc>
          <w:tcPr>
            <w:tcW w:w="824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color w:val="auto"/>
              </w:rPr>
              <w:t>The Series C Preference Units will represent perpetual equity interests in us</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and, unlike our indebtedness, will not give rise to a claim for payment of a</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principal amount at a particular date. The Series C Preference Units will rank:</w:t>
            </w:r>
          </w:p>
        </w:tc>
      </w:tr>
      <w:tr>
        <w:trPr>
          <w:trHeight w:val="426"/>
        </w:trPr>
        <w:tc>
          <w:tcPr>
            <w:tcW w:w="31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  senior to all classes of our common units, general partner units and to each</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other class or series of limited partner interests established after the original</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issue date of the Series C Preference Units that is expressly made junior to</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the Series C Preference Units as to the payment of distributions and amounts</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payable upon liquidation, dissolution or winding up, whether voluntary or</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involuntary (collectively, "Junior Securities");</w:t>
            </w:r>
          </w:p>
        </w:tc>
      </w:tr>
      <w:tr>
        <w:trPr>
          <w:trHeight w:val="426"/>
        </w:trPr>
        <w:tc>
          <w:tcPr>
            <w:tcW w:w="31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our existing Series A Preference Units, Series B Preference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Units and any other class or series of limited partner interests or other equity</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securities established after the original issue date of the Series C Preference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Units that is not expressly subordinated or senior to the Series C Preference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Units as to the payment of distributions and amounts payable upon</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liquidation, dissolution or winding up, whether voluntary or involuntary</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(collectively, "Parity Securities"); and</w:t>
            </w:r>
          </w:p>
        </w:tc>
      </w:tr>
      <w:tr>
        <w:trPr>
          <w:trHeight w:val="426"/>
        </w:trPr>
        <w:tc>
          <w:tcPr>
            <w:tcW w:w="3180" w:type="dxa"/>
            <w:vAlign w:val="bottom"/>
            <w:tcBorders>
              <w:left w:val="single" w:sz="8" w:color="auto"/>
            </w:tcBorders>
          </w:tcPr>
          <w:p>
            <w:pPr>
              <w:spacing w:after="0"/>
              <w:rPr>
                <w:sz w:val="24"/>
                <w:szCs w:val="24"/>
                <w:color w:val="auto"/>
              </w:rPr>
            </w:pPr>
          </w:p>
        </w:tc>
        <w:tc>
          <w:tcPr>
            <w:tcW w:w="824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  junior to (i) all of our indebtedness, including guarantees of our subsidiaries'</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indebtedness, (ii) all other liabilities and (iii) each other class or series of</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limited partner interests expressly made senior to the Series C Preference</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Units as to the payment of distributions and amounts payable upon</w:t>
            </w:r>
          </w:p>
        </w:tc>
      </w:tr>
      <w:tr>
        <w:trPr>
          <w:trHeight w:val="216"/>
        </w:trPr>
        <w:tc>
          <w:tcPr>
            <w:tcW w:w="3180" w:type="dxa"/>
            <w:vAlign w:val="bottom"/>
            <w:tcBorders>
              <w:left w:val="single" w:sz="8" w:color="auto"/>
            </w:tcBorders>
          </w:tcPr>
          <w:p>
            <w:pPr>
              <w:spacing w:after="0"/>
              <w:rPr>
                <w:sz w:val="18"/>
                <w:szCs w:val="18"/>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liquidation, dissolution or winding up, whether voluntary or involuntary</w:t>
            </w:r>
          </w:p>
        </w:tc>
      </w:tr>
      <w:tr>
        <w:trPr>
          <w:trHeight w:val="222"/>
        </w:trPr>
        <w:tc>
          <w:tcPr>
            <w:tcW w:w="3180" w:type="dxa"/>
            <w:vAlign w:val="bottom"/>
            <w:tcBorders>
              <w:left w:val="single" w:sz="8" w:color="auto"/>
            </w:tcBorders>
          </w:tcPr>
          <w:p>
            <w:pPr>
              <w:spacing w:after="0"/>
              <w:rPr>
                <w:sz w:val="19"/>
                <w:szCs w:val="19"/>
                <w:color w:val="auto"/>
              </w:rPr>
            </w:pPr>
          </w:p>
        </w:tc>
        <w:tc>
          <w:tcPr>
            <w:tcW w:w="82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(such limited partner interests described in clause (iii), "Senior Securities").</w:t>
            </w:r>
          </w:p>
        </w:tc>
      </w:tr>
      <w:tr>
        <w:trPr>
          <w:trHeight w:val="444"/>
        </w:trPr>
        <w:tc>
          <w:tcPr>
            <w:tcW w:w="3180" w:type="dxa"/>
            <w:vAlign w:val="bottom"/>
            <w:tcBorders>
              <w:left w:val="single" w:sz="8" w:color="auto"/>
              <w:bottom w:val="single" w:sz="8" w:color="auto"/>
            </w:tcBorders>
          </w:tcPr>
          <w:p>
            <w:pPr>
              <w:spacing w:after="0"/>
              <w:rPr>
                <w:sz w:val="24"/>
                <w:szCs w:val="24"/>
                <w:color w:val="auto"/>
              </w:rPr>
            </w:pPr>
          </w:p>
        </w:tc>
        <w:tc>
          <w:tcPr>
            <w:tcW w:w="8240" w:type="dxa"/>
            <w:vAlign w:val="bottom"/>
            <w:tcBorders>
              <w:bottom w:val="single" w:sz="8" w:color="auto"/>
              <w:right w:val="single" w:sz="8" w:color="auto"/>
            </w:tcBorders>
          </w:tcPr>
          <w:p>
            <w:pPr>
              <w:spacing w:after="0"/>
              <w:rPr>
                <w:sz w:val="24"/>
                <w:szCs w:val="24"/>
                <w:color w:val="auto"/>
              </w:rPr>
            </w:pPr>
          </w:p>
        </w:tc>
      </w:tr>
      <w:tr>
        <w:trPr>
          <w:trHeight w:val="427"/>
        </w:trPr>
        <w:tc>
          <w:tcPr>
            <w:tcW w:w="3180" w:type="dxa"/>
            <w:vAlign w:val="bottom"/>
          </w:tcPr>
          <w:p>
            <w:pPr>
              <w:spacing w:after="0"/>
              <w:rPr>
                <w:sz w:val="24"/>
                <w:szCs w:val="24"/>
                <w:color w:val="auto"/>
              </w:rPr>
            </w:pPr>
          </w:p>
        </w:tc>
        <w:tc>
          <w:tcPr>
            <w:tcW w:w="8240" w:type="dxa"/>
            <w:vAlign w:val="bottom"/>
          </w:tcPr>
          <w:p>
            <w:pPr>
              <w:ind w:left="2420"/>
              <w:spacing w:after="0"/>
              <w:rPr>
                <w:sz w:val="20"/>
                <w:szCs w:val="20"/>
                <w:color w:val="auto"/>
              </w:rPr>
            </w:pPr>
            <w:r>
              <w:rPr>
                <w:rFonts w:ascii="Arial" w:cs="Arial" w:eastAsia="Arial" w:hAnsi="Arial"/>
                <w:sz w:val="18"/>
                <w:szCs w:val="18"/>
                <w:color w:val="auto"/>
              </w:rPr>
              <w:t>S-9</w:t>
            </w:r>
          </w:p>
        </w:tc>
      </w:tr>
      <w:tr>
        <w:trPr>
          <w:trHeight w:val="228"/>
        </w:trPr>
        <w:tc>
          <w:tcPr>
            <w:tcW w:w="3180" w:type="dxa"/>
            <w:vAlign w:val="bottom"/>
            <w:tcBorders>
              <w:bottom w:val="single" w:sz="8" w:color="808080"/>
            </w:tcBorders>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Payment of Distributions</w:t>
            </w:r>
          </w:p>
        </w:tc>
        <w:tc>
          <w:tcPr>
            <w:tcW w:w="764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No distribution may be declared or paid or set apart for payment on any Junior</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Securities unless full cumulative distributions have been or contemporaneously</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are being paid or provided for on all outstanding Series C Preference Units and</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any Parity Securities through the most recent respective Distribution Payment</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Dates. Accumulated distributions in arrears for any past distribution period may</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be declared by our board of directors and paid on any date fixed by our board of</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directors, whether or not a Distribution Payment Date, to holders of the Series C</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Preference Units on the record date for such payment, which may not be more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than 60 days, nor less than 15 days, before such payment date. Subject to the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next succeeding sentence, if all accumulated distributions in arrears on all</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issued and outstanding Series C Preference Units and any Parity Securities have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not been declared and paid, or sufficient funds for the payment thereof have not</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been set apart, payment of accumulated distributions in arrears will be made in</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order of their respective distribution payment dates, commencing with the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earliest such payment date. If less than all distributions payable with respect to</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all Series C Preference Units and any Parity Securities (including the Series A</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Preference Units and Series B Preference Units) are paid, any partial payment</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will be made pro rata with respect to the Series C Preference Units and any</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Parity Securities entitled to a distribution payment at such time in proportion to</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aggregate amounts remaining due in respect of such units at such time.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Holders of the Series C Preference Units will not be entitled to any distribution,</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whether payable in cash, property or units, in excess of full cumulative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distributions. The holders of Series C Preference Units will not receive interest</w:t>
            </w:r>
          </w:p>
        </w:tc>
      </w:tr>
      <w:tr>
        <w:trPr>
          <w:trHeight w:val="222"/>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on unpaid distributions.</w:t>
            </w:r>
          </w:p>
        </w:tc>
      </w:tr>
      <w:tr>
        <w:trPr>
          <w:trHeight w:val="453"/>
        </w:trPr>
        <w:tc>
          <w:tcPr>
            <w:tcW w:w="37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Optional Redemption</w:t>
            </w: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At any time on or after March 15, 2024, we may redeem, in whole or from time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to time in part, the Series C Preference Units at a redemption price of $25.00</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per unit plus an amount equal to all accumulated and unpaid distributions</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thereon to the date of redemption, whether or not declared. Any such</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redemption would be effected out of funds legally available for such purpose.</w:t>
            </w:r>
          </w:p>
        </w:tc>
      </w:tr>
      <w:tr>
        <w:trPr>
          <w:trHeight w:val="216"/>
        </w:trPr>
        <w:tc>
          <w:tcPr>
            <w:tcW w:w="37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We must provide not less than 30 days' and not more than 60 days' written</w:t>
            </w:r>
          </w:p>
        </w:tc>
      </w:tr>
      <w:tr>
        <w:trPr>
          <w:trHeight w:val="222"/>
        </w:trPr>
        <w:tc>
          <w:tcPr>
            <w:tcW w:w="37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notice of any such redemption.</w:t>
            </w:r>
          </w:p>
        </w:tc>
      </w:tr>
      <w:tr>
        <w:trPr>
          <w:trHeight w:val="444"/>
        </w:trPr>
        <w:tc>
          <w:tcPr>
            <w:tcW w:w="3780" w:type="dxa"/>
            <w:vAlign w:val="bottom"/>
            <w:tcBorders>
              <w:left w:val="single" w:sz="8" w:color="auto"/>
              <w:bottom w:val="single" w:sz="8" w:color="auto"/>
            </w:tcBorders>
          </w:tcPr>
          <w:p>
            <w:pPr>
              <w:spacing w:after="0"/>
              <w:rPr>
                <w:sz w:val="24"/>
                <w:szCs w:val="24"/>
                <w:color w:val="auto"/>
              </w:rPr>
            </w:pPr>
          </w:p>
        </w:tc>
        <w:tc>
          <w:tcPr>
            <w:tcW w:w="7640" w:type="dxa"/>
            <w:vAlign w:val="bottom"/>
            <w:tcBorders>
              <w:bottom w:val="single" w:sz="8" w:color="auto"/>
              <w:right w:val="single" w:sz="8" w:color="auto"/>
            </w:tcBorders>
          </w:tcPr>
          <w:p>
            <w:pPr>
              <w:spacing w:after="0"/>
              <w:rPr>
                <w:sz w:val="24"/>
                <w:szCs w:val="24"/>
                <w:color w:val="auto"/>
              </w:rPr>
            </w:pPr>
          </w:p>
        </w:tc>
      </w:tr>
      <w:tr>
        <w:trPr>
          <w:trHeight w:val="427"/>
        </w:trPr>
        <w:tc>
          <w:tcPr>
            <w:tcW w:w="3780" w:type="dxa"/>
            <w:vAlign w:val="bottom"/>
          </w:tcPr>
          <w:p>
            <w:pPr>
              <w:spacing w:after="0"/>
              <w:rPr>
                <w:sz w:val="24"/>
                <w:szCs w:val="24"/>
                <w:color w:val="auto"/>
              </w:rPr>
            </w:pPr>
          </w:p>
        </w:tc>
        <w:tc>
          <w:tcPr>
            <w:tcW w:w="7640" w:type="dxa"/>
            <w:vAlign w:val="bottom"/>
          </w:tcPr>
          <w:p>
            <w:pPr>
              <w:ind w:left="1760"/>
              <w:spacing w:after="0"/>
              <w:rPr>
                <w:sz w:val="20"/>
                <w:szCs w:val="20"/>
                <w:color w:val="auto"/>
              </w:rPr>
            </w:pPr>
            <w:r>
              <w:rPr>
                <w:rFonts w:ascii="Arial" w:cs="Arial" w:eastAsia="Arial" w:hAnsi="Arial"/>
                <w:sz w:val="18"/>
                <w:szCs w:val="18"/>
                <w:color w:val="auto"/>
              </w:rPr>
              <w:t>S-10</w:t>
            </w:r>
          </w:p>
        </w:tc>
      </w:tr>
      <w:tr>
        <w:trPr>
          <w:trHeight w:val="228"/>
        </w:trPr>
        <w:tc>
          <w:tcPr>
            <w:tcW w:w="378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3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Voting Rights</w:t>
            </w:r>
          </w:p>
        </w:tc>
        <w:tc>
          <w:tcPr>
            <w:tcW w:w="80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Holders of the Series C Preference Units generally have no voting rights.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However, if and whenever distributions payable on the Series C Preference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Units are in arrears for six or more quarterly periods, whether or not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consecutive, holders of Series C Preference Units (voting together as a class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with all other classes or series of Parity Securities upon which like voting rights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have been conferred and are exercisable, including our Series A Preference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Units and Series B Preference Units) will be entitled to elect one additional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director to serve on our board of directors, and the size of our board of directors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will be increased as needed to accommodate such change (unless the size of our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board of directors already has been increased by reason of the election of a</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director by holders of Parity Securities upon which like voting rights have been</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conferred and with which the Series C Preference Units voted as a class for the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election of such director). Distributions payable on the Series C Preference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Units will be considered to be in arrears for any quarterly period for which full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cumulative distributions through the most recent distribution payment date have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not been paid on all outstanding Series C Preference Units. The right of such</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holders of Series C Preference Units to elect a member of our board of directors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will continue until such time as all accumulated and unpaid distributions on the</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Series C Preference Units have been paid in full.</w:t>
            </w:r>
          </w:p>
        </w:tc>
      </w:tr>
      <w:tr>
        <w:trPr>
          <w:trHeight w:val="453"/>
        </w:trPr>
        <w:tc>
          <w:tcPr>
            <w:tcW w:w="33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In the event that the holders of Series C Preference Units would be entitled to</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elect one additional director in the circumstances described above, our general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partner would similarly be entitled, at its election, to appoint one additional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director to serve on our board of directors, and the size of our board of directors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will be increased as needed to accommodate such change. This general partner-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elected board member will continue to serve for only as long a period of time as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director elected by the holders of Series C Preference Units. The general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partner would be expected to exercise the right in order to maintain the majority</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control of our board that it currently has.</w:t>
            </w:r>
          </w:p>
        </w:tc>
      </w:tr>
      <w:tr>
        <w:trPr>
          <w:trHeight w:val="453"/>
        </w:trPr>
        <w:tc>
          <w:tcPr>
            <w:tcW w:w="33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Unless we have received the affirmative vote or consent of the holders of at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least two-thirds of the outstanding Series C Preference Units, voting as a single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class, we may not adopt any amendment to our Partnership Agreement that</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would have a material adverse effect on the terms of the Series C Preference</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Units.</w:t>
            </w:r>
          </w:p>
        </w:tc>
      </w:tr>
      <w:tr>
        <w:trPr>
          <w:trHeight w:val="444"/>
        </w:trPr>
        <w:tc>
          <w:tcPr>
            <w:tcW w:w="3380" w:type="dxa"/>
            <w:vAlign w:val="bottom"/>
            <w:tcBorders>
              <w:left w:val="single" w:sz="8" w:color="auto"/>
              <w:bottom w:val="single" w:sz="8" w:color="auto"/>
            </w:tcBorders>
          </w:tcPr>
          <w:p>
            <w:pPr>
              <w:spacing w:after="0"/>
              <w:rPr>
                <w:sz w:val="24"/>
                <w:szCs w:val="24"/>
                <w:color w:val="auto"/>
              </w:rPr>
            </w:pPr>
          </w:p>
        </w:tc>
        <w:tc>
          <w:tcPr>
            <w:tcW w:w="8040" w:type="dxa"/>
            <w:vAlign w:val="bottom"/>
            <w:tcBorders>
              <w:bottom w:val="single" w:sz="8" w:color="auto"/>
              <w:right w:val="single" w:sz="8" w:color="auto"/>
            </w:tcBorders>
          </w:tcPr>
          <w:p>
            <w:pPr>
              <w:spacing w:after="0"/>
              <w:rPr>
                <w:sz w:val="24"/>
                <w:szCs w:val="24"/>
                <w:color w:val="auto"/>
              </w:rPr>
            </w:pPr>
          </w:p>
        </w:tc>
      </w:tr>
      <w:tr>
        <w:trPr>
          <w:trHeight w:val="427"/>
        </w:trPr>
        <w:tc>
          <w:tcPr>
            <w:tcW w:w="3380" w:type="dxa"/>
            <w:vAlign w:val="bottom"/>
          </w:tcPr>
          <w:p>
            <w:pPr>
              <w:spacing w:after="0"/>
              <w:rPr>
                <w:sz w:val="24"/>
                <w:szCs w:val="24"/>
                <w:color w:val="auto"/>
              </w:rPr>
            </w:pPr>
          </w:p>
        </w:tc>
        <w:tc>
          <w:tcPr>
            <w:tcW w:w="8040" w:type="dxa"/>
            <w:vAlign w:val="bottom"/>
          </w:tcPr>
          <w:p>
            <w:pPr>
              <w:ind w:left="2180"/>
              <w:spacing w:after="0"/>
              <w:rPr>
                <w:sz w:val="20"/>
                <w:szCs w:val="20"/>
                <w:color w:val="auto"/>
              </w:rPr>
            </w:pPr>
            <w:r>
              <w:rPr>
                <w:rFonts w:ascii="Arial" w:cs="Arial" w:eastAsia="Arial" w:hAnsi="Arial"/>
                <w:sz w:val="18"/>
                <w:szCs w:val="18"/>
                <w:color w:val="auto"/>
              </w:rPr>
              <w:t>S-11</w:t>
            </w:r>
          </w:p>
        </w:tc>
      </w:tr>
      <w:tr>
        <w:trPr>
          <w:trHeight w:val="228"/>
        </w:trPr>
        <w:tc>
          <w:tcPr>
            <w:tcW w:w="3380" w:type="dxa"/>
            <w:vAlign w:val="bottom"/>
            <w:tcBorders>
              <w:bottom w:val="single" w:sz="8" w:color="808080"/>
            </w:tcBorders>
          </w:tcPr>
          <w:p>
            <w:pPr>
              <w:spacing w:after="0"/>
              <w:rPr>
                <w:sz w:val="19"/>
                <w:szCs w:val="19"/>
                <w:color w:val="auto"/>
              </w:rPr>
            </w:pPr>
          </w:p>
        </w:tc>
        <w:tc>
          <w:tcPr>
            <w:tcW w:w="8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In addition, unless we have received the affirmative vote or consent of the</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holders of at least two-thirds of the outstanding Series C Preference Units,</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voting as a class together with holders of any other Parity Securities upon which</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like voting rights have been conferred and are exercisable (including holders of</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our Series A Preference Units and Series B Preference Units), we may not</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 issue any Parity Securities if the cumulative distributions payable on</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outstanding Series C Preference Units are in arrears or (ii) create or issue any</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Senior Securities.</w:t>
            </w:r>
          </w:p>
        </w:tc>
      </w:tr>
      <w:tr>
        <w:trPr>
          <w:trHeight w:val="453"/>
        </w:trPr>
        <w:tc>
          <w:tcPr>
            <w:tcW w:w="37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Except as noted above, no vote or consent of the holders of Series C Preference</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Units is required for the (i) creation or incurrence of any indebtedness,</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(ii) authorization or issuance of any common units or other Junior Securities or</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(iii) authorization or issuance of any limited partner interests of any series.</w:t>
            </w:r>
          </w:p>
        </w:tc>
      </w:tr>
      <w:tr>
        <w:trPr>
          <w:trHeight w:val="453"/>
        </w:trPr>
        <w:tc>
          <w:tcPr>
            <w:tcW w:w="37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Fixed Liquidation Price</w:t>
            </w: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In the event of any liquidation, dissolution or winding up of our affairs, whether</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voluntary or involuntary, holders of the Series C Preference Units will</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generally, subject to the discussion under "Description of Series C Preference</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Units—Liquidation Rights", have the right to receive the liquidation preference</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$25.00 per unit plus an amount equal to all accumulated and unpaid</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distributions thereon to the date of payment, whether or not declared, before any</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payments are made to holders of our common units or any other Junior</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Securities. A consolidation or merger of us with or into any other entity,</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individually or in a series of transactions, will not be deemed to be a</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liquidation, dissolution or winding up of our affairs.</w:t>
            </w:r>
          </w:p>
        </w:tc>
      </w:tr>
      <w:tr>
        <w:trPr>
          <w:trHeight w:val="453"/>
        </w:trPr>
        <w:tc>
          <w:tcPr>
            <w:tcW w:w="37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Sinking Fund</w:t>
            </w: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Series C Preference Units will not be subject to any sinking fund</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requirements.</w:t>
            </w:r>
          </w:p>
        </w:tc>
      </w:tr>
      <w:tr>
        <w:trPr>
          <w:trHeight w:val="453"/>
        </w:trPr>
        <w:tc>
          <w:tcPr>
            <w:tcW w:w="37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No Fiduciary Duties</w:t>
            </w: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None of us, our general partner or our general partner's officers and directors</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will owe any fiduciary duties to holders of the Series C Preference Units other</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than a contractual duty of good faith and fair dealing pursuant to our</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Partnership Agreement.</w:t>
            </w:r>
          </w:p>
        </w:tc>
      </w:tr>
      <w:tr>
        <w:trPr>
          <w:trHeight w:val="453"/>
        </w:trPr>
        <w:tc>
          <w:tcPr>
            <w:tcW w:w="37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We intend to use the net proceeds of the sale of the Series C Preference Units,</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which, after deducting underwriting discounts and the estimated expenses</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payable by us, are expected to total approximately $96,293,410 (or</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approximately $110,820,910 if the underwriters exercise their option in full),</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for general partnership purposes, which may include future acquisitions, debt</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repayment, capital expenditures and additions to working capital. We currently</w:t>
            </w:r>
          </w:p>
        </w:tc>
      </w:tr>
      <w:tr>
        <w:trPr>
          <w:trHeight w:val="216"/>
        </w:trPr>
        <w:tc>
          <w:tcPr>
            <w:tcW w:w="37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expect that this will include future acquisitions from GasLog. Please read "Use</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Proceeds".</w:t>
            </w:r>
          </w:p>
        </w:tc>
      </w:tr>
      <w:tr>
        <w:trPr>
          <w:trHeight w:val="453"/>
        </w:trPr>
        <w:tc>
          <w:tcPr>
            <w:tcW w:w="37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Ratings</w:t>
            </w: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Series C Preference Units will not be rated by any Nationally Recognized</w:t>
            </w:r>
          </w:p>
        </w:tc>
      </w:tr>
      <w:tr>
        <w:trPr>
          <w:trHeight w:val="222"/>
        </w:trPr>
        <w:tc>
          <w:tcPr>
            <w:tcW w:w="3720" w:type="dxa"/>
            <w:vAlign w:val="bottom"/>
            <w:tcBorders>
              <w:left w:val="single" w:sz="8" w:color="auto"/>
            </w:tcBorders>
          </w:tcPr>
          <w:p>
            <w:pPr>
              <w:spacing w:after="0"/>
              <w:rPr>
                <w:sz w:val="19"/>
                <w:szCs w:val="19"/>
                <w:color w:val="auto"/>
              </w:rPr>
            </w:pPr>
          </w:p>
        </w:tc>
        <w:tc>
          <w:tcPr>
            <w:tcW w:w="77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Statistical Rating Organization.</w:t>
            </w:r>
          </w:p>
        </w:tc>
      </w:tr>
      <w:tr>
        <w:trPr>
          <w:trHeight w:val="444"/>
        </w:trPr>
        <w:tc>
          <w:tcPr>
            <w:tcW w:w="3720" w:type="dxa"/>
            <w:vAlign w:val="bottom"/>
            <w:tcBorders>
              <w:left w:val="single" w:sz="8" w:color="auto"/>
              <w:bottom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427"/>
        </w:trPr>
        <w:tc>
          <w:tcPr>
            <w:tcW w:w="3720" w:type="dxa"/>
            <w:vAlign w:val="bottom"/>
          </w:tcPr>
          <w:p>
            <w:pPr>
              <w:spacing w:after="0"/>
              <w:rPr>
                <w:sz w:val="24"/>
                <w:szCs w:val="24"/>
                <w:color w:val="auto"/>
              </w:rPr>
            </w:pPr>
          </w:p>
        </w:tc>
        <w:tc>
          <w:tcPr>
            <w:tcW w:w="7700" w:type="dxa"/>
            <w:vAlign w:val="bottom"/>
          </w:tcPr>
          <w:p>
            <w:pPr>
              <w:ind w:left="1820"/>
              <w:spacing w:after="0"/>
              <w:rPr>
                <w:sz w:val="20"/>
                <w:szCs w:val="20"/>
                <w:color w:val="auto"/>
              </w:rPr>
            </w:pPr>
            <w:r>
              <w:rPr>
                <w:rFonts w:ascii="Arial" w:cs="Arial" w:eastAsia="Arial" w:hAnsi="Arial"/>
                <w:sz w:val="18"/>
                <w:szCs w:val="18"/>
                <w:color w:val="auto"/>
              </w:rPr>
              <w:t>S-12</w:t>
            </w:r>
          </w:p>
        </w:tc>
      </w:tr>
      <w:tr>
        <w:trPr>
          <w:trHeight w:val="228"/>
        </w:trPr>
        <w:tc>
          <w:tcPr>
            <w:tcW w:w="372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5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Listing</w:t>
            </w:r>
          </w:p>
        </w:tc>
        <w:tc>
          <w:tcPr>
            <w:tcW w:w="784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We intend to file an application to list the Series C Preference Units on the</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NYSE under the symbol "GLOP PR C". If the application is approved, trading</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of the Series C Preference Units on the NYSE is expected to begin within</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30 days after the original issue date of the Series C Preference Units. The</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underwriters have advised us that they intend to make a market in the Series C</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Preference Units prior to commencement of any trading on the NYSE.</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However, the underwriters will have no obligation to do so, and no assurance</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can be given that a market for the Series C Preference Units will develop prior</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to commencement of trading on the NYSE or, if developed, that it will be</w:t>
            </w:r>
          </w:p>
        </w:tc>
      </w:tr>
      <w:tr>
        <w:trPr>
          <w:trHeight w:val="222"/>
        </w:trPr>
        <w:tc>
          <w:tcPr>
            <w:tcW w:w="3580" w:type="dxa"/>
            <w:vAlign w:val="bottom"/>
            <w:tcBorders>
              <w:left w:val="single" w:sz="8" w:color="auto"/>
            </w:tcBorders>
          </w:tcPr>
          <w:p>
            <w:pPr>
              <w:spacing w:after="0"/>
              <w:rPr>
                <w:sz w:val="19"/>
                <w:szCs w:val="19"/>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maintained.</w:t>
            </w:r>
          </w:p>
        </w:tc>
      </w:tr>
      <w:tr>
        <w:trPr>
          <w:trHeight w:val="453"/>
        </w:trPr>
        <w:tc>
          <w:tcPr>
            <w:tcW w:w="35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Form</w:t>
            </w: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The Series C Preference Units will be issued and maintained only in book-entry</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form registered in the name of the nominee of The Depository Trust Company</w:t>
            </w:r>
          </w:p>
        </w:tc>
      </w:tr>
      <w:tr>
        <w:trPr>
          <w:trHeight w:val="222"/>
        </w:trPr>
        <w:tc>
          <w:tcPr>
            <w:tcW w:w="3580" w:type="dxa"/>
            <w:vAlign w:val="bottom"/>
            <w:tcBorders>
              <w:left w:val="single" w:sz="8" w:color="auto"/>
            </w:tcBorders>
          </w:tcPr>
          <w:p>
            <w:pPr>
              <w:spacing w:after="0"/>
              <w:rPr>
                <w:sz w:val="19"/>
                <w:szCs w:val="19"/>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("DTC"), except under limited circumstances.</w:t>
            </w:r>
          </w:p>
        </w:tc>
      </w:tr>
      <w:tr>
        <w:trPr>
          <w:trHeight w:val="453"/>
        </w:trPr>
        <w:tc>
          <w:tcPr>
            <w:tcW w:w="35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Settlement</w:t>
            </w: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Delivery of the Series C Preference Units offered hereby will be made against</w:t>
            </w:r>
          </w:p>
        </w:tc>
      </w:tr>
      <w:tr>
        <w:trPr>
          <w:trHeight w:val="222"/>
        </w:trPr>
        <w:tc>
          <w:tcPr>
            <w:tcW w:w="3580" w:type="dxa"/>
            <w:vAlign w:val="bottom"/>
            <w:tcBorders>
              <w:left w:val="single" w:sz="8" w:color="auto"/>
            </w:tcBorders>
          </w:tcPr>
          <w:p>
            <w:pPr>
              <w:spacing w:after="0"/>
              <w:rPr>
                <w:sz w:val="19"/>
                <w:szCs w:val="19"/>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payment therefor on or about November 15, 2018.</w:t>
            </w:r>
          </w:p>
        </w:tc>
      </w:tr>
      <w:tr>
        <w:trPr>
          <w:trHeight w:val="453"/>
        </w:trPr>
        <w:tc>
          <w:tcPr>
            <w:tcW w:w="35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An investment in our Series C Preference Units involves risks. You should</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consider carefully the factors set forth in the section of this prospectus entitled</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"Risk Factors" beginning on page S-24 of this prospectus supplement and on</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page 7 of our Annual Report on Form 20-F filed with the Securities and</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Exchange Commission on February 12, 2018 and incorporated by reference</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herein, to determine whether an investment in our Series C Preference Units is</w:t>
            </w:r>
          </w:p>
        </w:tc>
      </w:tr>
      <w:tr>
        <w:trPr>
          <w:trHeight w:val="222"/>
        </w:trPr>
        <w:tc>
          <w:tcPr>
            <w:tcW w:w="3580" w:type="dxa"/>
            <w:vAlign w:val="bottom"/>
            <w:tcBorders>
              <w:left w:val="single" w:sz="8" w:color="auto"/>
            </w:tcBorders>
          </w:tcPr>
          <w:p>
            <w:pPr>
              <w:spacing w:after="0"/>
              <w:rPr>
                <w:sz w:val="19"/>
                <w:szCs w:val="19"/>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appropriate for you.</w:t>
            </w:r>
          </w:p>
        </w:tc>
      </w:tr>
      <w:tr>
        <w:trPr>
          <w:trHeight w:val="453"/>
        </w:trPr>
        <w:tc>
          <w:tcPr>
            <w:tcW w:w="35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Tax Considerations</w:t>
            </w: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Although we are organized as a partnership, we have elected to be treated as a</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corporation solely for U.S. federal income tax purposes. Consequently, all or a</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portion of the distributions you receive from us will constitute dividends for</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such purposes. The remaining portion of such distributions will be treated first</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as a non-taxable return of capital to the extent of your tax basis in your Series C</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Preference Units and, thereafter, as capital gain. In addition, there are other tax</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matters you should consider before investing in the Series C Preference Units,</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including our tax status as a non-U.S. issuer. Please read "Material U.S. Federal</w:t>
            </w:r>
          </w:p>
        </w:tc>
      </w:tr>
      <w:tr>
        <w:trPr>
          <w:trHeight w:val="216"/>
        </w:trPr>
        <w:tc>
          <w:tcPr>
            <w:tcW w:w="35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Income Tax Considerations", "Non-United States Tax Considerations" and</w:t>
            </w:r>
          </w:p>
        </w:tc>
      </w:tr>
      <w:tr>
        <w:trPr>
          <w:trHeight w:val="222"/>
        </w:trPr>
        <w:tc>
          <w:tcPr>
            <w:tcW w:w="3580" w:type="dxa"/>
            <w:vAlign w:val="bottom"/>
            <w:tcBorders>
              <w:left w:val="single" w:sz="8" w:color="auto"/>
            </w:tcBorders>
          </w:tcPr>
          <w:p>
            <w:pPr>
              <w:spacing w:after="0"/>
              <w:rPr>
                <w:sz w:val="19"/>
                <w:szCs w:val="19"/>
                <w:color w:val="auto"/>
              </w:rPr>
            </w:pPr>
          </w:p>
        </w:tc>
        <w:tc>
          <w:tcPr>
            <w:tcW w:w="784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"Risk Factors—Tax Risks".</w:t>
            </w:r>
          </w:p>
        </w:tc>
      </w:tr>
      <w:tr>
        <w:trPr>
          <w:trHeight w:val="228"/>
        </w:trPr>
        <w:tc>
          <w:tcPr>
            <w:tcW w:w="3580" w:type="dxa"/>
            <w:vAlign w:val="bottom"/>
            <w:tcBorders>
              <w:left w:val="single" w:sz="8" w:color="auto"/>
              <w:bottom w:val="single" w:sz="8" w:color="auto"/>
            </w:tcBorders>
          </w:tcPr>
          <w:p>
            <w:pPr>
              <w:spacing w:after="0"/>
              <w:rPr>
                <w:sz w:val="19"/>
                <w:szCs w:val="19"/>
                <w:color w:val="auto"/>
              </w:rPr>
            </w:pPr>
          </w:p>
        </w:tc>
        <w:tc>
          <w:tcPr>
            <w:tcW w:w="7840" w:type="dxa"/>
            <w:vAlign w:val="bottom"/>
            <w:tcBorders>
              <w:bottom w:val="single" w:sz="8" w:color="auto"/>
              <w:right w:val="single" w:sz="8" w:color="auto"/>
            </w:tcBorders>
          </w:tcPr>
          <w:p>
            <w:pPr>
              <w:spacing w:after="0"/>
              <w:rPr>
                <w:sz w:val="19"/>
                <w:szCs w:val="19"/>
                <w:color w:val="auto"/>
              </w:rPr>
            </w:pPr>
          </w:p>
        </w:tc>
      </w:tr>
      <w:tr>
        <w:trPr>
          <w:trHeight w:val="427"/>
        </w:trPr>
        <w:tc>
          <w:tcPr>
            <w:tcW w:w="3580" w:type="dxa"/>
            <w:vAlign w:val="bottom"/>
          </w:tcPr>
          <w:p>
            <w:pPr>
              <w:spacing w:after="0"/>
              <w:rPr>
                <w:sz w:val="24"/>
                <w:szCs w:val="24"/>
                <w:color w:val="auto"/>
              </w:rPr>
            </w:pPr>
          </w:p>
        </w:tc>
        <w:tc>
          <w:tcPr>
            <w:tcW w:w="7840" w:type="dxa"/>
            <w:vAlign w:val="bottom"/>
          </w:tcPr>
          <w:p>
            <w:pPr>
              <w:ind w:left="1960"/>
              <w:spacing w:after="0"/>
              <w:rPr>
                <w:sz w:val="20"/>
                <w:szCs w:val="20"/>
                <w:color w:val="auto"/>
              </w:rPr>
            </w:pPr>
            <w:r>
              <w:rPr>
                <w:rFonts w:ascii="Arial" w:cs="Arial" w:eastAsia="Arial" w:hAnsi="Arial"/>
                <w:sz w:val="18"/>
                <w:szCs w:val="18"/>
                <w:color w:val="auto"/>
              </w:rPr>
              <w:t>S-13</w:t>
            </w:r>
          </w:p>
        </w:tc>
      </w:tr>
      <w:tr>
        <w:trPr>
          <w:trHeight w:val="228"/>
        </w:trPr>
        <w:tc>
          <w:tcPr>
            <w:tcW w:w="3580" w:type="dxa"/>
            <w:vAlign w:val="bottom"/>
            <w:tcBorders>
              <w:bottom w:val="single" w:sz="8" w:color="808080"/>
            </w:tcBorders>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655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Financial and Operating Data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This information should be read together with, and is qualified in its entirety by, our consolidated financial statements and the notes thereto included in "Item 18. Financial Statements" of our Annual Report on Form 20-F, as filed with the SEC on February 12, 2018 and incorporated by reference into this prospectus, and the unaudited interim condensed consolidated financial statements of GasLog Partners included in Exhibit 99.2 of the Report on Form 6-K, as furnished to the SEC on October 25, 2018 and incorporated by reference into this prospectus. You should also read "Item 5. Operating and Financial Review and Prospects" of our Annual Report on Form 20-F, as filed with the SEC on February 12, 2018 and incorporated by reference into this prospectus, and "Management's Discussion and Analysis of Financial Condition and Results of Operation" in Exhibit 99.2 of the Report on Form 6-K, as furnished to the SEC on October 25, 2018 and incorporated by reference into this prospectus.</w:t>
      </w:r>
    </w:p>
    <w:p>
      <w:pPr>
        <w:spacing w:after="0" w:line="172" w:lineRule="exact"/>
        <w:rPr>
          <w:sz w:val="20"/>
          <w:szCs w:val="20"/>
          <w:color w:val="auto"/>
        </w:rPr>
      </w:pPr>
    </w:p>
    <w:p>
      <w:pPr>
        <w:ind w:left="240" w:right="16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IFRS Common Control Reported Results</w:t>
      </w:r>
    </w:p>
    <w:p>
      <w:pPr>
        <w:spacing w:after="0" w:line="231" w:lineRule="exact"/>
        <w:rPr>
          <w:sz w:val="20"/>
          <w:szCs w:val="20"/>
          <w:color w:val="auto"/>
        </w:rPr>
      </w:pPr>
    </w:p>
    <w:p>
      <w:pPr>
        <w:ind w:left="240" w:firstLine="348"/>
        <w:spacing w:after="0" w:line="288" w:lineRule="auto"/>
        <w:rPr>
          <w:sz w:val="20"/>
          <w:szCs w:val="20"/>
          <w:color w:val="auto"/>
        </w:rPr>
      </w:pPr>
      <w:r>
        <w:rPr>
          <w:rFonts w:ascii="Arial" w:cs="Arial" w:eastAsia="Arial" w:hAnsi="Arial"/>
          <w:sz w:val="16"/>
          <w:szCs w:val="16"/>
          <w:color w:val="auto"/>
        </w:rPr>
        <w:t xml:space="preserve">The following table presents, in each case for the periods and as of the dates indicated, summary historical financial and operating data. The summary historical financial data as of December 31, 2015, 2016 and 2017 and for each of the years in the three-year period ended December 31, 2017 is a summary of and is derived from our audited consolidated financial statements after retroactive restatement for the transfer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from GasLog to the Partnership on April 26, 2018 such that they are presented on a consistent basis with the unaudited interim condensed consolidated financial statements for the nine months ended September 30, 2018. The summary historical financial data as of September 30, 2018 and for the three- and nine-month periods ended September 30, 2017 and 2018 has been derived from the unaudited interim condensed consolidated financial statements of GasLog Partners LP included in Exhibit 99.2 of our Report on Form 6-K furnished to the SEC on October 25, 2018 and incorporated by reference into this prospectus. The annual financial statements have been prepared in accordance with IFRS, as issued by the IASB. The interim financial statements have been prepared in accordance with International Accounting Standard 34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as issued by the IASB.</w:t>
      </w:r>
    </w:p>
    <w:p>
      <w:pPr>
        <w:spacing w:after="0" w:line="174" w:lineRule="exact"/>
        <w:rPr>
          <w:sz w:val="20"/>
          <w:szCs w:val="20"/>
          <w:color w:val="auto"/>
        </w:rPr>
      </w:pPr>
    </w:p>
    <w:p>
      <w:pPr>
        <w:ind w:left="240" w:firstLine="351"/>
        <w:spacing w:after="0" w:line="309" w:lineRule="auto"/>
        <w:rPr>
          <w:sz w:val="20"/>
          <w:szCs w:val="20"/>
          <w:color w:val="auto"/>
        </w:rPr>
      </w:pPr>
      <w:r>
        <w:rPr>
          <w:rFonts w:ascii="Arial" w:cs="Arial" w:eastAsia="Arial" w:hAnsi="Arial"/>
          <w:sz w:val="15"/>
          <w:szCs w:val="15"/>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transfer of the three initial vessels from GasLog to the Partnership at the time of the IPO, the transfer of two vessels from GasLog to the Partnership in September 2014, the transfer of three vessels from GasLog to the Partnership in July 2015 and the transfers of one vessel from GasLog to the Partnership in November 2016, May 2017, July 2017, October 2017 and April 2018, respectively, were each accounted for as a reorganization of entities under common control under IFRS and prior periods were retroactively restated.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88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788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70" w:type="dxa"/>
        <w:tblCellMar>
          <w:top w:w="0" w:type="dxa"/>
          <w:left w:w="0" w:type="dxa"/>
          <w:bottom w:w="0" w:type="dxa"/>
          <w:right w:w="0" w:type="dxa"/>
        </w:tblCellMar>
      </w:tblPr>
      <w:tr>
        <w:trPr>
          <w:trHeight w:val="230"/>
        </w:trPr>
        <w:tc>
          <w:tcPr>
            <w:tcW w:w="2220" w:type="dxa"/>
            <w:vAlign w:val="bottom"/>
            <w:tcBorders>
              <w:top w:val="single" w:sz="8" w:color="auto"/>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Date</w:t>
            </w:r>
          </w:p>
        </w:tc>
        <w:tc>
          <w:tcPr>
            <w:tcW w:w="8720" w:type="dxa"/>
            <w:vAlign w:val="bottom"/>
            <w:tcBorders>
              <w:top w:val="single" w:sz="8" w:color="auto"/>
              <w:bottom w:val="single" w:sz="8" w:color="auto"/>
              <w:right w:val="single" w:sz="8" w:color="auto"/>
            </w:tcBorders>
          </w:tcPr>
          <w:p>
            <w:pPr>
              <w:ind w:left="3660"/>
              <w:spacing w:after="0"/>
              <w:rPr>
                <w:sz w:val="20"/>
                <w:szCs w:val="20"/>
                <w:color w:val="auto"/>
              </w:rPr>
            </w:pPr>
            <w:r>
              <w:rPr>
                <w:rFonts w:ascii="Arial" w:cs="Arial" w:eastAsia="Arial" w:hAnsi="Arial"/>
                <w:sz w:val="14"/>
                <w:szCs w:val="14"/>
                <w:b w:val="1"/>
                <w:bCs w:val="1"/>
                <w:color w:val="auto"/>
              </w:rPr>
              <w:t>Vessel(s) Transferred</w:t>
            </w:r>
          </w:p>
        </w:tc>
      </w:tr>
      <w:tr>
        <w:trPr>
          <w:trHeight w:val="210"/>
        </w:trPr>
        <w:tc>
          <w:tcPr>
            <w:tcW w:w="222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May 12, 2014</w:t>
            </w:r>
          </w:p>
        </w:tc>
        <w:tc>
          <w:tcPr>
            <w:tcW w:w="8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18"/>
                <w:szCs w:val="18"/>
                <w:color w:val="auto"/>
              </w:rPr>
              <w:t>,</w:t>
            </w:r>
            <w:r>
              <w:rPr>
                <w:rFonts w:ascii="Arial" w:cs="Arial" w:eastAsia="Arial" w:hAnsi="Arial"/>
                <w:sz w:val="18"/>
                <w:szCs w:val="18"/>
                <w:i w:val="1"/>
                <w:iCs w:val="1"/>
                <w:color w:val="auto"/>
              </w:rPr>
              <w:t xml:space="preserve"> GasLog Shanghai </w:t>
            </w:r>
            <w:r>
              <w:rPr>
                <w:rFonts w:ascii="Arial" w:cs="Arial" w:eastAsia="Arial" w:hAnsi="Arial"/>
                <w:sz w:val="18"/>
                <w:szCs w:val="18"/>
                <w:color w:val="auto"/>
              </w:rPr>
              <w:t>and</w:t>
            </w:r>
            <w:r>
              <w:rPr>
                <w:rFonts w:ascii="Arial" w:cs="Arial" w:eastAsia="Arial" w:hAnsi="Arial"/>
                <w:sz w:val="18"/>
                <w:szCs w:val="18"/>
                <w:i w:val="1"/>
                <w:iCs w:val="1"/>
                <w:color w:val="auto"/>
              </w:rPr>
              <w:t xml:space="preserve"> GasLog Sydney</w:t>
            </w:r>
          </w:p>
        </w:tc>
      </w:tr>
      <w:tr>
        <w:trPr>
          <w:trHeight w:val="458"/>
        </w:trPr>
        <w:tc>
          <w:tcPr>
            <w:tcW w:w="2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September 29, 2014</w:t>
            </w:r>
          </w:p>
        </w:tc>
        <w:tc>
          <w:tcPr>
            <w:tcW w:w="872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 xml:space="preserve">Methane Jane Elizabeth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Rita Andrea</w:t>
            </w:r>
          </w:p>
        </w:tc>
      </w:tr>
      <w:tr>
        <w:trPr>
          <w:trHeight w:val="460"/>
        </w:trPr>
        <w:tc>
          <w:tcPr>
            <w:tcW w:w="222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July 1, 2015</w:t>
            </w:r>
          </w:p>
        </w:tc>
        <w:tc>
          <w:tcPr>
            <w:tcW w:w="8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 xml:space="preserve">Methane Alison Victoria, Methane Heather Sally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Shirley Elisabeth</w:t>
            </w:r>
          </w:p>
        </w:tc>
      </w:tr>
      <w:tr>
        <w:trPr>
          <w:trHeight w:val="458"/>
        </w:trPr>
        <w:tc>
          <w:tcPr>
            <w:tcW w:w="2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November 1, 2016</w:t>
            </w:r>
          </w:p>
        </w:tc>
        <w:tc>
          <w:tcPr>
            <w:tcW w:w="872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GasLog Seattle</w:t>
            </w:r>
          </w:p>
        </w:tc>
      </w:tr>
      <w:tr>
        <w:trPr>
          <w:trHeight w:val="460"/>
        </w:trPr>
        <w:tc>
          <w:tcPr>
            <w:tcW w:w="222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May 3, 2017</w:t>
            </w:r>
          </w:p>
        </w:tc>
        <w:tc>
          <w:tcPr>
            <w:tcW w:w="8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GasLog Greece</w:t>
            </w:r>
          </w:p>
        </w:tc>
      </w:tr>
      <w:tr>
        <w:trPr>
          <w:trHeight w:val="458"/>
        </w:trPr>
        <w:tc>
          <w:tcPr>
            <w:tcW w:w="22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July 3, 2017</w:t>
            </w:r>
          </w:p>
        </w:tc>
        <w:tc>
          <w:tcPr>
            <w:tcW w:w="8720" w:type="dxa"/>
            <w:vAlign w:val="bottom"/>
            <w:tcBorders>
              <w:right w:val="single" w:sz="8" w:color="auto"/>
            </w:tcBorders>
          </w:tcPr>
          <w:p>
            <w:pPr>
              <w:ind w:left="160"/>
              <w:spacing w:after="0"/>
              <w:rPr>
                <w:sz w:val="20"/>
                <w:szCs w:val="20"/>
                <w:color w:val="auto"/>
              </w:rPr>
            </w:pPr>
            <w:r>
              <w:rPr>
                <w:rFonts w:ascii="Arial" w:cs="Arial" w:eastAsia="Arial" w:hAnsi="Arial"/>
                <w:sz w:val="18"/>
                <w:szCs w:val="18"/>
                <w:i w:val="1"/>
                <w:iCs w:val="1"/>
                <w:color w:val="auto"/>
              </w:rPr>
              <w:t>GasLog Geneva</w:t>
            </w:r>
          </w:p>
        </w:tc>
      </w:tr>
      <w:tr>
        <w:trPr>
          <w:trHeight w:val="460"/>
        </w:trPr>
        <w:tc>
          <w:tcPr>
            <w:tcW w:w="222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October 20, 2017</w:t>
            </w:r>
          </w:p>
        </w:tc>
        <w:tc>
          <w:tcPr>
            <w:tcW w:w="872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Solaris</w:t>
            </w:r>
          </w:p>
        </w:tc>
      </w:tr>
      <w:tr>
        <w:trPr>
          <w:trHeight w:val="458"/>
        </w:trPr>
        <w:tc>
          <w:tcPr>
            <w:tcW w:w="222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April 26, 2018</w:t>
            </w:r>
          </w:p>
        </w:tc>
        <w:tc>
          <w:tcPr>
            <w:tcW w:w="87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GasLog Gibraltar</w:t>
            </w:r>
          </w:p>
        </w:tc>
      </w:tr>
    </w:tbl>
    <w:p>
      <w:pPr>
        <w:spacing w:after="0" w:line="208" w:lineRule="exact"/>
        <w:rPr>
          <w:sz w:val="20"/>
          <w:szCs w:val="20"/>
          <w:color w:val="auto"/>
        </w:rPr>
      </w:pPr>
    </w:p>
    <w:p>
      <w:pPr>
        <w:ind w:left="240" w:right="180" w:firstLine="348"/>
        <w:spacing w:after="0" w:line="259" w:lineRule="auto"/>
        <w:rPr>
          <w:sz w:val="20"/>
          <w:szCs w:val="20"/>
          <w:color w:val="auto"/>
        </w:rPr>
      </w:pPr>
      <w:r>
        <w:rPr>
          <w:rFonts w:ascii="Arial" w:cs="Arial" w:eastAsia="Arial" w:hAnsi="Arial"/>
          <w:sz w:val="18"/>
          <w:szCs w:val="18"/>
          <w:color w:val="auto"/>
        </w:rPr>
        <w:t xml:space="preserve">The financial information will be retroactively restated in the Partnership's Form 20-F for the year ending December 31, 2018 to reflect the purchase of a 100% of the ownership interest in GAS-twenty seven Ltd., the entity that owns and charters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to Shell, that is expected to be completed in November 2018.</w:t>
      </w:r>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0"/>
              </w:rPr>
              <w:t>Historical</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5"/>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1"/>
                <w:szCs w:val="11"/>
                <w:color w:val="auto"/>
              </w:rPr>
            </w:pPr>
          </w:p>
        </w:tc>
        <w:tc>
          <w:tcPr>
            <w:tcW w:w="1460" w:type="dxa"/>
            <w:vAlign w:val="bottom"/>
            <w:gridSpan w:val="4"/>
          </w:tcPr>
          <w:p>
            <w:pPr>
              <w:jc w:val="center"/>
              <w:ind w:right="13"/>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left="356"/>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left="376"/>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center"/>
              <w:ind w:left="334"/>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12"/>
          </w:tcPr>
          <w:p>
            <w:pPr>
              <w:jc w:val="right"/>
              <w:ind w:right="40"/>
              <w:spacing w:after="0"/>
              <w:rPr>
                <w:sz w:val="20"/>
                <w:szCs w:val="20"/>
                <w:color w:val="auto"/>
              </w:rPr>
            </w:pPr>
            <w:r>
              <w:rPr>
                <w:rFonts w:ascii="Arial" w:cs="Arial" w:eastAsia="Arial" w:hAnsi="Arial"/>
                <w:sz w:val="14"/>
                <w:szCs w:val="14"/>
                <w:b w:val="1"/>
                <w:bCs w:val="1"/>
                <w:color w:val="auto"/>
              </w:rPr>
              <w:t>(in thousands of U.S. dollars, except per unit data)</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PROFIT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OR LOSS: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248,501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287,294</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341,034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86,353</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81,887</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256,235</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243,172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pool allocation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8"/>
        </w:trPr>
        <w:tc>
          <w:tcPr>
            <w:tcW w:w="2540" w:type="dxa"/>
            <w:vAlign w:val="bottom"/>
          </w:tcPr>
          <w:p>
            <w:pPr>
              <w:ind w:left="160"/>
              <w:spacing w:after="0"/>
              <w:rPr>
                <w:sz w:val="20"/>
                <w:szCs w:val="20"/>
                <w:color w:val="auto"/>
              </w:rPr>
            </w:pPr>
            <w:r>
              <w:rPr>
                <w:rFonts w:ascii="Arial" w:cs="Arial" w:eastAsia="Arial" w:hAnsi="Arial"/>
                <w:sz w:val="18"/>
                <w:szCs w:val="18"/>
                <w:color w:val="auto"/>
              </w:rPr>
              <w:t>Voyage expenses and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320"/>
              <w:spacing w:after="0"/>
              <w:rPr>
                <w:sz w:val="20"/>
                <w:szCs w:val="20"/>
                <w:color w:val="auto"/>
              </w:rPr>
            </w:pPr>
            <w:r>
              <w:rPr>
                <w:rFonts w:ascii="Arial" w:cs="Arial" w:eastAsia="Arial" w:hAnsi="Arial"/>
                <w:sz w:val="18"/>
                <w:szCs w:val="18"/>
                <w:color w:val="auto"/>
              </w:rPr>
              <w:t>commissions</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(3,313)</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(3,955)</w:t>
            </w:r>
          </w:p>
        </w:tc>
        <w:tc>
          <w:tcPr>
            <w:tcW w:w="2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(4,273)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(3,209)</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Vessel operating costs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(56,429)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(65,193)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(16,373)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(15,765)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(47,593)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(48,178)</w:t>
            </w: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(55,693)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(62,754)</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(73,548)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(18,532)</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(18,710)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(54,996)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(55,314)</w:t>
            </w: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(11,806)</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(12,797)</w:t>
            </w:r>
          </w:p>
        </w:tc>
        <w:tc>
          <w:tcPr>
            <w:tcW w:w="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(14,920)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(11,067)</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(14,074)</w:t>
            </w:r>
          </w:p>
        </w:tc>
        <w:tc>
          <w:tcPr>
            <w:tcW w:w="0" w:type="dxa"/>
            <w:vAlign w:val="bottom"/>
          </w:tcPr>
          <w:p>
            <w:pPr>
              <w:spacing w:after="0"/>
              <w:rPr>
                <w:sz w:val="1"/>
                <w:szCs w:val="1"/>
                <w:color w:val="auto"/>
              </w:rPr>
            </w:pPr>
          </w:p>
        </w:tc>
      </w:tr>
      <w:tr>
        <w:trPr>
          <w:trHeight w:val="210"/>
        </w:trPr>
        <w:tc>
          <w:tcPr>
            <w:tcW w:w="2540" w:type="dxa"/>
            <w:vAlign w:val="bottom"/>
          </w:tcPr>
          <w:p>
            <w:pPr>
              <w:ind w:left="160"/>
              <w:spacing w:after="0"/>
              <w:rPr>
                <w:sz w:val="20"/>
                <w:szCs w:val="20"/>
                <w:color w:val="auto"/>
              </w:rPr>
            </w:pPr>
            <w:r>
              <w:rPr>
                <w:rFonts w:ascii="Arial" w:cs="Arial" w:eastAsia="Arial" w:hAnsi="Arial"/>
                <w:sz w:val="18"/>
                <w:szCs w:val="18"/>
                <w:b w:val="1"/>
                <w:bCs w:val="1"/>
                <w:color w:val="auto"/>
              </w:rPr>
              <w:t>Profit from operations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125,107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151,359</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183,100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46,378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40,140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139,370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119,987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costs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(50,627)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(59,318)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(15,020)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(15,533)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(44,086)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(45,826)</w:t>
            </w: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Arial" w:cs="Arial" w:eastAsia="Arial" w:hAnsi="Arial"/>
                <w:sz w:val="18"/>
                <w:szCs w:val="18"/>
                <w:color w:val="auto"/>
              </w:rPr>
              <w:t>Financial income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(Loss)/gain on derivatives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10"/>
        </w:trPr>
        <w:tc>
          <w:tcPr>
            <w:tcW w:w="2540" w:type="dxa"/>
            <w:vAlign w:val="bottom"/>
          </w:tcPr>
          <w:p>
            <w:pPr>
              <w:ind w:left="160"/>
              <w:spacing w:after="0"/>
              <w:rPr>
                <w:sz w:val="20"/>
                <w:szCs w:val="20"/>
                <w:color w:val="auto"/>
              </w:rPr>
            </w:pPr>
            <w:r>
              <w:rPr>
                <w:rFonts w:ascii="Arial" w:cs="Arial" w:eastAsia="Arial" w:hAnsi="Arial"/>
                <w:sz w:val="18"/>
                <w:szCs w:val="18"/>
                <w:b w:val="1"/>
                <w:bCs w:val="1"/>
                <w:color w:val="auto"/>
              </w:rPr>
              <w:t>Total other expenses, net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(41,365)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(57,258)</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(58,181)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(15,371)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(12,870)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(46,377)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(34,141)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Profit for the year/period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83,742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94,101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2"/>
              </w:rPr>
              <w:t>124,919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31,007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27,270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92,993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85,846</w:t>
            </w:r>
          </w:p>
        </w:tc>
        <w:tc>
          <w:tcPr>
            <w:tcW w:w="0" w:type="dxa"/>
            <w:vAlign w:val="bottom"/>
          </w:tcPr>
          <w:p>
            <w:pPr>
              <w:spacing w:after="0"/>
              <w:rPr>
                <w:sz w:val="1"/>
                <w:szCs w:val="1"/>
                <w:color w:val="auto"/>
              </w:rPr>
            </w:pPr>
          </w:p>
        </w:tc>
      </w:tr>
      <w:tr>
        <w:trPr>
          <w:trHeight w:val="20"/>
        </w:trPr>
        <w:tc>
          <w:tcPr>
            <w:tcW w:w="25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Profit attributable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320"/>
              <w:spacing w:after="0"/>
              <w:rPr>
                <w:sz w:val="20"/>
                <w:szCs w:val="20"/>
                <w:color w:val="auto"/>
              </w:rPr>
            </w:pPr>
            <w:r>
              <w:rPr>
                <w:rFonts w:ascii="Arial" w:cs="Arial" w:eastAsia="Arial" w:hAnsi="Arial"/>
                <w:sz w:val="18"/>
                <w:szCs w:val="18"/>
                <w:b w:val="1"/>
                <w:bCs w:val="1"/>
                <w:color w:val="auto"/>
              </w:rPr>
              <w:t>GasLog's operations</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18,702</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16,831</w:t>
            </w:r>
          </w:p>
        </w:tc>
        <w:tc>
          <w:tcPr>
            <w:tcW w:w="2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30,802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5,708</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27,314</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3,673</w:t>
            </w: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Partnership's profit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65,040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77,270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94,117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25,299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27,270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65,679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82,173</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b w:val="1"/>
                <w:bCs w:val="1"/>
                <w:color w:val="auto"/>
              </w:rPr>
              <w:t>EARNINGS PER UNIT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tcPr>
          <w:p>
            <w:pPr>
              <w:ind w:left="160"/>
              <w:spacing w:after="0"/>
              <w:rPr>
                <w:sz w:val="20"/>
                <w:szCs w:val="20"/>
                <w:color w:val="auto"/>
              </w:rPr>
            </w:pPr>
            <w:r>
              <w:rPr>
                <w:rFonts w:ascii="Arial" w:cs="Arial" w:eastAsia="Arial" w:hAnsi="Arial"/>
                <w:sz w:val="18"/>
                <w:szCs w:val="18"/>
                <w:b w:val="1"/>
                <w:bCs w:val="1"/>
                <w:color w:val="auto"/>
              </w:rPr>
              <w:t>ATTRIBUTABLE TO THE</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160"/>
              <w:spacing w:after="0" w:line="267" w:lineRule="exact"/>
              <w:rPr>
                <w:sz w:val="20"/>
                <w:szCs w:val="20"/>
                <w:color w:val="auto"/>
              </w:rPr>
            </w:pPr>
            <w:r>
              <w:rPr>
                <w:rFonts w:ascii="Arial" w:cs="Arial" w:eastAsia="Arial" w:hAnsi="Arial"/>
                <w:sz w:val="18"/>
                <w:szCs w:val="18"/>
                <w:b w:val="1"/>
                <w:bCs w:val="1"/>
                <w:color w:val="auto"/>
              </w:rPr>
              <w:t>PARTNERSHIP:</w:t>
            </w:r>
            <w:r>
              <w:rPr>
                <w:rFonts w:ascii="Arial" w:cs="Arial" w:eastAsia="Arial" w:hAnsi="Arial"/>
                <w:sz w:val="29"/>
                <w:szCs w:val="29"/>
                <w:b w:val="1"/>
                <w:bCs w:val="1"/>
                <w:color w:val="auto"/>
                <w:vertAlign w:val="superscript"/>
              </w:rPr>
              <w:t>(2)</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units (basic)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540" w:type="dxa"/>
            <w:vAlign w:val="bottom"/>
          </w:tcPr>
          <w:p>
            <w:pPr>
              <w:ind w:left="160"/>
              <w:spacing w:after="0"/>
              <w:rPr>
                <w:sz w:val="20"/>
                <w:szCs w:val="20"/>
                <w:color w:val="auto"/>
              </w:rPr>
            </w:pPr>
            <w:r>
              <w:rPr>
                <w:rFonts w:ascii="Arial" w:cs="Arial" w:eastAsia="Arial" w:hAnsi="Arial"/>
                <w:sz w:val="18"/>
                <w:szCs w:val="18"/>
                <w:color w:val="auto"/>
              </w:rPr>
              <w:t>Common units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540" w:type="dxa"/>
            <w:vAlign w:val="bottom"/>
          </w:tcPr>
          <w:p>
            <w:pPr>
              <w:ind w:left="160"/>
              <w:spacing w:after="0"/>
              <w:rPr>
                <w:sz w:val="20"/>
                <w:szCs w:val="20"/>
                <w:color w:val="auto"/>
              </w:rPr>
            </w:pPr>
            <w:r>
              <w:rPr>
                <w:rFonts w:ascii="Arial" w:cs="Arial" w:eastAsia="Arial" w:hAnsi="Arial"/>
                <w:sz w:val="18"/>
                <w:szCs w:val="18"/>
                <w:color w:val="auto"/>
              </w:rPr>
              <w:t>General partner units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3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53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1"/>
                <w:szCs w:val="11"/>
                <w:color w:val="auto"/>
              </w:rPr>
            </w:pPr>
          </w:p>
        </w:tc>
      </w:tr>
      <w:tr>
        <w:trPr>
          <w:trHeight w:val="161"/>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580" w:type="dxa"/>
            <w:vAlign w:val="bottom"/>
          </w:tcPr>
          <w:p>
            <w:pPr>
              <w:spacing w:after="0"/>
              <w:rPr>
                <w:sz w:val="12"/>
                <w:szCs w:val="12"/>
                <w:color w:val="auto"/>
              </w:rPr>
            </w:pPr>
          </w:p>
        </w:tc>
        <w:tc>
          <w:tcPr>
            <w:tcW w:w="8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left="77"/>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r>
      <w:tr>
        <w:trPr>
          <w:trHeight w:val="156"/>
        </w:trPr>
        <w:tc>
          <w:tcPr>
            <w:tcW w:w="4580" w:type="dxa"/>
            <w:vAlign w:val="bottom"/>
          </w:tcPr>
          <w:p>
            <w:pPr>
              <w:spacing w:after="0"/>
              <w:rPr>
                <w:sz w:val="13"/>
                <w:szCs w:val="13"/>
                <w:color w:val="auto"/>
              </w:rPr>
            </w:pPr>
          </w:p>
        </w:tc>
        <w:tc>
          <w:tcPr>
            <w:tcW w:w="8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840" w:type="dxa"/>
            <w:vAlign w:val="bottom"/>
            <w:tcBorders>
              <w:top w:val="single" w:sz="8" w:color="auto"/>
            </w:tcBorders>
          </w:tcPr>
          <w:p>
            <w:pPr>
              <w:jc w:val="right"/>
              <w:ind w:right="17"/>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(in thousands of U.S. dollars)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66,743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59,875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146,721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168,753</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Vessels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1,658,298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2,217,634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2,149,751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2,124,644</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Vessels under construction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105,558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1,850,734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2,301,826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2,314,990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2,333,346</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Borrowings—current portion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340,378</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84,587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114,570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85,033</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Borrowings—non-current portion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653,768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1,315,849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1,185,995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1,071,568</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772,366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839,306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963,508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1,111,076</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11"/>
          </w:tcPr>
          <w:p>
            <w:pPr>
              <w:ind w:left="2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161"/>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11"/>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4"/>
                <w:szCs w:val="14"/>
                <w:color w:val="auto"/>
              </w:rPr>
            </w:pPr>
          </w:p>
        </w:tc>
      </w:tr>
      <w:tr>
        <w:trPr>
          <w:trHeight w:val="142"/>
        </w:trPr>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gridSpan w:val="4"/>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1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center"/>
              <w:ind w:right="20"/>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right"/>
              <w:ind w:right="80"/>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11"/>
          </w:tcPr>
          <w:p>
            <w:pPr>
              <w:ind w:left="400"/>
              <w:spacing w:after="0"/>
              <w:rPr>
                <w:sz w:val="20"/>
                <w:szCs w:val="20"/>
                <w:color w:val="auto"/>
              </w:rPr>
            </w:pPr>
            <w:r>
              <w:rPr>
                <w:rFonts w:ascii="Arial" w:cs="Arial" w:eastAsia="Arial" w:hAnsi="Arial"/>
                <w:sz w:val="14"/>
                <w:szCs w:val="14"/>
                <w:b w:val="1"/>
                <w:bCs w:val="1"/>
                <w:color w:val="auto"/>
                <w:w w:val="89"/>
              </w:rPr>
              <w:t>(in thousands of U.S. dollars)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9"/>
              </w:rPr>
              <w:t>Net cash provided by operating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136,975</w:t>
            </w:r>
          </w:p>
        </w:tc>
        <w:tc>
          <w:tcPr>
            <w:tcW w:w="2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203,815</w:t>
            </w: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191,205</w:t>
            </w:r>
          </w:p>
        </w:tc>
        <w:tc>
          <w:tcPr>
            <w:tcW w:w="80" w:type="dxa"/>
            <w:vAlign w:val="bottom"/>
          </w:tcPr>
          <w:p>
            <w:pPr>
              <w:spacing w:after="0"/>
              <w:rPr>
                <w:sz w:val="18"/>
                <w:szCs w:val="18"/>
                <w:color w:val="auto"/>
              </w:rPr>
            </w:pPr>
          </w:p>
        </w:tc>
        <w:tc>
          <w:tcPr>
            <w:tcW w:w="940" w:type="dxa"/>
            <w:vAlign w:val="bottom"/>
            <w:gridSpan w:val="6"/>
          </w:tcPr>
          <w:p>
            <w:pPr>
              <w:jc w:val="right"/>
              <w:ind w:right="92"/>
              <w:spacing w:after="0"/>
              <w:rPr>
                <w:sz w:val="20"/>
                <w:szCs w:val="20"/>
                <w:color w:val="auto"/>
              </w:rPr>
            </w:pPr>
            <w:r>
              <w:rPr>
                <w:rFonts w:ascii="Arial" w:cs="Arial" w:eastAsia="Arial" w:hAnsi="Arial"/>
                <w:sz w:val="18"/>
                <w:szCs w:val="18"/>
                <w:color w:val="auto"/>
              </w:rPr>
              <w:t>138,406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136,266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13,722</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(506,878)</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8"/>
              </w:rPr>
              <w:t>5,914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(26,214)</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4180" w:type="dxa"/>
            <w:vAlign w:val="bottom"/>
            <w:gridSpan w:val="5"/>
          </w:tcPr>
          <w:p>
            <w:pPr>
              <w:spacing w:after="0"/>
              <w:rPr>
                <w:sz w:val="20"/>
                <w:szCs w:val="20"/>
                <w:color w:val="auto"/>
              </w:rPr>
            </w:pPr>
            <w:r>
              <w:rPr>
                <w:rFonts w:ascii="Arial" w:cs="Arial" w:eastAsia="Arial" w:hAnsi="Arial"/>
                <w:sz w:val="18"/>
                <w:szCs w:val="18"/>
                <w:color w:val="auto"/>
              </w:rPr>
              <w:t>Net cash (used in)/provided by financing activities</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(136,267)</w:t>
            </w:r>
          </w:p>
        </w:tc>
        <w:tc>
          <w:tcPr>
            <w:tcW w:w="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296,195</w:t>
            </w:r>
          </w:p>
        </w:tc>
        <w:tc>
          <w:tcPr>
            <w:tcW w:w="2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(107,695)</w:t>
            </w:r>
          </w:p>
        </w:tc>
        <w:tc>
          <w:tcPr>
            <w:tcW w:w="940" w:type="dxa"/>
            <w:vAlign w:val="bottom"/>
            <w:gridSpan w:val="6"/>
          </w:tcPr>
          <w:p>
            <w:pPr>
              <w:jc w:val="right"/>
              <w:ind w:right="32"/>
              <w:spacing w:after="0"/>
              <w:rPr>
                <w:sz w:val="20"/>
                <w:szCs w:val="20"/>
                <w:color w:val="auto"/>
              </w:rPr>
            </w:pPr>
            <w:r>
              <w:rPr>
                <w:rFonts w:ascii="Arial" w:cs="Arial" w:eastAsia="Arial" w:hAnsi="Arial"/>
                <w:sz w:val="18"/>
                <w:szCs w:val="18"/>
                <w:color w:val="auto"/>
              </w:rPr>
              <w:t>(4,033)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(88,020)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778"/>
        </w:trPr>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24"/>
                <w:szCs w:val="24"/>
                <w:color w:val="auto"/>
              </w:rPr>
            </w:pPr>
          </w:p>
        </w:tc>
        <w:tc>
          <w:tcPr>
            <w:tcW w:w="13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8"/>
              </w:rPr>
              <w:t>Nine Months</w:t>
            </w:r>
          </w:p>
        </w:tc>
        <w:tc>
          <w:tcPr>
            <w:tcW w:w="80" w:type="dxa"/>
            <w:vAlign w:val="bottom"/>
          </w:tcPr>
          <w:p>
            <w:pPr>
              <w:spacing w:after="0"/>
              <w:rPr>
                <w:sz w:val="24"/>
                <w:szCs w:val="24"/>
                <w:color w:val="auto"/>
              </w:rPr>
            </w:pPr>
          </w:p>
        </w:tc>
      </w:tr>
      <w:tr>
        <w:trPr>
          <w:trHeight w:val="149"/>
        </w:trPr>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left="322"/>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r>
      <w:tr>
        <w:trPr>
          <w:trHeight w:val="161"/>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6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12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3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4"/>
                <w:szCs w:val="14"/>
                <w:color w:val="auto"/>
              </w:rPr>
            </w:pPr>
          </w:p>
        </w:tc>
      </w:tr>
      <w:tr>
        <w:trPr>
          <w:trHeight w:val="142"/>
        </w:trPr>
        <w:tc>
          <w:tcPr>
            <w:tcW w:w="1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Borders>
              <w:top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9"/>
        </w:trPr>
        <w:tc>
          <w:tcPr>
            <w:tcW w:w="1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8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FLEET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9"/>
              </w:rPr>
              <w:t>Number of LNG carriers at end of period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13.0</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rPr>
              <w:t>13.0</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r>
      <w:tr>
        <w:trPr>
          <w:trHeight w:val="208"/>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LNG carriers during</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13.0</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Average age of LNG carriers (years)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rPr>
              <w:t>6.0</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Total calendar days of fleet for the period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1,196</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3,549</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3,549</w:t>
            </w:r>
          </w:p>
        </w:tc>
        <w:tc>
          <w:tcPr>
            <w:tcW w:w="80" w:type="dxa"/>
            <w:vAlign w:val="bottom"/>
            <w:shd w:val="clear" w:color="auto" w:fill="CCEEFF"/>
          </w:tcPr>
          <w:p>
            <w:pPr>
              <w:spacing w:after="0"/>
              <w:rPr>
                <w:sz w:val="18"/>
                <w:szCs w:val="18"/>
                <w:color w:val="auto"/>
              </w:rPr>
            </w:pPr>
          </w:p>
        </w:tc>
      </w:tr>
      <w:tr>
        <w:trPr>
          <w:trHeight w:val="209"/>
        </w:trPr>
        <w:tc>
          <w:tcPr>
            <w:tcW w:w="3220" w:type="dxa"/>
            <w:vAlign w:val="bottom"/>
            <w:gridSpan w:val="2"/>
          </w:tcPr>
          <w:p>
            <w:pPr>
              <w:spacing w:after="0"/>
              <w:rPr>
                <w:sz w:val="20"/>
                <w:szCs w:val="20"/>
                <w:color w:val="auto"/>
              </w:rPr>
            </w:pPr>
            <w:r>
              <w:rPr>
                <w:rFonts w:ascii="Arial" w:cs="Arial" w:eastAsia="Arial" w:hAnsi="Arial"/>
                <w:sz w:val="18"/>
                <w:szCs w:val="18"/>
                <w:color w:val="auto"/>
              </w:rPr>
              <w:t>Total operating days of fleet for the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72"/>
        </w:trPr>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period</w:t>
            </w:r>
            <w:r>
              <w:rPr>
                <w:rFonts w:ascii="Arial" w:cs="Arial" w:eastAsia="Arial" w:hAnsi="Arial"/>
                <w:sz w:val="29"/>
                <w:szCs w:val="29"/>
                <w:color w:val="auto"/>
                <w:vertAlign w:val="superscript"/>
              </w:rPr>
              <w:t>(4)</w:t>
            </w:r>
          </w:p>
        </w:tc>
        <w:tc>
          <w:tcPr>
            <w:tcW w:w="14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3,585</w:t>
            </w: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4,745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4"/>
                <w:szCs w:val="24"/>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1,151</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rPr>
              <w:t>3,549</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3,417</w:t>
            </w:r>
          </w:p>
        </w:tc>
        <w:tc>
          <w:tcPr>
            <w:tcW w:w="80" w:type="dxa"/>
            <w:vAlign w:val="bottom"/>
          </w:tcPr>
          <w:p>
            <w:pPr>
              <w:spacing w:after="0"/>
              <w:rPr>
                <w:sz w:val="24"/>
                <w:szCs w:val="24"/>
                <w:color w:val="auto"/>
              </w:rPr>
            </w:pPr>
          </w:p>
        </w:tc>
      </w:tr>
    </w:tbl>
    <w:p>
      <w:pPr>
        <w:spacing w:after="0" w:line="192" w:lineRule="exact"/>
        <w:rPr>
          <w:sz w:val="20"/>
          <w:szCs w:val="20"/>
          <w:color w:val="auto"/>
        </w:rPr>
      </w:pPr>
    </w:p>
    <w:p>
      <w:pPr>
        <w:ind w:left="1880" w:hanging="544"/>
        <w:spacing w:after="0"/>
        <w:tabs>
          <w:tab w:leader="none" w:pos="1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Fleet Data above is calculated consistent with our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30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left="460"/>
              <w:spacing w:after="0" w:line="149" w:lineRule="exact"/>
              <w:rPr>
                <w:sz w:val="20"/>
                <w:szCs w:val="20"/>
                <w:color w:val="auto"/>
              </w:rPr>
            </w:pPr>
            <w:r>
              <w:rPr>
                <w:rFonts w:ascii="Arial" w:cs="Arial" w:eastAsia="Arial" w:hAnsi="Arial"/>
                <w:sz w:val="14"/>
                <w:szCs w:val="14"/>
                <w:b w:val="1"/>
                <w:bCs w:val="1"/>
                <w:color w:val="auto"/>
                <w:w w:val="84"/>
              </w:rPr>
              <w:t>Ended</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left="460"/>
              <w:spacing w:after="0" w:line="149" w:lineRule="exact"/>
              <w:rPr>
                <w:sz w:val="20"/>
                <w:szCs w:val="20"/>
                <w:color w:val="auto"/>
              </w:rPr>
            </w:pPr>
            <w:r>
              <w:rPr>
                <w:rFonts w:ascii="Arial" w:cs="Arial" w:eastAsia="Arial" w:hAnsi="Arial"/>
                <w:sz w:val="14"/>
                <w:szCs w:val="14"/>
                <w:b w:val="1"/>
                <w:bCs w:val="1"/>
                <w:color w:val="auto"/>
                <w:w w:val="84"/>
              </w:rPr>
              <w:t>Ended</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2320" w:type="dxa"/>
            <w:vAlign w:val="bottom"/>
          </w:tcPr>
          <w:p>
            <w:pPr>
              <w:spacing w:after="0"/>
              <w:rPr>
                <w:sz w:val="14"/>
                <w:szCs w:val="14"/>
                <w:color w:val="auto"/>
              </w:rPr>
            </w:pPr>
          </w:p>
        </w:tc>
        <w:tc>
          <w:tcPr>
            <w:tcW w:w="28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r>
      <w:tr>
        <w:trPr>
          <w:trHeight w:val="156"/>
        </w:trPr>
        <w:tc>
          <w:tcPr>
            <w:tcW w:w="23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1"/>
        </w:trPr>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(in thousands of U.S. dollars)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FINANCIAL</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57"/>
        </w:trPr>
        <w:tc>
          <w:tcPr>
            <w:tcW w:w="2320" w:type="dxa"/>
            <w:vAlign w:val="bottom"/>
          </w:tcPr>
          <w:p>
            <w:pPr>
              <w:ind w:left="180"/>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180,800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214,113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256,648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64,910</w:t>
            </w:r>
          </w:p>
        </w:tc>
        <w:tc>
          <w:tcPr>
            <w:tcW w:w="1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58,850</w:t>
            </w:r>
          </w:p>
        </w:tc>
        <w:tc>
          <w:tcPr>
            <w:tcW w:w="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194,366</w:t>
            </w:r>
          </w:p>
        </w:tc>
        <w:tc>
          <w:tcPr>
            <w:tcW w:w="10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175,301</w:t>
            </w: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8"/>
        </w:trPr>
        <w:tc>
          <w:tcPr>
            <w:tcW w:w="2320" w:type="dxa"/>
            <w:vAlign w:val="bottom"/>
          </w:tcPr>
          <w:p>
            <w:pPr>
              <w:ind w:left="360"/>
              <w:spacing w:after="0"/>
              <w:rPr>
                <w:sz w:val="20"/>
                <w:szCs w:val="20"/>
                <w:color w:val="auto"/>
              </w:rPr>
            </w:pPr>
            <w:r>
              <w:rPr>
                <w:rFonts w:ascii="Arial" w:cs="Arial" w:eastAsia="Arial" w:hAnsi="Arial"/>
                <w:sz w:val="18"/>
                <w:szCs w:val="18"/>
                <w:color w:val="auto"/>
                <w:w w:val="98"/>
              </w:rPr>
              <w:t>Payment for vessels and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2320" w:type="dxa"/>
            <w:vAlign w:val="bottom"/>
          </w:tcPr>
          <w:p>
            <w:pPr>
              <w:ind w:left="540"/>
              <w:spacing w:after="0"/>
              <w:rPr>
                <w:sz w:val="20"/>
                <w:szCs w:val="20"/>
                <w:color w:val="auto"/>
              </w:rPr>
            </w:pPr>
            <w:r>
              <w:rPr>
                <w:rFonts w:ascii="Arial" w:cs="Arial" w:eastAsia="Arial" w:hAnsi="Arial"/>
                <w:sz w:val="18"/>
                <w:szCs w:val="18"/>
                <w:color w:val="auto"/>
              </w:rPr>
              <w:t>vessel additions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8,025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501,080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5,173</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4,112</w:t>
            </w: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17,702</w:t>
            </w:r>
          </w:p>
        </w:tc>
      </w:tr>
      <w:tr>
        <w:trPr>
          <w:trHeight w:val="258"/>
        </w:trPr>
        <w:tc>
          <w:tcPr>
            <w:tcW w:w="2320" w:type="dxa"/>
            <w:vAlign w:val="bottom"/>
            <w:shd w:val="clear" w:color="auto" w:fill="CCEEFF"/>
          </w:tcPr>
          <w:p>
            <w:pPr>
              <w:ind w:left="360"/>
              <w:spacing w:after="0" w:line="258" w:lineRule="exact"/>
              <w:rPr>
                <w:sz w:val="20"/>
                <w:szCs w:val="20"/>
                <w:color w:val="auto"/>
              </w:rPr>
            </w:pPr>
            <w:r>
              <w:rPr>
                <w:rFonts w:ascii="Arial" w:cs="Arial" w:eastAsia="Arial" w:hAnsi="Arial"/>
                <w:sz w:val="18"/>
                <w:szCs w:val="18"/>
                <w:color w:val="auto"/>
                <w:w w:val="95"/>
              </w:rPr>
              <w:t>Distributable cash flow</w:t>
            </w:r>
            <w:r>
              <w:rPr>
                <w:rFonts w:ascii="Arial" w:cs="Arial" w:eastAsia="Arial" w:hAnsi="Arial"/>
                <w:sz w:val="29"/>
                <w:szCs w:val="29"/>
                <w:color w:val="auto"/>
                <w:w w:val="95"/>
                <w:vertAlign w:val="superscript"/>
              </w:rPr>
              <w:t>(5)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72,254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83,660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100,551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26,867</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27,167</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73,617</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77,544</w:t>
            </w:r>
          </w:p>
        </w:tc>
      </w:tr>
      <w:tr>
        <w:trPr>
          <w:trHeight w:val="208"/>
        </w:trPr>
        <w:tc>
          <w:tcPr>
            <w:tcW w:w="2320" w:type="dxa"/>
            <w:vAlign w:val="bottom"/>
          </w:tcPr>
          <w:p>
            <w:pPr>
              <w:ind w:left="360"/>
              <w:spacing w:after="0"/>
              <w:rPr>
                <w:sz w:val="20"/>
                <w:szCs w:val="20"/>
                <w:color w:val="auto"/>
              </w:rPr>
            </w:pPr>
            <w:r>
              <w:rPr>
                <w:rFonts w:ascii="Arial" w:cs="Arial" w:eastAsia="Arial" w:hAnsi="Arial"/>
                <w:sz w:val="18"/>
                <w:szCs w:val="18"/>
                <w:color w:val="auto"/>
              </w:rPr>
              <w:t>Cash distributions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2320" w:type="dxa"/>
            <w:vAlign w:val="bottom"/>
          </w:tcPr>
          <w:p>
            <w:pPr>
              <w:ind w:left="540"/>
              <w:spacing w:after="0"/>
              <w:rPr>
                <w:sz w:val="20"/>
                <w:szCs w:val="20"/>
                <w:color w:val="auto"/>
              </w:rPr>
            </w:pPr>
            <w:r>
              <w:rPr>
                <w:rFonts w:ascii="Arial" w:cs="Arial" w:eastAsia="Arial" w:hAnsi="Arial"/>
                <w:sz w:val="18"/>
                <w:szCs w:val="18"/>
                <w:color w:val="auto"/>
              </w:rPr>
              <w:t>declared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58,992</w:t>
            </w:r>
            <w:r>
              <w:rPr>
                <w:rFonts w:ascii="Arial" w:cs="Arial" w:eastAsia="Arial" w:hAnsi="Arial"/>
                <w:sz w:val="14"/>
                <w:szCs w:val="14"/>
                <w:color w:val="auto"/>
              </w:rPr>
              <w:t>(6)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22,377</w:t>
            </w: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24,272</w:t>
            </w:r>
            <w:r>
              <w:rPr>
                <w:rFonts w:ascii="Arial" w:cs="Arial" w:eastAsia="Arial" w:hAnsi="Arial"/>
                <w:sz w:val="14"/>
                <w:szCs w:val="14"/>
                <w:color w:val="auto"/>
                <w:w w:val="92"/>
              </w:rPr>
              <w:t>(11)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60,671</w:t>
            </w: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w w:val="87"/>
              </w:rPr>
              <w:t>71,389</w:t>
            </w:r>
            <w:r>
              <w:rPr>
                <w:rFonts w:ascii="Arial" w:cs="Arial" w:eastAsia="Arial" w:hAnsi="Arial"/>
                <w:sz w:val="14"/>
                <w:szCs w:val="14"/>
                <w:color w:val="auto"/>
                <w:w w:val="87"/>
              </w:rPr>
              <w:t>(11)</w:t>
            </w:r>
          </w:p>
        </w:tc>
      </w:tr>
      <w:tr>
        <w:trPr>
          <w:trHeight w:val="218"/>
        </w:trPr>
        <w:tc>
          <w:tcPr>
            <w:tcW w:w="2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distributions paid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60,002</w:t>
            </w:r>
            <w:r>
              <w:rPr>
                <w:rFonts w:ascii="Arial" w:cs="Arial" w:eastAsia="Arial" w:hAnsi="Arial"/>
                <w:sz w:val="14"/>
                <w:szCs w:val="14"/>
                <w:color w:val="auto"/>
              </w:rPr>
              <w:t>(6)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76,377</w:t>
            </w:r>
            <w:r>
              <w:rPr>
                <w:rFonts w:ascii="Arial" w:cs="Arial" w:eastAsia="Arial" w:hAnsi="Arial"/>
                <w:sz w:val="14"/>
                <w:szCs w:val="14"/>
                <w:color w:val="auto"/>
              </w:rPr>
              <w:t>(8)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22,377</w:t>
            </w: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24,272</w:t>
            </w:r>
            <w:r>
              <w:rPr>
                <w:rFonts w:ascii="Arial" w:cs="Arial" w:eastAsia="Arial" w:hAnsi="Arial"/>
                <w:sz w:val="14"/>
                <w:szCs w:val="14"/>
                <w:color w:val="auto"/>
                <w:w w:val="92"/>
              </w:rPr>
              <w:t>(11)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60,671</w:t>
            </w: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71,389</w:t>
            </w:r>
            <w:r>
              <w:rPr>
                <w:rFonts w:ascii="Arial" w:cs="Arial" w:eastAsia="Arial" w:hAnsi="Arial"/>
                <w:sz w:val="14"/>
                <w:szCs w:val="14"/>
                <w:color w:val="auto"/>
                <w:w w:val="87"/>
              </w:rPr>
              <w:t>(11)</w:t>
            </w:r>
          </w:p>
        </w:tc>
      </w:tr>
      <w:tr>
        <w:trPr>
          <w:trHeight w:val="208"/>
        </w:trPr>
        <w:tc>
          <w:tcPr>
            <w:tcW w:w="2320" w:type="dxa"/>
            <w:vAlign w:val="bottom"/>
          </w:tcPr>
          <w:p>
            <w:pPr>
              <w:ind w:left="360"/>
              <w:spacing w:after="0"/>
              <w:rPr>
                <w:sz w:val="20"/>
                <w:szCs w:val="20"/>
                <w:color w:val="auto"/>
              </w:rPr>
            </w:pPr>
            <w:r>
              <w:rPr>
                <w:rFonts w:ascii="Arial" w:cs="Arial" w:eastAsia="Arial" w:hAnsi="Arial"/>
                <w:sz w:val="18"/>
                <w:szCs w:val="18"/>
                <w:color w:val="auto"/>
              </w:rPr>
              <w:t>Preference unit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320" w:type="dxa"/>
            <w:vAlign w:val="bottom"/>
          </w:tcPr>
          <w:p>
            <w:pPr>
              <w:ind w:left="540"/>
              <w:spacing w:after="0"/>
              <w:rPr>
                <w:sz w:val="20"/>
                <w:szCs w:val="20"/>
                <w:color w:val="auto"/>
              </w:rPr>
            </w:pPr>
            <w:r>
              <w:rPr>
                <w:rFonts w:ascii="Arial" w:cs="Arial" w:eastAsia="Arial" w:hAnsi="Arial"/>
                <w:sz w:val="18"/>
                <w:szCs w:val="18"/>
                <w:color w:val="auto"/>
              </w:rPr>
              <w:t>distributions declared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2320" w:type="dxa"/>
            <w:vAlign w:val="bottom"/>
          </w:tcPr>
          <w:p>
            <w:pPr>
              <w:ind w:left="540"/>
              <w:spacing w:after="0"/>
              <w:rPr>
                <w:sz w:val="20"/>
                <w:szCs w:val="20"/>
                <w:color w:val="auto"/>
              </w:rPr>
            </w:pPr>
            <w:r>
              <w:rPr>
                <w:rFonts w:ascii="Arial" w:cs="Arial" w:eastAsia="Arial" w:hAnsi="Arial"/>
                <w:sz w:val="18"/>
                <w:szCs w:val="18"/>
                <w:color w:val="auto"/>
              </w:rPr>
              <w:t>and paid</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7,232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5,457</w:t>
            </w: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15,533</w:t>
            </w:r>
          </w:p>
        </w:tc>
      </w:tr>
    </w:tbl>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Partnership Performance Results</w:t>
      </w:r>
    </w:p>
    <w:p>
      <w:pPr>
        <w:spacing w:after="0" w:line="231" w:lineRule="exact"/>
        <w:rPr>
          <w:sz w:val="20"/>
          <w:szCs w:val="20"/>
          <w:color w:val="auto"/>
        </w:rPr>
      </w:pPr>
    </w:p>
    <w:p>
      <w:pPr>
        <w:ind w:left="240" w:right="240" w:firstLine="348"/>
        <w:spacing w:after="0" w:line="294" w:lineRule="auto"/>
        <w:rPr>
          <w:sz w:val="20"/>
          <w:szCs w:val="20"/>
          <w:color w:val="auto"/>
        </w:rPr>
      </w:pPr>
      <w:r>
        <w:rPr>
          <w:rFonts w:ascii="Arial" w:cs="Arial" w:eastAsia="Arial" w:hAnsi="Arial"/>
          <w:sz w:val="16"/>
          <w:szCs w:val="16"/>
          <w:color w:val="auto"/>
        </w:rPr>
        <w:t>The financial and operating data below exclude amounts related to vessels currently owned by the Partnership for the periods prior to their respective transfer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3100" w:type="dxa"/>
            <w:vAlign w:val="bottom"/>
            <w:gridSpan w:val="6"/>
          </w:tcPr>
          <w:p>
            <w:pPr>
              <w:jc w:val="center"/>
              <w:ind w:right="15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left="497"/>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1"/>
        </w:trPr>
        <w:tc>
          <w:tcPr>
            <w:tcW w:w="1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580" w:type="dxa"/>
            <w:vAlign w:val="bottom"/>
            <w:gridSpan w:val="7"/>
          </w:tcPr>
          <w:p>
            <w:pPr>
              <w:jc w:val="right"/>
              <w:ind w:right="552"/>
              <w:spacing w:after="0"/>
              <w:rPr>
                <w:sz w:val="20"/>
                <w:szCs w:val="20"/>
                <w:color w:val="auto"/>
              </w:rPr>
            </w:pPr>
            <w:r>
              <w:rPr>
                <w:rFonts w:ascii="Arial" w:cs="Arial" w:eastAsia="Arial" w:hAnsi="Arial"/>
                <w:sz w:val="14"/>
                <w:szCs w:val="14"/>
                <w:b w:val="1"/>
                <w:bCs w:val="1"/>
                <w:color w:val="auto"/>
              </w:rPr>
              <w:t>Year Ended December 31,</w:t>
            </w:r>
          </w:p>
        </w:tc>
        <w:tc>
          <w:tcPr>
            <w:tcW w:w="1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3100" w:type="dxa"/>
            <w:vAlign w:val="bottom"/>
            <w:gridSpan w:val="6"/>
          </w:tcPr>
          <w:p>
            <w:pPr>
              <w:jc w:val="center"/>
              <w:ind w:right="15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0"/>
              </w:rPr>
              <w:t>thousands of U.S.</w:t>
            </w:r>
          </w:p>
        </w:tc>
        <w:tc>
          <w:tcPr>
            <w:tcW w:w="100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dollars)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2"/>
        </w:trPr>
        <w:tc>
          <w:tcPr>
            <w:tcW w:w="134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PARTNERSHIP</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PERFORMANCE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1340" w:type="dxa"/>
            <w:vAlign w:val="bottom"/>
          </w:tcPr>
          <w:p>
            <w:pPr>
              <w:spacing w:after="0"/>
              <w:rPr>
                <w:sz w:val="19"/>
                <w:szCs w:val="19"/>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STATEMENT OF PROFIT</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tcPr>
          <w:p>
            <w:pPr>
              <w:spacing w:after="0"/>
              <w:rPr>
                <w:sz w:val="19"/>
                <w:szCs w:val="19"/>
                <w:color w:val="auto"/>
              </w:rPr>
            </w:pPr>
          </w:p>
        </w:tc>
      </w:tr>
      <w:tr>
        <w:trPr>
          <w:trHeight w:val="268"/>
        </w:trPr>
        <w:tc>
          <w:tcPr>
            <w:tcW w:w="1340" w:type="dxa"/>
            <w:vAlign w:val="bottom"/>
          </w:tcPr>
          <w:p>
            <w:pPr>
              <w:spacing w:after="0"/>
              <w:rPr>
                <w:sz w:val="23"/>
                <w:szCs w:val="23"/>
                <w:color w:val="auto"/>
              </w:rPr>
            </w:pPr>
          </w:p>
        </w:tc>
        <w:tc>
          <w:tcPr>
            <w:tcW w:w="270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b w:val="1"/>
                <w:bCs w:val="1"/>
                <w:color w:val="auto"/>
              </w:rPr>
              <w:t>OR LOSS</w:t>
            </w:r>
            <w:r>
              <w:rPr>
                <w:rFonts w:ascii="Arial" w:cs="Arial" w:eastAsia="Arial" w:hAnsi="Arial"/>
                <w:sz w:val="29"/>
                <w:szCs w:val="29"/>
                <w:b w:val="1"/>
                <w:bCs w:val="1"/>
                <w:color w:val="auto"/>
                <w:vertAlign w:val="superscript"/>
              </w:rPr>
              <w:t>(5)</w:t>
            </w: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168,927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206,424</w:t>
            </w:r>
          </w:p>
        </w:tc>
        <w:tc>
          <w:tcPr>
            <w:tcW w:w="1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w w:val="86"/>
              </w:rPr>
              <w:t>269,071</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73,277</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81,887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192,852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233,857</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pool allocation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136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Voyage expenses and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700" w:type="dxa"/>
            <w:vAlign w:val="bottom"/>
          </w:tcPr>
          <w:p>
            <w:pPr>
              <w:ind w:left="360"/>
              <w:spacing w:after="0"/>
              <w:rPr>
                <w:sz w:val="20"/>
                <w:szCs w:val="20"/>
                <w:color w:val="auto"/>
              </w:rPr>
            </w:pPr>
            <w:r>
              <w:rPr>
                <w:rFonts w:ascii="Arial" w:cs="Arial" w:eastAsia="Arial" w:hAnsi="Arial"/>
                <w:sz w:val="18"/>
                <w:szCs w:val="18"/>
                <w:color w:val="auto"/>
              </w:rPr>
              <w:t>commissions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9"/>
                <w:szCs w:val="19"/>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(3,377)</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(3,359)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(5,925)</w:t>
            </w:r>
          </w:p>
        </w:tc>
        <w:tc>
          <w:tcPr>
            <w:tcW w:w="1360" w:type="dxa"/>
            <w:vAlign w:val="bottom"/>
          </w:tcPr>
          <w:p>
            <w:pPr>
              <w:spacing w:after="0"/>
              <w:rPr>
                <w:sz w:val="19"/>
                <w:szCs w:val="19"/>
                <w:color w:val="auto"/>
              </w:rPr>
            </w:pPr>
          </w:p>
        </w:tc>
      </w:tr>
      <w:tr>
        <w:trPr>
          <w:trHeight w:val="217"/>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Vessel operating costs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(55,692)</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(15,046)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(15,765)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(46,466)</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(35,981)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(45,230)</w:t>
            </w:r>
          </w:p>
        </w:tc>
        <w:tc>
          <w:tcPr>
            <w:tcW w:w="12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(58,193)</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(15,580)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(18,710)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(41,408)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(53,470)</w:t>
            </w:r>
          </w:p>
        </w:tc>
        <w:tc>
          <w:tcPr>
            <w:tcW w:w="136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(11,219)</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(13,869)</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(3,783)</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(10,134)</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(13,949)</w:t>
            </w:r>
          </w:p>
        </w:tc>
        <w:tc>
          <w:tcPr>
            <w:tcW w:w="1360" w:type="dxa"/>
            <w:vAlign w:val="bottom"/>
          </w:tcPr>
          <w:p>
            <w:pPr>
              <w:spacing w:after="0"/>
              <w:rPr>
                <w:sz w:val="19"/>
                <w:szCs w:val="19"/>
                <w:color w:val="auto"/>
              </w:rPr>
            </w:pPr>
          </w:p>
        </w:tc>
      </w:tr>
      <w:tr>
        <w:trPr>
          <w:trHeight w:val="210"/>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Profit from operations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86,805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103,655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137,940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37,949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3"/>
              </w:rPr>
              <w:t>40,140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99,367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114,470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costs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2"/>
              </w:rPr>
              <w:t>(44,916)</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(12,289)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(15,533)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(43,973)</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Financial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rPr>
              <w:t>972</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1,679</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derivatives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121</w:t>
            </w: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9,997</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Total other expenses,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(21,765)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(26,385)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(43,823)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(12,650)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(12,870)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(33,688)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(32,297)</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Partnership's profit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65,040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77,270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94,117</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25,299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27,270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65,679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82,173</w:t>
            </w: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7"/>
        </w:trPr>
        <w:tc>
          <w:tcPr>
            <w:tcW w:w="13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427"/>
        </w:trPr>
        <w:tc>
          <w:tcPr>
            <w:tcW w:w="1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ind w:left="640"/>
              <w:spacing w:after="0"/>
              <w:rPr>
                <w:sz w:val="20"/>
                <w:szCs w:val="20"/>
                <w:color w:val="auto"/>
              </w:rPr>
            </w:pPr>
            <w:r>
              <w:rPr>
                <w:rFonts w:ascii="Arial" w:cs="Arial" w:eastAsia="Arial" w:hAnsi="Arial"/>
                <w:sz w:val="18"/>
                <w:szCs w:val="18"/>
                <w:color w:val="auto"/>
                <w:w w:val="84"/>
              </w:rPr>
              <w:t>S-17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99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689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13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left="341"/>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left="341"/>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left="80"/>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r>
      <w:tr>
        <w:trPr>
          <w:trHeight w:val="195"/>
        </w:trPr>
        <w:tc>
          <w:tcPr>
            <w:tcW w:w="39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PARTNERSHIP PERFORMANCE FLEET</w:t>
            </w: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Number of LNG carriers at end of period</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9.0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number of LNG carriers during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Average age of LNG carriers (years)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7.2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calendar days of fleet for the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2,989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1,196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3,433</w:t>
            </w:r>
          </w:p>
        </w:tc>
      </w:tr>
      <w:tr>
        <w:trPr>
          <w:trHeight w:val="365"/>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29"/>
                <w:szCs w:val="29"/>
                <w:color w:val="auto"/>
                <w:vertAlign w:val="superscript"/>
              </w:rPr>
              <w:t>(4)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2,377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2,944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3,764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1,165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3,315</w:t>
            </w:r>
          </w:p>
        </w:tc>
      </w:tr>
      <w:tr>
        <w:trPr>
          <w:trHeight w:val="20"/>
        </w:trPr>
        <w:tc>
          <w:tcPr>
            <w:tcW w:w="2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Partnership Performance Fleet Data above is calculated consistent with our Partnership Performance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left="522"/>
              <w:spacing w:after="0" w:line="149" w:lineRule="exact"/>
              <w:rPr>
                <w:sz w:val="20"/>
                <w:szCs w:val="20"/>
                <w:color w:val="auto"/>
              </w:rPr>
            </w:pPr>
            <w:r>
              <w:rPr>
                <w:rFonts w:ascii="Arial" w:cs="Arial" w:eastAsia="Arial" w:hAnsi="Arial"/>
                <w:sz w:val="14"/>
                <w:szCs w:val="14"/>
                <w:b w:val="1"/>
                <w:bCs w:val="1"/>
                <w:color w:val="auto"/>
                <w:w w:val="88"/>
              </w:rPr>
              <w:t>Ended</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0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r>
      <w:tr>
        <w:trPr>
          <w:trHeight w:val="142"/>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(in</w:t>
            </w:r>
          </w:p>
        </w:tc>
        <w:tc>
          <w:tcPr>
            <w:tcW w:w="1920" w:type="dxa"/>
            <w:vAlign w:val="bottom"/>
            <w:gridSpan w:val="6"/>
          </w:tcPr>
          <w:p>
            <w:pPr>
              <w:jc w:val="right"/>
              <w:ind w:right="560"/>
              <w:spacing w:after="0" w:line="142" w:lineRule="exact"/>
              <w:rPr>
                <w:sz w:val="20"/>
                <w:szCs w:val="20"/>
                <w:color w:val="auto"/>
              </w:rPr>
            </w:pPr>
            <w:r>
              <w:rPr>
                <w:rFonts w:ascii="Arial" w:cs="Arial" w:eastAsia="Arial" w:hAnsi="Arial"/>
                <w:sz w:val="14"/>
                <w:szCs w:val="14"/>
                <w:b w:val="1"/>
                <w:bCs w:val="1"/>
                <w:color w:val="auto"/>
                <w:w w:val="77"/>
              </w:rPr>
              <w:t>thousands of U.S. dollars)</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02"/>
        </w:trPr>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PARTNERSHIP</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PERFORMANCE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0"/>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DATA:</w:t>
            </w: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57"/>
        </w:trPr>
        <w:tc>
          <w:tcPr>
            <w:tcW w:w="236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122,786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144,885</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196,133</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53,529</w:t>
            </w:r>
          </w:p>
        </w:tc>
        <w:tc>
          <w:tcPr>
            <w:tcW w:w="12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58,850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140,775</w:t>
            </w:r>
          </w:p>
        </w:tc>
        <w:tc>
          <w:tcPr>
            <w:tcW w:w="1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167,940</w:t>
            </w:r>
          </w:p>
        </w:tc>
      </w:tr>
      <w:tr>
        <w:trPr>
          <w:trHeight w:val="257"/>
        </w:trPr>
        <w:tc>
          <w:tcPr>
            <w:tcW w:w="23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(5)</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72,254</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83,660</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100,551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26,867</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27,167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73,617</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77,544</w:t>
            </w:r>
          </w:p>
        </w:tc>
      </w:tr>
      <w:tr>
        <w:trPr>
          <w:trHeight w:val="208"/>
        </w:trPr>
        <w:tc>
          <w:tcPr>
            <w:tcW w:w="2360" w:type="dxa"/>
            <w:vAlign w:val="bottom"/>
            <w:gridSpan w:val="2"/>
          </w:tcPr>
          <w:p>
            <w:pPr>
              <w:spacing w:after="0"/>
              <w:rPr>
                <w:sz w:val="20"/>
                <w:szCs w:val="20"/>
                <w:color w:val="auto"/>
              </w:rPr>
            </w:pPr>
            <w:r>
              <w:rPr>
                <w:rFonts w:ascii="Arial" w:cs="Arial" w:eastAsia="Arial" w:hAnsi="Arial"/>
                <w:sz w:val="18"/>
                <w:szCs w:val="18"/>
                <w:color w:val="auto"/>
              </w:rPr>
              <w:t>Cash distributions declared</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3"/>
        </w:trPr>
        <w:tc>
          <w:tcPr>
            <w:tcW w:w="2360" w:type="dxa"/>
            <w:vAlign w:val="bottom"/>
            <w:gridSpan w:val="2"/>
          </w:tcPr>
          <w:p>
            <w:pPr>
              <w:ind w:left="180"/>
              <w:spacing w:after="0"/>
              <w:rPr>
                <w:sz w:val="20"/>
                <w:szCs w:val="20"/>
                <w:color w:val="auto"/>
              </w:rPr>
            </w:pPr>
            <w:r>
              <w:rPr>
                <w:rFonts w:ascii="Arial" w:cs="Arial" w:eastAsia="Arial" w:hAnsi="Arial"/>
                <w:sz w:val="18"/>
                <w:szCs w:val="18"/>
                <w:color w:val="auto"/>
              </w:rPr>
              <w:t>and paid</w:t>
            </w:r>
          </w:p>
        </w:tc>
        <w:tc>
          <w:tcPr>
            <w:tcW w:w="960" w:type="dxa"/>
            <w:vAlign w:val="bottom"/>
            <w:gridSpan w:val="2"/>
          </w:tcPr>
          <w:p>
            <w:pPr>
              <w:ind w:left="220"/>
              <w:spacing w:after="0"/>
              <w:rPr>
                <w:sz w:val="20"/>
                <w:szCs w:val="20"/>
                <w:color w:val="auto"/>
              </w:rPr>
            </w:pPr>
            <w:r>
              <w:rPr>
                <w:rFonts w:ascii="Arial" w:cs="Arial" w:eastAsia="Arial" w:hAnsi="Arial"/>
                <w:sz w:val="18"/>
                <w:szCs w:val="18"/>
                <w:color w:val="auto"/>
                <w:w w:val="90"/>
              </w:rPr>
              <w:t>51,195</w:t>
            </w:r>
            <w:r>
              <w:rPr>
                <w:rFonts w:ascii="Arial" w:cs="Arial" w:eastAsia="Arial" w:hAnsi="Arial"/>
                <w:sz w:val="14"/>
                <w:szCs w:val="14"/>
                <w:color w:val="auto"/>
                <w:w w:val="90"/>
              </w:rPr>
              <w:t>(12)</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w w:val="88"/>
              </w:rPr>
              <w:t>65,577</w:t>
            </w:r>
            <w:r>
              <w:rPr>
                <w:rFonts w:ascii="Arial" w:cs="Arial" w:eastAsia="Arial" w:hAnsi="Arial"/>
                <w:sz w:val="14"/>
                <w:szCs w:val="14"/>
                <w:color w:val="auto"/>
                <w:w w:val="88"/>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22,377</w:t>
            </w:r>
            <w:r>
              <w:rPr>
                <w:rFonts w:ascii="Arial" w:cs="Arial" w:eastAsia="Arial" w:hAnsi="Arial"/>
                <w:sz w:val="14"/>
                <w:szCs w:val="14"/>
                <w:color w:val="auto"/>
              </w:rPr>
              <w:t>(10)</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24,272</w:t>
            </w:r>
            <w:r>
              <w:rPr>
                <w:rFonts w:ascii="Arial" w:cs="Arial" w:eastAsia="Arial" w:hAnsi="Arial"/>
                <w:sz w:val="14"/>
                <w:szCs w:val="14"/>
                <w:color w:val="auto"/>
                <w:w w:val="92"/>
              </w:rPr>
              <w:t>(11)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60,671</w:t>
            </w: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color w:val="auto"/>
                <w:w w:val="87"/>
              </w:rPr>
              <w:t>71,389</w:t>
            </w:r>
            <w:r>
              <w:rPr>
                <w:rFonts w:ascii="Arial" w:cs="Arial" w:eastAsia="Arial" w:hAnsi="Arial"/>
                <w:sz w:val="14"/>
                <w:szCs w:val="14"/>
                <w:color w:val="auto"/>
                <w:w w:val="87"/>
              </w:rPr>
              <w:t>(11)</w:t>
            </w:r>
          </w:p>
        </w:tc>
      </w:tr>
      <w:tr>
        <w:trPr>
          <w:trHeight w:val="209"/>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unit distributions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4"/>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declared and paid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7,232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4,133</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4,133</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15,533</w:t>
            </w:r>
          </w:p>
        </w:tc>
      </w:tr>
      <w:tr>
        <w:trPr>
          <w:trHeight w:val="108"/>
        </w:trPr>
        <w:tc>
          <w:tcPr>
            <w:tcW w:w="1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r>
    </w:tbl>
    <w:p>
      <w:pPr>
        <w:spacing w:after="0" w:line="192"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GAS-fourteen Ltd., acquired on April 26, 2018 from GasLog.</w:t>
      </w:r>
    </w:p>
    <w:p>
      <w:pPr>
        <w:spacing w:after="0" w:line="122" w:lineRule="exact"/>
        <w:rPr>
          <w:rFonts w:ascii="Arial" w:cs="Arial" w:eastAsia="Arial" w:hAnsi="Arial"/>
          <w:sz w:val="11"/>
          <w:szCs w:val="11"/>
          <w:color w:val="auto"/>
        </w:rPr>
      </w:pPr>
    </w:p>
    <w:p>
      <w:pPr>
        <w:ind w:left="1880" w:hanging="544"/>
        <w:spacing w:after="0" w:line="261" w:lineRule="auto"/>
        <w:tabs>
          <w:tab w:leader="none" w:pos="1880" w:val="left"/>
        </w:tabs>
        <w:numPr>
          <w:ilvl w:val="0"/>
          <w:numId w:val="9"/>
        </w:numPr>
        <w:rPr>
          <w:rFonts w:ascii="Arial" w:cs="Arial" w:eastAsia="Arial" w:hAnsi="Arial"/>
          <w:sz w:val="10"/>
          <w:szCs w:val="10"/>
          <w:color w:val="auto"/>
        </w:rPr>
      </w:pPr>
      <w:r>
        <w:rPr>
          <w:rFonts w:ascii="Arial" w:cs="Arial" w:eastAsia="Arial" w:hAnsi="Arial"/>
          <w:sz w:val="12"/>
          <w:szCs w:val="12"/>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units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 On May 15, 2017, the Partnership completed an equity offering of 5,750,000 Series A Preference Units. On May 16, 2017 the subordination period expired, and the subordinated units held by GasLog converted on a one-for-one basis into common units, which participate pro rata with other common units in distributions for available cash. Also, on May 16, 2017, GasLog Partners entered into an Equity Distribution Agreement under which the Partnership may, from time to time, raise equity through the issuance and sale of new common units having an aggregate offering price of up to $100.0 million. On November 3, 2017, the Partnership entered into the Amended and Restated Equity Distribution Agreement to increase the size of the program from $100,000,000 to $144,040,000 (the "ATM Programme"). On January 17, 2018, the Partnership completed an equity offering of 4,600,000 Series B Preference Units. On July 26, 2018, the Partnership entered into the Second Amended and Restated Equity Distribution Agreement to register its ATM Programme, which had previously been registered under a shelf registration statement that expired in June 2018, under a shelf registration statement declared effective by the SEC on October 10, 2017. Since the commencement of the ATM Programme through September 30, GasLog Partners has issued and received payment for a total of 5,032,200 common units. In connection with the issuance of common units under the ATM Programme during this period, the Partnership also issued 102,699 general partner units to its general partner in order for GasLog to retain its 2.0% general partner interest.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137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13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80" w:right="20" w:hanging="544"/>
        <w:spacing w:after="0" w:line="228" w:lineRule="auto"/>
        <w:tabs>
          <w:tab w:leader="none" w:pos="18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Upon the expiration of the subordination period, which occurred on May 16, 2017, all of the subordinated units held by GasLog converted on a one-for-one basis into common units which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 For further discussion, see "Item 8. Financial Information—Our Cash Distribution Policy— Subordination Period" in our Annual Report on Form 20-F.</w:t>
      </w:r>
    </w:p>
    <w:p>
      <w:pPr>
        <w:spacing w:after="0" w:line="113" w:lineRule="exact"/>
        <w:rPr>
          <w:rFonts w:ascii="Arial" w:cs="Arial" w:eastAsia="Arial" w:hAnsi="Arial"/>
          <w:sz w:val="11"/>
          <w:szCs w:val="11"/>
          <w:color w:val="auto"/>
        </w:rPr>
      </w:pPr>
    </w:p>
    <w:p>
      <w:pPr>
        <w:ind w:left="1880" w:right="60" w:hanging="544"/>
        <w:spacing w:after="0" w:line="228" w:lineRule="auto"/>
        <w:tabs>
          <w:tab w:leader="none" w:pos="18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100" w:lineRule="exact"/>
        <w:rPr>
          <w:rFonts w:ascii="Arial" w:cs="Arial" w:eastAsia="Arial" w:hAnsi="Arial"/>
          <w:sz w:val="11"/>
          <w:szCs w:val="11"/>
          <w:color w:val="auto"/>
        </w:rPr>
      </w:pPr>
    </w:p>
    <w:p>
      <w:pPr>
        <w:ind w:left="1880" w:hanging="544"/>
        <w:spacing w:after="0"/>
        <w:tabs>
          <w:tab w:leader="none" w:pos="188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880" w:right="460"/>
        <w:spacing w:after="0" w:line="239" w:lineRule="auto"/>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 xml:space="preserve">Partnership Performance Results. </w:t>
      </w:r>
      <w:r>
        <w:rPr>
          <w:rFonts w:ascii="Arial" w:cs="Arial" w:eastAsia="Arial" w:hAnsi="Arial"/>
          <w:sz w:val="14"/>
          <w:szCs w:val="14"/>
          <w:color w:val="auto"/>
        </w:rPr>
        <w:t>As described above, our IFRS Common Control Reported Results are derived from the consolidated financial statements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Partnership.</w:t>
      </w:r>
    </w:p>
    <w:p>
      <w:pPr>
        <w:spacing w:after="0" w:line="192" w:lineRule="exact"/>
        <w:rPr>
          <w:rFonts w:ascii="Arial" w:cs="Arial" w:eastAsia="Arial" w:hAnsi="Arial"/>
          <w:sz w:val="22"/>
          <w:szCs w:val="22"/>
          <w:color w:val="auto"/>
          <w:vertAlign w:val="superscript"/>
        </w:rPr>
      </w:pPr>
    </w:p>
    <w:p>
      <w:pPr>
        <w:ind w:left="1880"/>
        <w:spacing w:after="0" w:line="263"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Our Partnership Performance Results presented below are non-GAAP measures and exclude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respectively) for the period prior to their transfer to the Partnership on July 1, 2015, the amounts related to GAS-seven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for the period prior to its transfer to the Partnership on November 1, 2016, the amounts related to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for the period prior to its transfer to the Partnership on May 3, 2017, the amounts related to GAS-thirteen Ltd. (the owner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for the period prior to its transfer to the Partnership on July 3, 2017, the amounts related to GAS-eight Ltd. (the owner of the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for the period prior to its transfer to the Partnership on October 20, 2017 and the amounts related to GAS-fourteen Ltd. (the owner of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Gibraltar</w:t>
      </w:r>
      <w:r>
        <w:rPr>
          <w:rFonts w:ascii="Arial" w:cs="Arial" w:eastAsia="Arial" w:hAnsi="Arial"/>
          <w:sz w:val="12"/>
          <w:szCs w:val="12"/>
          <w:color w:val="auto"/>
        </w:rPr>
        <w:t>) for the period prior to its transfer to the Partnership on April 26, 2018. While such amounts are reflected in the Partnership's reported financial statements</w:t>
      </w:r>
      <w:r>
        <w:rPr>
          <w:rFonts w:ascii="Arial" w:cs="Arial" w:eastAsia="Arial" w:hAnsi="Arial"/>
          <w:sz w:val="12"/>
          <w:szCs w:val="12"/>
          <w:i w:val="1"/>
          <w:iCs w:val="1"/>
          <w:color w:val="auto"/>
        </w:rPr>
        <w:t xml:space="preserve"> </w:t>
      </w:r>
      <w:r>
        <w:rPr>
          <w:rFonts w:ascii="Arial" w:cs="Arial" w:eastAsia="Arial" w:hAnsi="Arial"/>
          <w:sz w:val="12"/>
          <w:szCs w:val="12"/>
          <w:color w:val="auto"/>
        </w:rPr>
        <w:t>because the transfers to the Partnership were accounted for as a reorganization of entities under common control under IFRS, (i) GAS-nineteen Ltd., GAS-twenty Ltd. and GAS-twenty one Ltd. were not owned by the Partnership prior to their transfer to the Partnership in July 2015, (ii) GAS-seven Ltd. was not owned by the Partnership prior to its transfer to the Partnership in November 2016, (iii) GAS-eleven Ltd. was not owned by the Partnership prior to its transfer to the Partnership in May 2017, (iv) GAS-thirteen Ltd. was not owned by the Partnership prior to its transfer to the Partnership in July 2017, (v) GAS-eight Ltd. was not owned by the Partnership prior to its transfer to the Partnership in October 2017 and (vi) GAS-fourteen Ltd. was not owned by the Partnership prior to its transfer to the Partnership in April 2018, and accordingly the Partnership was not entitled to the cash or results generated in the period prior to such transfers.</w:t>
      </w:r>
    </w:p>
    <w:p>
      <w:pPr>
        <w:spacing w:after="0" w:line="181" w:lineRule="exact"/>
        <w:rPr>
          <w:rFonts w:ascii="Arial" w:cs="Arial" w:eastAsia="Arial" w:hAnsi="Arial"/>
          <w:sz w:val="22"/>
          <w:szCs w:val="22"/>
          <w:color w:val="auto"/>
          <w:vertAlign w:val="superscript"/>
        </w:rPr>
      </w:pPr>
    </w:p>
    <w:p>
      <w:pPr>
        <w:ind w:left="1880" w:right="80"/>
        <w:spacing w:after="0" w:line="273" w:lineRule="auto"/>
        <w:rPr>
          <w:rFonts w:ascii="Arial" w:cs="Arial" w:eastAsia="Arial" w:hAnsi="Arial"/>
          <w:sz w:val="22"/>
          <w:szCs w:val="22"/>
          <w:color w:val="auto"/>
          <w:vertAlign w:val="superscript"/>
        </w:rPr>
      </w:pPr>
      <w:r>
        <w:rPr>
          <w:rFonts w:ascii="Arial" w:cs="Arial" w:eastAsia="Arial" w:hAnsi="Arial"/>
          <w:sz w:val="12"/>
          <w:szCs w:val="12"/>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56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625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Reconciliation of Partnership Performance Results to IFRS Common Control Reported Results in our Financial Statements:</w:t>
      </w:r>
    </w:p>
    <w:p>
      <w:pPr>
        <w:spacing w:after="0" w:line="191"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8"/>
              </w:rPr>
              <w:t>Year Ended</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jc w:val="center"/>
              <w:ind w:right="136"/>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020" w:type="dxa"/>
            <w:vAlign w:val="bottom"/>
          </w:tcPr>
          <w:p>
            <w:pPr>
              <w:spacing w:after="0"/>
              <w:rPr>
                <w:sz w:val="14"/>
                <w:szCs w:val="14"/>
                <w:color w:val="auto"/>
              </w:rPr>
            </w:pPr>
          </w:p>
        </w:tc>
        <w:tc>
          <w:tcPr>
            <w:tcW w:w="232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5"/>
              </w:rPr>
              <w:t>December 31, 2015</w:t>
            </w:r>
          </w:p>
        </w:tc>
        <w:tc>
          <w:tcPr>
            <w:tcW w:w="100" w:type="dxa"/>
            <w:vAlign w:val="bottom"/>
          </w:tcPr>
          <w:p>
            <w:pPr>
              <w:spacing w:after="0"/>
              <w:rPr>
                <w:sz w:val="14"/>
                <w:szCs w:val="14"/>
                <w:color w:val="auto"/>
              </w:rPr>
            </w:pPr>
          </w:p>
        </w:tc>
        <w:tc>
          <w:tcPr>
            <w:tcW w:w="1660" w:type="dxa"/>
            <w:vAlign w:val="bottom"/>
            <w:gridSpan w:val="9"/>
          </w:tcPr>
          <w:p>
            <w:pPr>
              <w:jc w:val="center"/>
              <w:ind w:left="412"/>
              <w:spacing w:after="0"/>
              <w:rPr>
                <w:sz w:val="20"/>
                <w:szCs w:val="20"/>
                <w:color w:val="auto"/>
              </w:rPr>
            </w:pPr>
            <w:r>
              <w:rPr>
                <w:rFonts w:ascii="Arial" w:cs="Arial" w:eastAsia="Arial" w:hAnsi="Arial"/>
                <w:sz w:val="14"/>
                <w:szCs w:val="14"/>
                <w:b w:val="1"/>
                <w:bCs w:val="1"/>
                <w:color w:val="auto"/>
                <w:w w:val="87"/>
              </w:rPr>
              <w:t>December 31, 2016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10"/>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129"/>
        </w:trPr>
        <w:tc>
          <w:tcPr>
            <w:tcW w:w="10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72"/>
              <w:spacing w:after="0" w:line="129" w:lineRule="exact"/>
              <w:rPr>
                <w:sz w:val="20"/>
                <w:szCs w:val="20"/>
                <w:color w:val="auto"/>
              </w:rPr>
            </w:pPr>
            <w:r>
              <w:rPr>
                <w:rFonts w:ascii="Arial" w:cs="Arial" w:eastAsia="Arial" w:hAnsi="Arial"/>
                <w:sz w:val="14"/>
                <w:szCs w:val="14"/>
                <w:b w:val="1"/>
                <w:bCs w:val="1"/>
                <w:color w:val="auto"/>
                <w:w w:val="93"/>
              </w:rPr>
              <w:t>IFRS</w:t>
            </w: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80" w:type="dxa"/>
            <w:vAlign w:val="bottom"/>
          </w:tcPr>
          <w:p>
            <w:pPr>
              <w:spacing w:after="0"/>
              <w:rPr>
                <w:sz w:val="11"/>
                <w:szCs w:val="11"/>
                <w:color w:val="auto"/>
              </w:rPr>
            </w:pPr>
          </w:p>
        </w:tc>
      </w:tr>
      <w:tr>
        <w:trPr>
          <w:trHeight w:val="149"/>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10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Results</w:t>
            </w:r>
          </w:p>
        </w:tc>
        <w:tc>
          <w:tcPr>
            <w:tcW w:w="82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Partnership</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2"/>
                <w:szCs w:val="12"/>
                <w:color w:val="auto"/>
              </w:rPr>
            </w:pPr>
          </w:p>
        </w:tc>
        <w:tc>
          <w:tcPr>
            <w:tcW w:w="960" w:type="dxa"/>
            <w:vAlign w:val="bottom"/>
            <w:gridSpan w:val="6"/>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Partnership</w:t>
            </w:r>
          </w:p>
        </w:tc>
        <w:tc>
          <w:tcPr>
            <w:tcW w:w="6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Control</w:t>
            </w:r>
          </w:p>
        </w:tc>
        <w:tc>
          <w:tcPr>
            <w:tcW w:w="7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Results</w:t>
            </w:r>
          </w:p>
        </w:tc>
        <w:tc>
          <w:tcPr>
            <w:tcW w:w="4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2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1020" w:type="dxa"/>
            <w:vAlign w:val="bottom"/>
          </w:tcPr>
          <w:p>
            <w:pPr>
              <w:spacing w:after="0"/>
              <w:rPr>
                <w:sz w:val="12"/>
                <w:szCs w:val="12"/>
                <w:color w:val="auto"/>
              </w:rPr>
            </w:pPr>
          </w:p>
        </w:tc>
        <w:tc>
          <w:tcPr>
            <w:tcW w:w="1580" w:type="dxa"/>
            <w:vAlign w:val="bottom"/>
            <w:gridSpan w:val="5"/>
          </w:tcPr>
          <w:p>
            <w:pPr>
              <w:jc w:val="right"/>
              <w:ind w:right="12"/>
              <w:spacing w:after="0" w:line="149" w:lineRule="exact"/>
              <w:rPr>
                <w:sz w:val="20"/>
                <w:szCs w:val="20"/>
                <w:color w:val="auto"/>
              </w:rPr>
            </w:pPr>
            <w:r>
              <w:rPr>
                <w:rFonts w:ascii="Arial" w:cs="Arial" w:eastAsia="Arial" w:hAnsi="Arial"/>
                <w:sz w:val="14"/>
                <w:szCs w:val="14"/>
                <w:b w:val="1"/>
                <w:bCs w:val="1"/>
                <w:color w:val="auto"/>
                <w:w w:val="89"/>
              </w:rPr>
              <w:t>attributable Performance</w:t>
            </w: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Reported</w:t>
            </w: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20" w:type="dxa"/>
            <w:vAlign w:val="bottom"/>
          </w:tcPr>
          <w:p>
            <w:pPr>
              <w:spacing w:after="0"/>
              <w:rPr>
                <w:sz w:val="12"/>
                <w:szCs w:val="12"/>
                <w:color w:val="auto"/>
              </w:rPr>
            </w:pPr>
          </w:p>
        </w:tc>
        <w:tc>
          <w:tcPr>
            <w:tcW w:w="1620" w:type="dxa"/>
            <w:vAlign w:val="bottom"/>
            <w:gridSpan w:val="10"/>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Performance  Reported</w:t>
            </w:r>
          </w:p>
        </w:tc>
        <w:tc>
          <w:tcPr>
            <w:tcW w:w="7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attributable</w:t>
            </w:r>
          </w:p>
        </w:tc>
        <w:tc>
          <w:tcPr>
            <w:tcW w:w="4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102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to GasLog</w:t>
            </w:r>
          </w:p>
        </w:tc>
        <w:tc>
          <w:tcPr>
            <w:tcW w:w="82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82"/>
              </w:rPr>
              <w:t>Results</w:t>
            </w: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2"/>
              </w:rPr>
              <w:t>Results</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to GasLog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5"/>
          </w:tcPr>
          <w:p>
            <w:pPr>
              <w:jc w:val="center"/>
              <w:ind w:right="296"/>
              <w:spacing w:after="0"/>
              <w:rPr>
                <w:sz w:val="20"/>
                <w:szCs w:val="20"/>
                <w:color w:val="auto"/>
              </w:rPr>
            </w:pPr>
            <w:r>
              <w:rPr>
                <w:rFonts w:ascii="Arial" w:cs="Arial" w:eastAsia="Arial" w:hAnsi="Arial"/>
                <w:sz w:val="14"/>
                <w:szCs w:val="14"/>
                <w:b w:val="1"/>
                <w:bCs w:val="1"/>
                <w:color w:val="auto"/>
                <w:w w:val="82"/>
              </w:rPr>
              <w:t>Results</w:t>
            </w:r>
          </w:p>
        </w:tc>
        <w:tc>
          <w:tcPr>
            <w:tcW w:w="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to GasLog</w:t>
            </w:r>
          </w:p>
        </w:tc>
        <w:tc>
          <w:tcPr>
            <w:tcW w:w="4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1020" w:type="dxa"/>
            <w:vAlign w:val="bottom"/>
          </w:tcPr>
          <w:p>
            <w:pPr>
              <w:spacing w:after="0"/>
              <w:rPr>
                <w:sz w:val="13"/>
                <w:szCs w:val="13"/>
                <w:color w:val="auto"/>
              </w:rPr>
            </w:pPr>
          </w:p>
        </w:tc>
        <w:tc>
          <w:tcPr>
            <w:tcW w:w="70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740" w:type="dxa"/>
            <w:vAlign w:val="bottom"/>
            <w:tcBorders>
              <w:top w:val="single" w:sz="8" w:color="auto"/>
            </w:tcBorders>
            <w:gridSpan w:val="3"/>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80" w:type="dxa"/>
            <w:vAlign w:val="bottom"/>
          </w:tcPr>
          <w:p>
            <w:pPr>
              <w:spacing w:after="0"/>
              <w:rPr>
                <w:sz w:val="13"/>
                <w:szCs w:val="13"/>
                <w:color w:val="auto"/>
              </w:rPr>
            </w:pPr>
          </w:p>
        </w:tc>
      </w:tr>
      <w:tr>
        <w:trPr>
          <w:trHeight w:val="161"/>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13"/>
          </w:tcPr>
          <w:p>
            <w:pPr>
              <w:jc w:val="right"/>
              <w:ind w:right="360"/>
              <w:spacing w:after="0"/>
              <w:rPr>
                <w:sz w:val="20"/>
                <w:szCs w:val="20"/>
                <w:color w:val="auto"/>
              </w:rPr>
            </w:pPr>
            <w:r>
              <w:rPr>
                <w:rFonts w:ascii="Arial" w:cs="Arial" w:eastAsia="Arial" w:hAnsi="Arial"/>
                <w:sz w:val="14"/>
                <w:szCs w:val="14"/>
                <w:b w:val="1"/>
                <w:bCs w:val="1"/>
                <w:color w:val="auto"/>
                <w:w w:val="99"/>
              </w:rPr>
              <w:t>(in thousands of U.S. dollars)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6"/>
        </w:trPr>
        <w:tc>
          <w:tcPr>
            <w:tcW w:w="10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STATEMENT</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OF PROFIT</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1"/>
        </w:trPr>
        <w:tc>
          <w:tcPr>
            <w:tcW w:w="10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OR LOSS</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79,574</w:t>
            </w:r>
          </w:p>
        </w:tc>
        <w:tc>
          <w:tcPr>
            <w:tcW w:w="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168,927</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248,501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80,870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206,424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287,294</w:t>
            </w:r>
          </w:p>
        </w:tc>
        <w:tc>
          <w:tcPr>
            <w:tcW w:w="8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71,963</w:t>
            </w:r>
          </w:p>
        </w:tc>
        <w:tc>
          <w:tcPr>
            <w:tcW w:w="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269,071</w:t>
            </w:r>
          </w:p>
        </w:tc>
        <w:tc>
          <w:tcPr>
            <w:tcW w:w="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341,034</w:t>
            </w:r>
          </w:p>
        </w:tc>
        <w:tc>
          <w:tcPr>
            <w:tcW w:w="80" w:type="dxa"/>
            <w:vAlign w:val="bottom"/>
          </w:tcPr>
          <w:p>
            <w:pPr>
              <w:spacing w:after="0"/>
              <w:rPr>
                <w:sz w:val="12"/>
                <w:szCs w:val="12"/>
                <w:color w:val="auto"/>
              </w:rPr>
            </w:pPr>
          </w:p>
        </w:tc>
      </w:tr>
      <w:tr>
        <w:trPr>
          <w:trHeight w:val="138"/>
        </w:trPr>
        <w:tc>
          <w:tcPr>
            <w:tcW w:w="1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Voyage expenses</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and</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10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commissions</w:t>
            </w: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(1,211)</w:t>
            </w:r>
          </w:p>
        </w:tc>
        <w:tc>
          <w:tcPr>
            <w:tcW w:w="8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(2,102)</w:t>
            </w:r>
          </w:p>
        </w:tc>
        <w:tc>
          <w:tcPr>
            <w:tcW w:w="7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(3,313)</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(1,114)</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(2,841)</w:t>
            </w:r>
          </w:p>
        </w:tc>
        <w:tc>
          <w:tcPr>
            <w:tcW w:w="8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(3,955)</w:t>
            </w:r>
          </w:p>
        </w:tc>
        <w:tc>
          <w:tcPr>
            <w:tcW w:w="4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(896)</w:t>
            </w:r>
          </w:p>
        </w:tc>
        <w:tc>
          <w:tcPr>
            <w:tcW w:w="88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(3,377)</w:t>
            </w:r>
          </w:p>
        </w:tc>
        <w:tc>
          <w:tcPr>
            <w:tcW w:w="78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(4,273)</w:t>
            </w:r>
          </w:p>
        </w:tc>
      </w:tr>
      <w:tr>
        <w:trPr>
          <w:trHeight w:val="138"/>
        </w:trPr>
        <w:tc>
          <w:tcPr>
            <w:tcW w:w="1020" w:type="dxa"/>
            <w:vAlign w:val="bottom"/>
          </w:tcPr>
          <w:p>
            <w:pPr>
              <w:spacing w:after="0" w:line="138" w:lineRule="exact"/>
              <w:rPr>
                <w:sz w:val="20"/>
                <w:szCs w:val="20"/>
                <w:color w:val="auto"/>
              </w:rPr>
            </w:pPr>
            <w:r>
              <w:rPr>
                <w:rFonts w:ascii="Arial" w:cs="Arial" w:eastAsia="Arial" w:hAnsi="Arial"/>
                <w:sz w:val="14"/>
                <w:szCs w:val="14"/>
                <w:color w:val="auto"/>
                <w:w w:val="95"/>
              </w:rPr>
              <w:t>Vessel operating</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1020" w:type="dxa"/>
            <w:vAlign w:val="bottom"/>
          </w:tcPr>
          <w:p>
            <w:pPr>
              <w:ind w:left="140"/>
              <w:spacing w:after="0" w:line="159" w:lineRule="exact"/>
              <w:rPr>
                <w:sz w:val="20"/>
                <w:szCs w:val="20"/>
                <w:color w:val="auto"/>
              </w:rPr>
            </w:pPr>
            <w:r>
              <w:rPr>
                <w:rFonts w:ascii="Arial" w:cs="Arial" w:eastAsia="Arial" w:hAnsi="Arial"/>
                <w:sz w:val="14"/>
                <w:szCs w:val="14"/>
                <w:color w:val="auto"/>
              </w:rPr>
              <w:t>costs</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(18,926)</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(33,656)</w:t>
            </w:r>
          </w:p>
        </w:tc>
        <w:tc>
          <w:tcPr>
            <w:tcW w:w="7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(52,582)</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(12,950)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(43,479)</w:t>
            </w:r>
          </w:p>
        </w:tc>
        <w:tc>
          <w:tcPr>
            <w:tcW w:w="80" w:type="dxa"/>
            <w:vAlign w:val="bottom"/>
          </w:tcPr>
          <w:p>
            <w:pPr>
              <w:spacing w:after="0"/>
              <w:rPr>
                <w:sz w:val="13"/>
                <w:szCs w:val="13"/>
                <w:color w:val="auto"/>
              </w:rPr>
            </w:pPr>
          </w:p>
        </w:tc>
        <w:tc>
          <w:tcPr>
            <w:tcW w:w="6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(56,429)</w:t>
            </w:r>
          </w:p>
        </w:tc>
        <w:tc>
          <w:tcPr>
            <w:tcW w:w="7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(9,501)</w:t>
            </w:r>
          </w:p>
        </w:tc>
        <w:tc>
          <w:tcPr>
            <w:tcW w:w="88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(55,692)</w:t>
            </w:r>
          </w:p>
        </w:tc>
        <w:tc>
          <w:tcPr>
            <w:tcW w:w="78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(65,193)</w:t>
            </w:r>
          </w:p>
        </w:tc>
      </w:tr>
      <w:tr>
        <w:trPr>
          <w:trHeight w:val="149"/>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(19,712)</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(35,981)</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(55,693)</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(17,524)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(45,230)</w:t>
            </w:r>
          </w:p>
        </w:tc>
        <w:tc>
          <w:tcPr>
            <w:tcW w:w="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(62,754)</w:t>
            </w:r>
          </w:p>
        </w:tc>
        <w:tc>
          <w:tcPr>
            <w:tcW w:w="7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(15,355)</w:t>
            </w:r>
          </w:p>
        </w:tc>
        <w:tc>
          <w:tcPr>
            <w:tcW w:w="8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(58,193)</w:t>
            </w:r>
          </w:p>
        </w:tc>
        <w:tc>
          <w:tcPr>
            <w:tcW w:w="7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(73,548)</w:t>
            </w:r>
          </w:p>
        </w:tc>
      </w:tr>
      <w:tr>
        <w:trPr>
          <w:trHeight w:val="138"/>
        </w:trPr>
        <w:tc>
          <w:tcPr>
            <w:tcW w:w="1020" w:type="dxa"/>
            <w:vAlign w:val="bottom"/>
          </w:tcPr>
          <w:p>
            <w:pPr>
              <w:spacing w:after="0" w:line="138" w:lineRule="exact"/>
              <w:rPr>
                <w:sz w:val="20"/>
                <w:szCs w:val="20"/>
                <w:color w:val="auto"/>
              </w:rPr>
            </w:pPr>
            <w:r>
              <w:rPr>
                <w:rFonts w:ascii="Arial" w:cs="Arial" w:eastAsia="Arial" w:hAnsi="Arial"/>
                <w:sz w:val="14"/>
                <w:szCs w:val="14"/>
                <w:color w:val="auto"/>
              </w:rPr>
              <w:t>General and</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w w:val="99"/>
              </w:rPr>
              <w:t>administrative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020" w:type="dxa"/>
            <w:vAlign w:val="bottom"/>
          </w:tcPr>
          <w:p>
            <w:pPr>
              <w:ind w:left="140"/>
              <w:spacing w:after="0" w:line="159" w:lineRule="exact"/>
              <w:rPr>
                <w:sz w:val="20"/>
                <w:szCs w:val="20"/>
                <w:color w:val="auto"/>
              </w:rPr>
            </w:pPr>
            <w:r>
              <w:rPr>
                <w:rFonts w:ascii="Arial" w:cs="Arial" w:eastAsia="Arial" w:hAnsi="Arial"/>
                <w:sz w:val="14"/>
                <w:szCs w:val="14"/>
                <w:color w:val="auto"/>
              </w:rPr>
              <w:t>expenses</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(1,423)</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(10,383)</w:t>
            </w:r>
          </w:p>
        </w:tc>
        <w:tc>
          <w:tcPr>
            <w:tcW w:w="7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(11,806)</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(1,578)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(11,219)</w:t>
            </w:r>
          </w:p>
        </w:tc>
        <w:tc>
          <w:tcPr>
            <w:tcW w:w="80" w:type="dxa"/>
            <w:vAlign w:val="bottom"/>
          </w:tcPr>
          <w:p>
            <w:pPr>
              <w:spacing w:after="0"/>
              <w:rPr>
                <w:sz w:val="13"/>
                <w:szCs w:val="13"/>
                <w:color w:val="auto"/>
              </w:rPr>
            </w:pPr>
          </w:p>
        </w:tc>
        <w:tc>
          <w:tcPr>
            <w:tcW w:w="6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(12,797)</w:t>
            </w:r>
          </w:p>
        </w:tc>
        <w:tc>
          <w:tcPr>
            <w:tcW w:w="7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(1,051)</w:t>
            </w:r>
          </w:p>
        </w:tc>
        <w:tc>
          <w:tcPr>
            <w:tcW w:w="88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(13,869)</w:t>
            </w:r>
          </w:p>
        </w:tc>
        <w:tc>
          <w:tcPr>
            <w:tcW w:w="78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(14,920)</w:t>
            </w:r>
          </w:p>
        </w:tc>
      </w:tr>
      <w:tr>
        <w:trPr>
          <w:trHeight w:val="129"/>
        </w:trPr>
        <w:tc>
          <w:tcPr>
            <w:tcW w:w="10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Profit from</w:t>
            </w: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1"/>
        </w:trPr>
        <w:tc>
          <w:tcPr>
            <w:tcW w:w="10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38,302</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86,805</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125,107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47,704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103,655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151,359</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45,160</w:t>
            </w:r>
          </w:p>
        </w:tc>
        <w:tc>
          <w:tcPr>
            <w:tcW w:w="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137,940</w:t>
            </w: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183,100</w:t>
            </w:r>
          </w:p>
        </w:tc>
        <w:tc>
          <w:tcPr>
            <w:tcW w:w="80" w:type="dxa"/>
            <w:vAlign w:val="bottom"/>
            <w:shd w:val="clear" w:color="auto" w:fill="CCEEFF"/>
          </w:tcPr>
          <w:p>
            <w:pPr>
              <w:spacing w:after="0"/>
              <w:rPr>
                <w:sz w:val="14"/>
                <w:szCs w:val="14"/>
                <w:color w:val="auto"/>
              </w:rPr>
            </w:pPr>
          </w:p>
        </w:tc>
      </w:tr>
      <w:tr>
        <w:trPr>
          <w:trHeight w:val="142"/>
        </w:trPr>
        <w:tc>
          <w:tcPr>
            <w:tcW w:w="1020" w:type="dxa"/>
            <w:vAlign w:val="bottom"/>
          </w:tcPr>
          <w:p>
            <w:pPr>
              <w:spacing w:after="0" w:line="142" w:lineRule="exact"/>
              <w:rPr>
                <w:sz w:val="20"/>
                <w:szCs w:val="20"/>
                <w:color w:val="auto"/>
              </w:rPr>
            </w:pPr>
            <w:r>
              <w:rPr>
                <w:rFonts w:ascii="Arial" w:cs="Arial" w:eastAsia="Arial" w:hAnsi="Arial"/>
                <w:sz w:val="14"/>
                <w:szCs w:val="14"/>
                <w:color w:val="auto"/>
              </w:rPr>
              <w:t>Financial costs</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(13,716)</w:t>
            </w:r>
          </w:p>
        </w:tc>
        <w:tc>
          <w:tcPr>
            <w:tcW w:w="60" w:type="dxa"/>
            <w:vAlign w:val="bottom"/>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(21,789)</w:t>
            </w: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(35,505)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(20,440)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(30,187)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(50,627)</w:t>
            </w:r>
          </w:p>
        </w:tc>
        <w:tc>
          <w:tcPr>
            <w:tcW w:w="80" w:type="dxa"/>
            <w:vAlign w:val="bottom"/>
          </w:tcPr>
          <w:p>
            <w:pPr>
              <w:spacing w:after="0"/>
              <w:rPr>
                <w:sz w:val="12"/>
                <w:szCs w:val="12"/>
                <w:color w:val="auto"/>
              </w:rPr>
            </w:pPr>
          </w:p>
        </w:tc>
        <w:tc>
          <w:tcPr>
            <w:tcW w:w="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(14,402)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(44,916)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(59,318)</w:t>
            </w:r>
          </w:p>
        </w:tc>
        <w:tc>
          <w:tcPr>
            <w:tcW w:w="80" w:type="dxa"/>
            <w:vAlign w:val="bottom"/>
          </w:tcPr>
          <w:p>
            <w:pPr>
              <w:spacing w:after="0"/>
              <w:rPr>
                <w:sz w:val="12"/>
                <w:szCs w:val="12"/>
                <w:color w:val="auto"/>
              </w:rPr>
            </w:pPr>
          </w:p>
        </w:tc>
      </w:tr>
      <w:tr>
        <w:trPr>
          <w:trHeight w:val="149"/>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Financial income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972</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2"/>
                <w:szCs w:val="12"/>
                <w:color w:val="auto"/>
              </w:rPr>
            </w:pPr>
          </w:p>
        </w:tc>
      </w:tr>
      <w:tr>
        <w:trPr>
          <w:trHeight w:val="138"/>
        </w:trPr>
        <w:tc>
          <w:tcPr>
            <w:tcW w:w="1020" w:type="dxa"/>
            <w:vAlign w:val="bottom"/>
          </w:tcPr>
          <w:p>
            <w:pPr>
              <w:spacing w:after="0" w:line="138" w:lineRule="exact"/>
              <w:rPr>
                <w:sz w:val="20"/>
                <w:szCs w:val="20"/>
                <w:color w:val="auto"/>
              </w:rPr>
            </w:pPr>
            <w:r>
              <w:rPr>
                <w:rFonts w:ascii="Arial" w:cs="Arial" w:eastAsia="Arial" w:hAnsi="Arial"/>
                <w:sz w:val="14"/>
                <w:szCs w:val="14"/>
                <w:color w:val="auto"/>
              </w:rPr>
              <w:t>(Loss)/gain on</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1020" w:type="dxa"/>
            <w:vAlign w:val="bottom"/>
          </w:tcPr>
          <w:p>
            <w:pPr>
              <w:ind w:left="140"/>
              <w:spacing w:after="0" w:line="159" w:lineRule="exact"/>
              <w:rPr>
                <w:sz w:val="20"/>
                <w:szCs w:val="20"/>
                <w:color w:val="auto"/>
              </w:rPr>
            </w:pPr>
            <w:r>
              <w:rPr>
                <w:rFonts w:ascii="Arial" w:cs="Arial" w:eastAsia="Arial" w:hAnsi="Arial"/>
                <w:sz w:val="14"/>
                <w:szCs w:val="14"/>
                <w:color w:val="auto"/>
              </w:rPr>
              <w:t>derivatives</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(5,895)</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(5,895)</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(10,460)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3,623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(6,837)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121</w:t>
            </w:r>
          </w:p>
        </w:tc>
        <w:tc>
          <w:tcPr>
            <w:tcW w:w="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3"/>
                <w:szCs w:val="13"/>
                <w:color w:val="auto"/>
              </w:rPr>
            </w:pPr>
          </w:p>
        </w:tc>
      </w:tr>
      <w:tr>
        <w:trPr>
          <w:trHeight w:val="129"/>
        </w:trPr>
        <w:tc>
          <w:tcPr>
            <w:tcW w:w="10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other</w:t>
            </w: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1"/>
        </w:trPr>
        <w:tc>
          <w:tcPr>
            <w:tcW w:w="10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w w:val="92"/>
              </w:rPr>
              <w:t>expenses,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(19,600)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(21,765)</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(41,365)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(30,873)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(26,385)</w:t>
            </w:r>
          </w:p>
        </w:tc>
        <w:tc>
          <w:tcPr>
            <w:tcW w:w="8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(57,258)</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(14,358)</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(43,823)</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(58,181)</w:t>
            </w:r>
          </w:p>
        </w:tc>
      </w:tr>
      <w:tr>
        <w:trPr>
          <w:trHeight w:val="129"/>
        </w:trPr>
        <w:tc>
          <w:tcPr>
            <w:tcW w:w="1020" w:type="dxa"/>
            <w:vAlign w:val="bottom"/>
          </w:tcPr>
          <w:p>
            <w:pPr>
              <w:spacing w:after="0" w:line="129" w:lineRule="exact"/>
              <w:rPr>
                <w:sz w:val="20"/>
                <w:szCs w:val="20"/>
                <w:color w:val="auto"/>
              </w:rPr>
            </w:pPr>
            <w:r>
              <w:rPr>
                <w:rFonts w:ascii="Arial" w:cs="Arial" w:eastAsia="Arial" w:hAnsi="Arial"/>
                <w:sz w:val="14"/>
                <w:szCs w:val="14"/>
                <w:b w:val="1"/>
                <w:bCs w:val="1"/>
                <w:color w:val="auto"/>
              </w:rPr>
              <w:t>Profit for the</w:t>
            </w: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year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18,702</w:t>
            </w: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65,040</w:t>
            </w:r>
          </w:p>
        </w:tc>
        <w:tc>
          <w:tcPr>
            <w:tcW w:w="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83,742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16,831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77,270</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94,101</w:t>
            </w:r>
          </w:p>
        </w:tc>
        <w:tc>
          <w:tcPr>
            <w:tcW w:w="8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30,802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94,117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124,919</w:t>
            </w:r>
          </w:p>
        </w:tc>
        <w:tc>
          <w:tcPr>
            <w:tcW w:w="8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65"/>
        </w:trPr>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13"/>
          </w:tcPr>
          <w:p>
            <w:pPr>
              <w:jc w:val="center"/>
              <w:ind w:right="36"/>
              <w:spacing w:after="0"/>
              <w:rPr>
                <w:sz w:val="20"/>
                <w:szCs w:val="20"/>
                <w:color w:val="auto"/>
              </w:rPr>
            </w:pPr>
            <w:r>
              <w:rPr>
                <w:rFonts w:ascii="Arial" w:cs="Arial" w:eastAsia="Arial" w:hAnsi="Arial"/>
                <w:sz w:val="14"/>
                <w:szCs w:val="14"/>
                <w:b w:val="1"/>
                <w:bCs w:val="1"/>
                <w:color w:val="auto"/>
                <w:w w:val="89"/>
              </w:rPr>
              <w:t>For the Three Months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8"/>
          </w:tcPr>
          <w:p>
            <w:pPr>
              <w:ind w:left="280"/>
              <w:spacing w:after="0"/>
              <w:rPr>
                <w:sz w:val="20"/>
                <w:szCs w:val="20"/>
                <w:color w:val="auto"/>
              </w:rPr>
            </w:pPr>
            <w:r>
              <w:rPr>
                <w:rFonts w:ascii="Arial" w:cs="Arial" w:eastAsia="Arial" w:hAnsi="Arial"/>
                <w:sz w:val="14"/>
                <w:szCs w:val="14"/>
                <w:b w:val="1"/>
                <w:bCs w:val="1"/>
                <w:color w:val="auto"/>
                <w:w w:val="94"/>
              </w:rPr>
              <w:t>For the Three Months</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1"/>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gridSpan w:val="13"/>
          </w:tcPr>
          <w:p>
            <w:pPr>
              <w:jc w:val="center"/>
              <w:ind w:right="36"/>
              <w:spacing w:after="0"/>
              <w:rPr>
                <w:sz w:val="20"/>
                <w:szCs w:val="20"/>
                <w:color w:val="auto"/>
              </w:rPr>
            </w:pPr>
            <w:r>
              <w:rPr>
                <w:rFonts w:ascii="Arial" w:cs="Arial" w:eastAsia="Arial" w:hAnsi="Arial"/>
                <w:sz w:val="14"/>
                <w:szCs w:val="14"/>
                <w:b w:val="1"/>
                <w:bCs w:val="1"/>
                <w:color w:val="auto"/>
                <w:w w:val="86"/>
              </w:rPr>
              <w:t>ended September 30, 2017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12"/>
          </w:tcPr>
          <w:p>
            <w:pPr>
              <w:ind w:left="160"/>
              <w:spacing w:after="0"/>
              <w:rPr>
                <w:sz w:val="20"/>
                <w:szCs w:val="20"/>
                <w:color w:val="auto"/>
              </w:rPr>
            </w:pPr>
            <w:r>
              <w:rPr>
                <w:rFonts w:ascii="Arial" w:cs="Arial" w:eastAsia="Arial" w:hAnsi="Arial"/>
                <w:sz w:val="14"/>
                <w:szCs w:val="14"/>
                <w:b w:val="1"/>
                <w:bCs w:val="1"/>
                <w:color w:val="auto"/>
              </w:rPr>
              <w:t>ended September 30, 2018</w:t>
            </w:r>
          </w:p>
        </w:tc>
      </w:tr>
      <w:tr>
        <w:trPr>
          <w:trHeight w:val="129"/>
        </w:trPr>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4"/>
                <w:szCs w:val="14"/>
                <w:b w:val="1"/>
                <w:bCs w:val="1"/>
                <w:color w:val="auto"/>
              </w:rPr>
              <w:t>IFRS</w:t>
            </w:r>
          </w:p>
        </w:tc>
        <w:tc>
          <w:tcPr>
            <w:tcW w:w="160" w:type="dxa"/>
            <w:vAlign w:val="bottom"/>
            <w:gridSpan w:val="2"/>
          </w:tcPr>
          <w:p>
            <w:pPr>
              <w:spacing w:after="0"/>
              <w:rPr>
                <w:sz w:val="11"/>
                <w:szCs w:val="11"/>
                <w:color w:val="auto"/>
              </w:rPr>
            </w:pPr>
          </w:p>
        </w:tc>
      </w:tr>
      <w:tr>
        <w:trPr>
          <w:trHeight w:val="149"/>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Results</w:t>
            </w:r>
          </w:p>
        </w:tc>
        <w:tc>
          <w:tcPr>
            <w:tcW w:w="100" w:type="dxa"/>
            <w:vAlign w:val="bottom"/>
          </w:tcPr>
          <w:p>
            <w:pPr>
              <w:spacing w:after="0"/>
              <w:rPr>
                <w:sz w:val="12"/>
                <w:szCs w:val="12"/>
                <w:color w:val="auto"/>
              </w:rPr>
            </w:pPr>
          </w:p>
        </w:tc>
        <w:tc>
          <w:tcPr>
            <w:tcW w:w="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Partnership</w:t>
            </w:r>
          </w:p>
        </w:tc>
        <w:tc>
          <w:tcPr>
            <w:tcW w:w="10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Control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Results</w:t>
            </w:r>
          </w:p>
        </w:tc>
        <w:tc>
          <w:tcPr>
            <w:tcW w:w="160" w:type="dxa"/>
            <w:vAlign w:val="bottom"/>
          </w:tcPr>
          <w:p>
            <w:pPr>
              <w:spacing w:after="0"/>
              <w:rPr>
                <w:sz w:val="12"/>
                <w:szCs w:val="12"/>
                <w:color w:val="auto"/>
              </w:rPr>
            </w:pPr>
          </w:p>
        </w:tc>
        <w:tc>
          <w:tcPr>
            <w:tcW w:w="1100" w:type="dxa"/>
            <w:vAlign w:val="bottom"/>
            <w:gridSpan w:val="6"/>
          </w:tcPr>
          <w:p>
            <w:pPr>
              <w:ind w:left="100"/>
              <w:spacing w:after="0" w:line="149" w:lineRule="exact"/>
              <w:rPr>
                <w:sz w:val="20"/>
                <w:szCs w:val="20"/>
                <w:color w:val="auto"/>
              </w:rPr>
            </w:pPr>
            <w:r>
              <w:rPr>
                <w:rFonts w:ascii="Arial" w:cs="Arial" w:eastAsia="Arial" w:hAnsi="Arial"/>
                <w:sz w:val="14"/>
                <w:szCs w:val="14"/>
                <w:b w:val="1"/>
                <w:bCs w:val="1"/>
                <w:color w:val="auto"/>
              </w:rPr>
              <w:t>Partnership</w:t>
            </w:r>
          </w:p>
        </w:tc>
        <w:tc>
          <w:tcPr>
            <w:tcW w:w="20" w:type="dxa"/>
            <w:vAlign w:val="bottom"/>
          </w:tcPr>
          <w:p>
            <w:pPr>
              <w:spacing w:after="0"/>
              <w:rPr>
                <w:sz w:val="12"/>
                <w:szCs w:val="12"/>
                <w:color w:val="auto"/>
              </w:rPr>
            </w:pPr>
          </w:p>
        </w:tc>
        <w:tc>
          <w:tcPr>
            <w:tcW w:w="7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00" w:type="dxa"/>
            <w:vAlign w:val="bottom"/>
          </w:tcPr>
          <w:p>
            <w:pPr>
              <w:spacing w:after="0"/>
              <w:rPr>
                <w:sz w:val="12"/>
                <w:szCs w:val="12"/>
                <w:color w:val="auto"/>
              </w:rPr>
            </w:pPr>
          </w:p>
        </w:tc>
        <w:tc>
          <w:tcPr>
            <w:tcW w:w="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00" w:type="dxa"/>
            <w:vAlign w:val="bottom"/>
          </w:tcPr>
          <w:p>
            <w:pPr>
              <w:spacing w:after="0"/>
              <w:rPr>
                <w:sz w:val="12"/>
                <w:szCs w:val="12"/>
                <w:color w:val="auto"/>
              </w:rPr>
            </w:pPr>
          </w:p>
        </w:tc>
        <w:tc>
          <w:tcPr>
            <w:tcW w:w="62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Reported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60" w:type="dxa"/>
            <w:vAlign w:val="bottom"/>
          </w:tcPr>
          <w:p>
            <w:pPr>
              <w:spacing w:after="0"/>
              <w:rPr>
                <w:sz w:val="12"/>
                <w:szCs w:val="12"/>
                <w:color w:val="auto"/>
              </w:rPr>
            </w:pPr>
          </w:p>
        </w:tc>
        <w:tc>
          <w:tcPr>
            <w:tcW w:w="110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Performance</w:t>
            </w:r>
          </w:p>
        </w:tc>
        <w:tc>
          <w:tcPr>
            <w:tcW w:w="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to GasLog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3"/>
          </w:tcPr>
          <w:p>
            <w:pPr>
              <w:jc w:val="center"/>
              <w:ind w:left="12"/>
              <w:spacing w:after="0"/>
              <w:rPr>
                <w:sz w:val="20"/>
                <w:szCs w:val="20"/>
                <w:color w:val="auto"/>
              </w:rPr>
            </w:pPr>
            <w:r>
              <w:rPr>
                <w:rFonts w:ascii="Arial" w:cs="Arial" w:eastAsia="Arial" w:hAnsi="Arial"/>
                <w:sz w:val="14"/>
                <w:szCs w:val="14"/>
                <w:b w:val="1"/>
                <w:bCs w:val="1"/>
                <w:color w:val="auto"/>
                <w:w w:val="82"/>
              </w:rPr>
              <w:t>Results</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to GasLog</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w w:val="79"/>
              </w:rPr>
              <w:t>Results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gridSpan w:val="2"/>
          </w:tcPr>
          <w:p>
            <w:pPr>
              <w:spacing w:after="0"/>
              <w:rPr>
                <w:sz w:val="14"/>
                <w:szCs w:val="14"/>
                <w:color w:val="auto"/>
              </w:rPr>
            </w:pPr>
          </w:p>
        </w:tc>
      </w:tr>
      <w:tr>
        <w:trPr>
          <w:trHeight w:val="142"/>
        </w:trPr>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of</w:t>
            </w:r>
          </w:p>
        </w:tc>
        <w:tc>
          <w:tcPr>
            <w:tcW w:w="8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5"/>
              </w:rPr>
              <w:t>U.S. dollars)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13,076</w:t>
            </w:r>
          </w:p>
        </w:tc>
        <w:tc>
          <w:tcPr>
            <w:tcW w:w="60" w:type="dxa"/>
            <w:vAlign w:val="bottom"/>
          </w:tcPr>
          <w:p>
            <w:pPr>
              <w:spacing w:after="0"/>
              <w:rPr>
                <w:sz w:val="12"/>
                <w:szCs w:val="12"/>
                <w:color w:val="auto"/>
              </w:rPr>
            </w:pPr>
          </w:p>
        </w:tc>
        <w:tc>
          <w:tcPr>
            <w:tcW w:w="9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73,277</w:t>
            </w:r>
          </w:p>
        </w:tc>
        <w:tc>
          <w:tcPr>
            <w:tcW w:w="60" w:type="dxa"/>
            <w:vAlign w:val="bottom"/>
          </w:tcPr>
          <w:p>
            <w:pPr>
              <w:spacing w:after="0"/>
              <w:rPr>
                <w:sz w:val="12"/>
                <w:szCs w:val="12"/>
                <w:color w:val="auto"/>
              </w:rPr>
            </w:pPr>
          </w:p>
        </w:tc>
        <w:tc>
          <w:tcPr>
            <w:tcW w:w="7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86,353</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81,887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81,887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pool allocation</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5"/>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85"/>
              </w:rPr>
              <w:t>—</w:t>
            </w: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600" w:type="dxa"/>
            <w:vAlign w:val="bottom"/>
            <w:gridSpan w:val="6"/>
          </w:tcPr>
          <w:p>
            <w:pPr>
              <w:spacing w:after="0" w:line="149" w:lineRule="exact"/>
              <w:rPr>
                <w:sz w:val="20"/>
                <w:szCs w:val="20"/>
                <w:color w:val="auto"/>
              </w:rPr>
            </w:pPr>
            <w:r>
              <w:rPr>
                <w:rFonts w:ascii="Arial" w:cs="Arial" w:eastAsia="Arial" w:hAnsi="Arial"/>
                <w:sz w:val="14"/>
                <w:szCs w:val="14"/>
                <w:color w:val="auto"/>
              </w:rPr>
              <w:t>Voyage expenses and commissions</w:t>
            </w: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(162)</w:t>
            </w:r>
          </w:p>
        </w:tc>
        <w:tc>
          <w:tcPr>
            <w:tcW w:w="104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(919)</w:t>
            </w:r>
          </w:p>
        </w:tc>
        <w:tc>
          <w:tcPr>
            <w:tcW w:w="940" w:type="dxa"/>
            <w:vAlign w:val="bottom"/>
            <w:gridSpan w:val="6"/>
          </w:tcPr>
          <w:p>
            <w:pPr>
              <w:jc w:val="right"/>
              <w:ind w:right="52"/>
              <w:spacing w:after="0" w:line="149" w:lineRule="exact"/>
              <w:rPr>
                <w:sz w:val="20"/>
                <w:szCs w:val="20"/>
                <w:color w:val="auto"/>
              </w:rPr>
            </w:pPr>
            <w:r>
              <w:rPr>
                <w:rFonts w:ascii="Arial" w:cs="Arial" w:eastAsia="Arial" w:hAnsi="Arial"/>
                <w:sz w:val="14"/>
                <w:szCs w:val="14"/>
                <w:color w:val="auto"/>
              </w:rPr>
              <w:t>(1,081)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(3,359)</w:t>
            </w:r>
          </w:p>
        </w:tc>
        <w:tc>
          <w:tcPr>
            <w:tcW w:w="6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(3,359)</w:t>
            </w:r>
          </w:p>
        </w:tc>
        <w:tc>
          <w:tcPr>
            <w:tcW w:w="80" w:type="dxa"/>
            <w:vAlign w:val="bottom"/>
          </w:tcPr>
          <w:p>
            <w:pPr>
              <w:spacing w:after="0"/>
              <w:rPr>
                <w:sz w:val="12"/>
                <w:szCs w:val="12"/>
                <w:color w:val="auto"/>
              </w:rPr>
            </w:pPr>
          </w:p>
        </w:tc>
      </w:tr>
      <w:tr>
        <w:trPr>
          <w:trHeight w:val="149"/>
        </w:trPr>
        <w:tc>
          <w:tcPr>
            <w:tcW w:w="1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Vessel operating costs</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(1,327)</w:t>
            </w:r>
          </w:p>
        </w:tc>
        <w:tc>
          <w:tcPr>
            <w:tcW w:w="104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(15,046)</w:t>
            </w:r>
          </w:p>
        </w:tc>
        <w:tc>
          <w:tcPr>
            <w:tcW w:w="940" w:type="dxa"/>
            <w:vAlign w:val="bottom"/>
            <w:gridSpan w:val="6"/>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(16,373)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(15,765)</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(15,765)</w:t>
            </w:r>
          </w:p>
        </w:tc>
        <w:tc>
          <w:tcPr>
            <w:tcW w:w="80" w:type="dxa"/>
            <w:vAlign w:val="bottom"/>
            <w:shd w:val="clear" w:color="auto" w:fill="CCEEFF"/>
          </w:tcPr>
          <w:p>
            <w:pPr>
              <w:spacing w:after="0"/>
              <w:rPr>
                <w:sz w:val="12"/>
                <w:szCs w:val="12"/>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(2,952)</w:t>
            </w:r>
          </w:p>
        </w:tc>
        <w:tc>
          <w:tcPr>
            <w:tcW w:w="104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(15,580)</w:t>
            </w:r>
          </w:p>
        </w:tc>
        <w:tc>
          <w:tcPr>
            <w:tcW w:w="940" w:type="dxa"/>
            <w:vAlign w:val="bottom"/>
            <w:gridSpan w:val="6"/>
          </w:tcPr>
          <w:p>
            <w:pPr>
              <w:jc w:val="right"/>
              <w:ind w:right="52"/>
              <w:spacing w:after="0" w:line="149" w:lineRule="exact"/>
              <w:rPr>
                <w:sz w:val="20"/>
                <w:szCs w:val="20"/>
                <w:color w:val="auto"/>
              </w:rPr>
            </w:pPr>
            <w:r>
              <w:rPr>
                <w:rFonts w:ascii="Arial" w:cs="Arial" w:eastAsia="Arial" w:hAnsi="Arial"/>
                <w:sz w:val="14"/>
                <w:szCs w:val="14"/>
                <w:color w:val="auto"/>
              </w:rPr>
              <w:t>(18,532)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(18,710)</w:t>
            </w:r>
          </w:p>
        </w:tc>
        <w:tc>
          <w:tcPr>
            <w:tcW w:w="6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(18,710)</w:t>
            </w:r>
          </w:p>
        </w:tc>
        <w:tc>
          <w:tcPr>
            <w:tcW w:w="80" w:type="dxa"/>
            <w:vAlign w:val="bottom"/>
          </w:tcPr>
          <w:p>
            <w:pPr>
              <w:spacing w:after="0"/>
              <w:rPr>
                <w:sz w:val="12"/>
                <w:szCs w:val="12"/>
                <w:color w:val="auto"/>
              </w:rPr>
            </w:pPr>
          </w:p>
        </w:tc>
      </w:tr>
      <w:tr>
        <w:trPr>
          <w:trHeight w:val="149"/>
        </w:trPr>
        <w:tc>
          <w:tcPr>
            <w:tcW w:w="260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(206)</w:t>
            </w:r>
          </w:p>
        </w:tc>
        <w:tc>
          <w:tcPr>
            <w:tcW w:w="104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(3,783)</w:t>
            </w:r>
          </w:p>
        </w:tc>
        <w:tc>
          <w:tcPr>
            <w:tcW w:w="940" w:type="dxa"/>
            <w:vAlign w:val="bottom"/>
            <w:gridSpan w:val="6"/>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(3,989)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(4,693)</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(4,693)</w:t>
            </w:r>
          </w:p>
        </w:tc>
        <w:tc>
          <w:tcPr>
            <w:tcW w:w="80" w:type="dxa"/>
            <w:vAlign w:val="bottom"/>
            <w:shd w:val="clear" w:color="auto" w:fill="CCEEFF"/>
          </w:tcPr>
          <w:p>
            <w:pPr>
              <w:spacing w:after="0"/>
              <w:rPr>
                <w:sz w:val="12"/>
                <w:szCs w:val="12"/>
                <w:color w:val="auto"/>
              </w:rPr>
            </w:pPr>
          </w:p>
        </w:tc>
      </w:tr>
      <w:tr>
        <w:trPr>
          <w:trHeight w:val="142"/>
        </w:trPr>
        <w:tc>
          <w:tcPr>
            <w:tcW w:w="1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8,429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37,949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46,378</w:t>
            </w: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40,140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40,140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1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Financial costs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(2,731)</w:t>
            </w:r>
          </w:p>
        </w:tc>
        <w:tc>
          <w:tcPr>
            <w:tcW w:w="1040" w:type="dxa"/>
            <w:vAlign w:val="bottom"/>
            <w:gridSpan w:val="6"/>
            <w:shd w:val="clear" w:color="auto" w:fill="CCEEFF"/>
          </w:tcPr>
          <w:p>
            <w:pPr>
              <w:jc w:val="right"/>
              <w:spacing w:after="0" w:line="142" w:lineRule="exact"/>
              <w:rPr>
                <w:sz w:val="20"/>
                <w:szCs w:val="20"/>
                <w:color w:val="auto"/>
              </w:rPr>
            </w:pPr>
            <w:r>
              <w:rPr>
                <w:rFonts w:ascii="Arial" w:cs="Arial" w:eastAsia="Arial" w:hAnsi="Arial"/>
                <w:sz w:val="14"/>
                <w:szCs w:val="14"/>
                <w:color w:val="auto"/>
              </w:rPr>
              <w:t>(12,289)</w:t>
            </w:r>
          </w:p>
        </w:tc>
        <w:tc>
          <w:tcPr>
            <w:tcW w:w="940" w:type="dxa"/>
            <w:vAlign w:val="bottom"/>
            <w:gridSpan w:val="6"/>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(15,020)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(15,533)</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(15,533)</w:t>
            </w:r>
          </w:p>
        </w:tc>
        <w:tc>
          <w:tcPr>
            <w:tcW w:w="80" w:type="dxa"/>
            <w:vAlign w:val="bottom"/>
            <w:shd w:val="clear" w:color="auto" w:fill="CCEEFF"/>
          </w:tcPr>
          <w:p>
            <w:pPr>
              <w:spacing w:after="0"/>
              <w:rPr>
                <w:sz w:val="12"/>
                <w:szCs w:val="12"/>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w w:val="95"/>
              </w:rPr>
              <w:t>Financial income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311</w:t>
            </w:r>
          </w:p>
        </w:tc>
        <w:tc>
          <w:tcPr>
            <w:tcW w:w="60" w:type="dxa"/>
            <w:vAlign w:val="bottom"/>
          </w:tcPr>
          <w:p>
            <w:pPr>
              <w:spacing w:after="0"/>
              <w:rPr>
                <w:sz w:val="12"/>
                <w:szCs w:val="12"/>
                <w:color w:val="auto"/>
              </w:rPr>
            </w:pPr>
          </w:p>
        </w:tc>
        <w:tc>
          <w:tcPr>
            <w:tcW w:w="7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7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(Loss)/gain on derivatives</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940" w:type="dxa"/>
            <w:vAlign w:val="bottom"/>
            <w:gridSpan w:val="6"/>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2"/>
        </w:trPr>
        <w:tc>
          <w:tcPr>
            <w:tcW w:w="1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(2,721)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(12,650)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(15,371)</w:t>
            </w: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(12,870)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(12,870)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17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Profit for the period</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5,708</w:t>
            </w:r>
          </w:p>
        </w:tc>
        <w:tc>
          <w:tcPr>
            <w:tcW w:w="60" w:type="dxa"/>
            <w:vAlign w:val="bottom"/>
            <w:shd w:val="clear" w:color="auto" w:fill="CCEEFF"/>
          </w:tcPr>
          <w:p>
            <w:pPr>
              <w:spacing w:after="0"/>
              <w:rPr>
                <w:sz w:val="12"/>
                <w:szCs w:val="12"/>
                <w:color w:val="auto"/>
              </w:rPr>
            </w:pPr>
          </w:p>
        </w:tc>
        <w:tc>
          <w:tcPr>
            <w:tcW w:w="98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25,299</w:t>
            </w:r>
          </w:p>
        </w:tc>
        <w:tc>
          <w:tcPr>
            <w:tcW w:w="60" w:type="dxa"/>
            <w:vAlign w:val="bottom"/>
            <w:shd w:val="clear" w:color="auto" w:fill="CCEEFF"/>
          </w:tcPr>
          <w:p>
            <w:pPr>
              <w:spacing w:after="0"/>
              <w:rPr>
                <w:sz w:val="12"/>
                <w:szCs w:val="12"/>
                <w:color w:val="auto"/>
              </w:rPr>
            </w:pPr>
          </w:p>
        </w:tc>
        <w:tc>
          <w:tcPr>
            <w:tcW w:w="78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31,007</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27,270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27,270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389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538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For the Nine Months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440" w:type="dxa"/>
            <w:vAlign w:val="bottom"/>
          </w:tcPr>
          <w:p>
            <w:pPr>
              <w:spacing w:after="0"/>
              <w:rPr>
                <w:sz w:val="14"/>
                <w:szCs w:val="14"/>
                <w:color w:val="auto"/>
              </w:rPr>
            </w:pPr>
          </w:p>
        </w:tc>
        <w:tc>
          <w:tcPr>
            <w:tcW w:w="2880" w:type="dxa"/>
            <w:vAlign w:val="bottom"/>
            <w:gridSpan w:val="7"/>
          </w:tcPr>
          <w:p>
            <w:pPr>
              <w:jc w:val="right"/>
              <w:ind w:right="692"/>
              <w:spacing w:after="0"/>
              <w:rPr>
                <w:sz w:val="20"/>
                <w:szCs w:val="20"/>
                <w:color w:val="auto"/>
              </w:rPr>
            </w:pPr>
            <w:r>
              <w:rPr>
                <w:rFonts w:ascii="Arial" w:cs="Arial" w:eastAsia="Arial" w:hAnsi="Arial"/>
                <w:sz w:val="14"/>
                <w:szCs w:val="14"/>
                <w:b w:val="1"/>
                <w:bCs w:val="1"/>
                <w:color w:val="auto"/>
              </w:rPr>
              <w:t>ended September 30, 2017</w:t>
            </w:r>
          </w:p>
        </w:tc>
        <w:tc>
          <w:tcPr>
            <w:tcW w:w="28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ended September 30, 2018</w:t>
            </w:r>
          </w:p>
        </w:tc>
      </w:tr>
      <w:tr>
        <w:trPr>
          <w:trHeight w:val="129"/>
        </w:trPr>
        <w:tc>
          <w:tcPr>
            <w:tcW w:w="24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IFRS</w:t>
            </w:r>
          </w:p>
        </w:tc>
        <w:tc>
          <w:tcPr>
            <w:tcW w:w="16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Common</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24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Results</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Partnership</w:t>
            </w:r>
          </w:p>
        </w:tc>
        <w:tc>
          <w:tcPr>
            <w:tcW w:w="80" w:type="dxa"/>
            <w:vAlign w:val="bottom"/>
          </w:tcPr>
          <w:p>
            <w:pPr>
              <w:spacing w:after="0"/>
              <w:rPr>
                <w:sz w:val="12"/>
                <w:szCs w:val="12"/>
                <w:color w:val="auto"/>
              </w:rPr>
            </w:pPr>
          </w:p>
        </w:tc>
        <w:tc>
          <w:tcPr>
            <w:tcW w:w="8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Control</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Results</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Partnership</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Control</w:t>
            </w:r>
          </w:p>
        </w:tc>
      </w:tr>
      <w:tr>
        <w:trPr>
          <w:trHeight w:val="149"/>
        </w:trPr>
        <w:tc>
          <w:tcPr>
            <w:tcW w:w="24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80" w:type="dxa"/>
            <w:vAlign w:val="bottom"/>
          </w:tcPr>
          <w:p>
            <w:pPr>
              <w:spacing w:after="0"/>
              <w:rPr>
                <w:sz w:val="12"/>
                <w:szCs w:val="12"/>
                <w:color w:val="auto"/>
              </w:rPr>
            </w:pPr>
          </w:p>
        </w:tc>
        <w:tc>
          <w:tcPr>
            <w:tcW w:w="84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Reported</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attributable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Reported</w:t>
            </w:r>
          </w:p>
        </w:tc>
      </w:tr>
      <w:tr>
        <w:trPr>
          <w:trHeight w:val="161"/>
        </w:trPr>
        <w:tc>
          <w:tcPr>
            <w:tcW w:w="24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 GasLog</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to GasLog</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160" w:type="dxa"/>
            <w:vAlign w:val="bottom"/>
          </w:tcPr>
          <w:p>
            <w:pPr>
              <w:spacing w:after="0"/>
              <w:rPr>
                <w:sz w:val="14"/>
                <w:szCs w:val="14"/>
                <w:color w:val="auto"/>
              </w:rPr>
            </w:pPr>
          </w:p>
        </w:tc>
      </w:tr>
      <w:tr>
        <w:trPr>
          <w:trHeight w:val="142"/>
        </w:trPr>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16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of U.S. dollars)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PROFIT OR LOSS</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63,383</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192,852</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256,235</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9,315</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233,857</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243,172</w:t>
            </w:r>
          </w:p>
        </w:tc>
        <w:tc>
          <w:tcPr>
            <w:tcW w:w="160" w:type="dxa"/>
            <w:vAlign w:val="bottom"/>
          </w:tcPr>
          <w:p>
            <w:pPr>
              <w:spacing w:after="0"/>
              <w:rPr>
                <w:sz w:val="12"/>
                <w:szCs w:val="12"/>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pool allocation</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160" w:type="dxa"/>
            <w:vAlign w:val="bottom"/>
            <w:shd w:val="clear" w:color="auto" w:fill="CCEEFF"/>
          </w:tcPr>
          <w:p>
            <w:pPr>
              <w:spacing w:after="0"/>
              <w:rPr>
                <w:sz w:val="12"/>
                <w:szCs w:val="12"/>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Voyage expenses and commissions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(789)</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(2,420)</w:t>
            </w:r>
          </w:p>
        </w:tc>
        <w:tc>
          <w:tcPr>
            <w:tcW w:w="92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(3,209)</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(5,925)</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(6,042)</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Vessel operating costs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(8,070)</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(39,523)</w:t>
            </w:r>
          </w:p>
        </w:tc>
        <w:tc>
          <w:tcPr>
            <w:tcW w:w="92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(47,593)</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(46,466)</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(48,178)</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(13,588)</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(41,408)</w:t>
            </w:r>
          </w:p>
        </w:tc>
        <w:tc>
          <w:tcPr>
            <w:tcW w:w="92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(54,996)</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(53,470)</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(55,314)</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(933)</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(10,134)</w:t>
            </w:r>
          </w:p>
        </w:tc>
        <w:tc>
          <w:tcPr>
            <w:tcW w:w="92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(11,067)</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(13,949)</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(14,074)</w:t>
            </w:r>
          </w:p>
        </w:tc>
      </w:tr>
      <w:tr>
        <w:trPr>
          <w:trHeight w:val="142"/>
        </w:trPr>
        <w:tc>
          <w:tcPr>
            <w:tcW w:w="2440" w:type="dxa"/>
            <w:vAlign w:val="bottom"/>
          </w:tcPr>
          <w:p>
            <w:pPr>
              <w:spacing w:after="0" w:line="142" w:lineRule="exact"/>
              <w:rPr>
                <w:sz w:val="20"/>
                <w:szCs w:val="20"/>
                <w:color w:val="auto"/>
              </w:rPr>
            </w:pPr>
            <w:r>
              <w:rPr>
                <w:rFonts w:ascii="Arial" w:cs="Arial" w:eastAsia="Arial" w:hAnsi="Arial"/>
                <w:sz w:val="14"/>
                <w:szCs w:val="14"/>
                <w:b w:val="1"/>
                <w:bCs w:val="1"/>
                <w:color w:val="auto"/>
              </w:rPr>
              <w:t>Profit from operations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40,003</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99,367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139,370</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5,517</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114,470</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119,987</w:t>
            </w:r>
          </w:p>
        </w:tc>
        <w:tc>
          <w:tcPr>
            <w:tcW w:w="160" w:type="dxa"/>
            <w:vAlign w:val="bottom"/>
          </w:tcPr>
          <w:p>
            <w:pPr>
              <w:spacing w:after="0"/>
              <w:rPr>
                <w:sz w:val="12"/>
                <w:szCs w:val="12"/>
                <w:color w:val="auto"/>
              </w:rPr>
            </w:pPr>
          </w:p>
        </w:tc>
      </w:tr>
      <w:tr>
        <w:trPr>
          <w:trHeight w:val="142"/>
        </w:trPr>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Financial costs</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(12,727)</w:t>
            </w:r>
          </w:p>
        </w:tc>
        <w:tc>
          <w:tcPr>
            <w:tcW w:w="9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(31,359)</w:t>
            </w:r>
          </w:p>
        </w:tc>
        <w:tc>
          <w:tcPr>
            <w:tcW w:w="920" w:type="dxa"/>
            <w:vAlign w:val="bottom"/>
            <w:gridSpan w:val="3"/>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(44,086)</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(1,853)</w:t>
            </w: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(43,973)</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(45,826)</w:t>
            </w: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656</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694</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1,679</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1,688</w:t>
            </w:r>
          </w:p>
        </w:tc>
        <w:tc>
          <w:tcPr>
            <w:tcW w:w="160" w:type="dxa"/>
            <w:vAlign w:val="bottom"/>
          </w:tcPr>
          <w:p>
            <w:pPr>
              <w:spacing w:after="0"/>
              <w:rPr>
                <w:sz w:val="12"/>
                <w:szCs w:val="12"/>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(Loss)/gain on derivatives</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(2,985)</w:t>
            </w:r>
          </w:p>
        </w:tc>
        <w:tc>
          <w:tcPr>
            <w:tcW w:w="92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(2,985)</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9,997</w:t>
            </w:r>
          </w:p>
        </w:tc>
        <w:tc>
          <w:tcPr>
            <w:tcW w:w="160" w:type="dxa"/>
            <w:vAlign w:val="bottom"/>
            <w:shd w:val="clear" w:color="auto" w:fill="CCEEFF"/>
          </w:tcPr>
          <w:p>
            <w:pPr>
              <w:spacing w:after="0"/>
              <w:rPr>
                <w:sz w:val="12"/>
                <w:szCs w:val="12"/>
                <w:color w:val="auto"/>
              </w:rPr>
            </w:pPr>
          </w:p>
        </w:tc>
      </w:tr>
      <w:tr>
        <w:trPr>
          <w:trHeight w:val="142"/>
        </w:trPr>
        <w:tc>
          <w:tcPr>
            <w:tcW w:w="2440" w:type="dxa"/>
            <w:vAlign w:val="bottom"/>
          </w:tcPr>
          <w:p>
            <w:pPr>
              <w:spacing w:after="0" w:line="142" w:lineRule="exact"/>
              <w:rPr>
                <w:sz w:val="20"/>
                <w:szCs w:val="20"/>
                <w:color w:val="auto"/>
              </w:rPr>
            </w:pPr>
            <w:r>
              <w:rPr>
                <w:rFonts w:ascii="Arial" w:cs="Arial" w:eastAsia="Arial" w:hAnsi="Arial"/>
                <w:sz w:val="14"/>
                <w:szCs w:val="14"/>
                <w:b w:val="1"/>
                <w:bCs w:val="1"/>
                <w:color w:val="auto"/>
              </w:rPr>
              <w:t>Total other expenses, net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(12,689)</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(33,688)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(46,377)</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(1,844)</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(32,297)</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(34,141)</w:t>
            </w:r>
          </w:p>
        </w:tc>
        <w:tc>
          <w:tcPr>
            <w:tcW w:w="160" w:type="dxa"/>
            <w:vAlign w:val="bottom"/>
          </w:tcPr>
          <w:p>
            <w:pPr>
              <w:spacing w:after="0"/>
              <w:rPr>
                <w:sz w:val="12"/>
                <w:szCs w:val="12"/>
                <w:color w:val="auto"/>
              </w:rPr>
            </w:pPr>
          </w:p>
        </w:tc>
      </w:tr>
      <w:tr>
        <w:trPr>
          <w:trHeight w:val="142"/>
        </w:trPr>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Profit for the period</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27,314</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65,679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92,993</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3,673</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82,173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85,846</w:t>
            </w:r>
          </w:p>
        </w:tc>
        <w:tc>
          <w:tcPr>
            <w:tcW w:w="160" w:type="dxa"/>
            <w:vAlign w:val="bottom"/>
            <w:shd w:val="clear" w:color="auto" w:fill="CCEEFF"/>
          </w:tcPr>
          <w:p>
            <w:pPr>
              <w:spacing w:after="0"/>
              <w:rPr>
                <w:sz w:val="12"/>
                <w:szCs w:val="12"/>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5" w:lineRule="exact"/>
        <w:rPr>
          <w:sz w:val="20"/>
          <w:szCs w:val="20"/>
          <w:color w:val="auto"/>
        </w:rPr>
      </w:pPr>
    </w:p>
    <w:p>
      <w:pPr>
        <w:ind w:left="1560"/>
        <w:spacing w:after="0"/>
        <w:rPr>
          <w:sz w:val="20"/>
          <w:szCs w:val="20"/>
          <w:color w:val="auto"/>
        </w:rPr>
      </w:pPr>
      <w:r>
        <w:rPr>
          <w:rFonts w:ascii="Arial" w:cs="Arial" w:eastAsia="Arial" w:hAnsi="Arial"/>
          <w:sz w:val="14"/>
          <w:szCs w:val="14"/>
          <w:b w:val="1"/>
          <w:bCs w:val="1"/>
          <w:i w:val="1"/>
          <w:iCs w:val="1"/>
          <w:color w:val="auto"/>
        </w:rPr>
        <w:t>EBITDA</w:t>
      </w:r>
    </w:p>
    <w:p>
      <w:pPr>
        <w:spacing w:after="0" w:line="204" w:lineRule="exact"/>
        <w:rPr>
          <w:sz w:val="20"/>
          <w:szCs w:val="20"/>
          <w:color w:val="auto"/>
        </w:rPr>
      </w:pPr>
    </w:p>
    <w:p>
      <w:pPr>
        <w:ind w:left="1560" w:right="80"/>
        <w:spacing w:after="0" w:line="263" w:lineRule="auto"/>
        <w:rPr>
          <w:sz w:val="20"/>
          <w:szCs w:val="20"/>
          <w:color w:val="auto"/>
        </w:rPr>
      </w:pPr>
      <w:r>
        <w:rPr>
          <w:rFonts w:ascii="Arial" w:cs="Arial" w:eastAsia="Arial" w:hAnsi="Arial"/>
          <w:sz w:val="12"/>
          <w:szCs w:val="12"/>
          <w:color w:val="auto"/>
        </w:rPr>
        <w:t>EBITDA is defined as earnings before interest income and expense, gain/loss on derivatives, taxes, depreciation and amortization. EBITDA, which is a non-GAAP financial measure, is used as a supplemental financial measure by management and external users of financial statements, such as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w:t>
      </w:r>
    </w:p>
    <w:p>
      <w:pPr>
        <w:spacing w:after="0" w:line="1" w:lineRule="exact"/>
        <w:rPr>
          <w:sz w:val="20"/>
          <w:szCs w:val="20"/>
          <w:color w:val="auto"/>
        </w:rPr>
      </w:pPr>
    </w:p>
    <w:p>
      <w:pPr>
        <w:ind w:left="1560" w:hanging="5"/>
        <w:spacing w:after="0" w:line="271" w:lineRule="auto"/>
        <w:tabs>
          <w:tab w:leader="none" w:pos="1759" w:val="left"/>
        </w:tabs>
        <w:numPr>
          <w:ilvl w:val="0"/>
          <w:numId w:val="11"/>
        </w:numPr>
        <w:rPr>
          <w:rFonts w:ascii="Arial" w:cs="Arial" w:eastAsia="Arial" w:hAnsi="Arial"/>
          <w:sz w:val="12"/>
          <w:szCs w:val="12"/>
          <w:color w:val="auto"/>
        </w:rPr>
      </w:pPr>
      <w:r>
        <w:rPr>
          <w:rFonts w:ascii="Arial" w:cs="Arial" w:eastAsia="Arial" w:hAnsi="Arial"/>
          <w:sz w:val="12"/>
          <w:szCs w:val="12"/>
          <w:color w:val="auto"/>
        </w:rPr>
        <w:t>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financial costs, gain/losses on derivatives,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75" w:lineRule="exact"/>
        <w:rPr>
          <w:sz w:val="20"/>
          <w:szCs w:val="20"/>
          <w:color w:val="auto"/>
        </w:rPr>
      </w:pPr>
    </w:p>
    <w:p>
      <w:pPr>
        <w:ind w:left="1560" w:right="20"/>
        <w:spacing w:after="0" w:line="273" w:lineRule="auto"/>
        <w:rPr>
          <w:sz w:val="20"/>
          <w:szCs w:val="20"/>
          <w:color w:val="auto"/>
        </w:rPr>
      </w:pPr>
      <w:r>
        <w:rPr>
          <w:rFonts w:ascii="Arial" w:cs="Arial" w:eastAsia="Arial" w:hAnsi="Arial"/>
          <w:sz w:val="12"/>
          <w:szCs w:val="12"/>
          <w:color w:val="auto"/>
        </w:rPr>
        <w:t>EBITDA has limitations as an analytical tool and should not be considered as an alternative to, or as a substitute for, or superior to profit, profit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174" w:lineRule="exact"/>
        <w:rPr>
          <w:sz w:val="20"/>
          <w:szCs w:val="20"/>
          <w:color w:val="auto"/>
        </w:rPr>
      </w:pPr>
    </w:p>
    <w:p>
      <w:pPr>
        <w:jc w:val="both"/>
        <w:ind w:left="1560" w:right="280"/>
        <w:spacing w:after="0" w:line="233" w:lineRule="auto"/>
        <w:rPr>
          <w:sz w:val="20"/>
          <w:szCs w:val="20"/>
          <w:color w:val="auto"/>
        </w:rPr>
      </w:pPr>
      <w:r>
        <w:rPr>
          <w:rFonts w:ascii="Arial" w:cs="Arial" w:eastAsia="Arial" w:hAnsi="Arial"/>
          <w:sz w:val="14"/>
          <w:szCs w:val="14"/>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 the most directly comparable IFRS financial measure, for the periods presented.</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EBITDA is presented on the basis of IFRS Common Control Reported Results and Partnership Performance Results. Partnership Performance Results are non-GAAP measures.</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The difference between IFRS Common Control Reported Results and Partnership Performance Results are results attributable to GasLog, as set out in the reconciliation below.</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192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519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Profit to EBITDA:</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IFRS Common Control Reported Results: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left="372"/>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20" w:type="dxa"/>
            <w:vAlign w:val="bottom"/>
            <w:gridSpan w:val="11"/>
          </w:tcPr>
          <w:p>
            <w:pPr>
              <w:jc w:val="center"/>
              <w:ind w:left="534"/>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5"/>
          </w:tcPr>
          <w:p>
            <w:pPr>
              <w:jc w:val="center"/>
              <w:ind w:left="3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2018</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gridSpan w:val="4"/>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32"/>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4"/>
                <w:szCs w:val="14"/>
                <w:b w:val="1"/>
                <w:bCs w:val="1"/>
                <w:color w:val="auto"/>
                <w:w w:val="90"/>
              </w:rPr>
              <w:t>(in thousands of U.S. dollars)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83,742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94,101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124,919</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27,270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55,693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62,754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73,548</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18,532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18,710</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54,996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55,314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35,505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50,627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59,318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15,533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(1,016)</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(321)</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(694)</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Loss/(gain) on derivatives</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(2,082)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42"/>
        </w:trPr>
        <w:tc>
          <w:tcPr>
            <w:tcW w:w="3180" w:type="dxa"/>
            <w:vAlign w:val="bottom"/>
            <w:gridSpan w:val="2"/>
          </w:tcPr>
          <w:p>
            <w:pPr>
              <w:ind w:left="780"/>
              <w:spacing w:after="0" w:line="142" w:lineRule="exact"/>
              <w:rPr>
                <w:sz w:val="20"/>
                <w:szCs w:val="20"/>
                <w:color w:val="auto"/>
              </w:rPr>
            </w:pPr>
            <w:r>
              <w:rPr>
                <w:rFonts w:ascii="Arial" w:cs="Arial" w:eastAsia="Arial" w:hAnsi="Arial"/>
                <w:sz w:val="14"/>
                <w:szCs w:val="14"/>
                <w:b w:val="1"/>
                <w:bCs w:val="1"/>
                <w:color w:val="auto"/>
              </w:rPr>
              <w:t>EBITDA</w:t>
            </w: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180,800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214,113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256,648</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64,910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58,850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194,366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175,301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Partnership Performance Results:</w:t>
            </w: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left="372"/>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87"/>
              </w:rPr>
              <w:t>Year Ended December 31,</w:t>
            </w: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2015</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76"/>
              </w:rPr>
              <w:t>2018</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7"/>
          </w:tcPr>
          <w:p>
            <w:pPr>
              <w:jc w:val="right"/>
              <w:ind w:right="300"/>
              <w:spacing w:after="0" w:line="142" w:lineRule="exact"/>
              <w:rPr>
                <w:sz w:val="20"/>
                <w:szCs w:val="20"/>
                <w:color w:val="auto"/>
              </w:rPr>
            </w:pPr>
            <w:r>
              <w:rPr>
                <w:rFonts w:ascii="Arial" w:cs="Arial" w:eastAsia="Arial" w:hAnsi="Arial"/>
                <w:sz w:val="14"/>
                <w:szCs w:val="14"/>
                <w:b w:val="1"/>
                <w:bCs w:val="1"/>
                <w:color w:val="auto"/>
                <w:w w:val="91"/>
              </w:rPr>
              <w:t>(in thousands of U.S. dollars)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65,040</w:t>
            </w:r>
          </w:p>
        </w:tc>
        <w:tc>
          <w:tcPr>
            <w:tcW w:w="6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77,270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94,117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27,270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35,981</w:t>
            </w:r>
          </w:p>
        </w:tc>
        <w:tc>
          <w:tcPr>
            <w:tcW w:w="60" w:type="dxa"/>
            <w:vAlign w:val="bottom"/>
          </w:tcPr>
          <w:p>
            <w:pPr>
              <w:spacing w:after="0"/>
              <w:rPr>
                <w:sz w:val="12"/>
                <w:szCs w:val="12"/>
                <w:color w:val="auto"/>
              </w:rPr>
            </w:pPr>
          </w:p>
        </w:tc>
        <w:tc>
          <w:tcPr>
            <w:tcW w:w="6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45,230</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58,193</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15,580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18,710</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41,408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53,470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21,789</w:t>
            </w:r>
          </w:p>
        </w:tc>
        <w:tc>
          <w:tcPr>
            <w:tcW w:w="6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30,187</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44,916</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15,533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840" w:type="dxa"/>
            <w:vAlign w:val="bottom"/>
            <w:gridSpan w:val="5"/>
          </w:tcPr>
          <w:p>
            <w:pPr>
              <w:jc w:val="right"/>
              <w:ind w:right="62"/>
              <w:spacing w:after="0" w:line="149" w:lineRule="exact"/>
              <w:rPr>
                <w:sz w:val="20"/>
                <w:szCs w:val="20"/>
                <w:color w:val="auto"/>
              </w:rPr>
            </w:pPr>
            <w:r>
              <w:rPr>
                <w:rFonts w:ascii="Arial" w:cs="Arial" w:eastAsia="Arial" w:hAnsi="Arial"/>
                <w:sz w:val="14"/>
                <w:szCs w:val="14"/>
                <w:color w:val="auto"/>
              </w:rPr>
              <w:t>(179)</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(972)</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(656)</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(Gain)/loss on derivatives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5"/>
            <w:shd w:val="clear" w:color="auto" w:fill="CCEEFF"/>
          </w:tcPr>
          <w:p>
            <w:pPr>
              <w:jc w:val="right"/>
              <w:ind w:right="62"/>
              <w:spacing w:after="0" w:line="149" w:lineRule="exact"/>
              <w:rPr>
                <w:sz w:val="20"/>
                <w:szCs w:val="20"/>
                <w:color w:val="auto"/>
              </w:rPr>
            </w:pPr>
            <w:r>
              <w:rPr>
                <w:rFonts w:ascii="Arial" w:cs="Arial" w:eastAsia="Arial" w:hAnsi="Arial"/>
                <w:sz w:val="14"/>
                <w:szCs w:val="14"/>
                <w:color w:val="auto"/>
              </w:rPr>
              <w:t>(3,623)</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(2,082)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42"/>
        </w:trPr>
        <w:tc>
          <w:tcPr>
            <w:tcW w:w="3180" w:type="dxa"/>
            <w:vAlign w:val="bottom"/>
            <w:gridSpan w:val="2"/>
          </w:tcPr>
          <w:p>
            <w:pPr>
              <w:ind w:left="780"/>
              <w:spacing w:after="0" w:line="142" w:lineRule="exact"/>
              <w:rPr>
                <w:sz w:val="20"/>
                <w:szCs w:val="20"/>
                <w:color w:val="auto"/>
              </w:rPr>
            </w:pPr>
            <w:r>
              <w:rPr>
                <w:rFonts w:ascii="Arial" w:cs="Arial" w:eastAsia="Arial" w:hAnsi="Arial"/>
                <w:sz w:val="14"/>
                <w:szCs w:val="14"/>
                <w:b w:val="1"/>
                <w:bCs w:val="1"/>
                <w:color w:val="auto"/>
              </w:rPr>
              <w:t>EBITDA</w:t>
            </w:r>
          </w:p>
        </w:tc>
        <w:tc>
          <w:tcPr>
            <w:tcW w:w="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122,786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148,885</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196,133</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53,529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58,850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140,775</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167,940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560"/>
        <w:spacing w:after="0"/>
        <w:rPr>
          <w:sz w:val="20"/>
          <w:szCs w:val="20"/>
          <w:color w:val="auto"/>
        </w:rPr>
      </w:pPr>
      <w:r>
        <w:rPr>
          <w:rFonts w:ascii="Arial" w:cs="Arial" w:eastAsia="Arial" w:hAnsi="Arial"/>
          <w:sz w:val="14"/>
          <w:szCs w:val="14"/>
          <w:b w:val="1"/>
          <w:bCs w:val="1"/>
          <w:i w:val="1"/>
          <w:iCs w:val="1"/>
          <w:color w:val="auto"/>
        </w:rPr>
        <w:t>Distributable Cash Flow</w:t>
      </w:r>
    </w:p>
    <w:p>
      <w:pPr>
        <w:spacing w:after="0" w:line="204" w:lineRule="exact"/>
        <w:rPr>
          <w:sz w:val="20"/>
          <w:szCs w:val="20"/>
          <w:color w:val="auto"/>
        </w:rPr>
      </w:pPr>
    </w:p>
    <w:p>
      <w:pPr>
        <w:ind w:left="1560"/>
        <w:spacing w:after="0" w:line="227" w:lineRule="auto"/>
        <w:rPr>
          <w:sz w:val="20"/>
          <w:szCs w:val="20"/>
          <w:color w:val="auto"/>
        </w:rPr>
      </w:pPr>
      <w:r>
        <w:rPr>
          <w:rFonts w:ascii="Arial" w:cs="Arial" w:eastAsia="Arial" w:hAnsi="Arial"/>
          <w:sz w:val="14"/>
          <w:szCs w:val="14"/>
          <w:color w:val="auto"/>
        </w:rPr>
        <w:t>Distributable cash flow means EBITDA, on the basis of the Partnership Performance Results, after considering financial costs for the period, including realized loss on derivatives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194" w:lineRule="exact"/>
        <w:rPr>
          <w:sz w:val="20"/>
          <w:szCs w:val="20"/>
          <w:color w:val="auto"/>
        </w:rPr>
      </w:pPr>
    </w:p>
    <w:p>
      <w:pPr>
        <w:ind w:left="1560" w:right="260"/>
        <w:spacing w:after="0" w:line="239" w:lineRule="auto"/>
        <w:rPr>
          <w:sz w:val="20"/>
          <w:szCs w:val="20"/>
          <w:color w:val="auto"/>
        </w:rPr>
      </w:pPr>
      <w:r>
        <w:rPr>
          <w:rFonts w:ascii="Arial" w:cs="Arial" w:eastAsia="Arial" w:hAnsi="Arial"/>
          <w:sz w:val="14"/>
          <w:szCs w:val="14"/>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193"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The table below reconciles Distributable cash flow and Cash distributions declared to EBITDA (Partnership Performance Results).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737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473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174"/>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Reconciliation of Distributable Cash Flow to EBITDA*:</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2"/>
        </w:trPr>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7"/>
              </w:rPr>
              <w:t>Partnership Performance Results</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7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4"/>
          </w:tcPr>
          <w:p>
            <w:pPr>
              <w:jc w:val="right"/>
              <w:ind w:right="400"/>
              <w:spacing w:after="0" w:line="129" w:lineRule="exact"/>
              <w:rPr>
                <w:sz w:val="20"/>
                <w:szCs w:val="20"/>
                <w:color w:val="auto"/>
              </w:rPr>
            </w:pPr>
            <w:r>
              <w:rPr>
                <w:rFonts w:ascii="Arial" w:cs="Arial" w:eastAsia="Arial" w:hAnsi="Arial"/>
                <w:sz w:val="14"/>
                <w:szCs w:val="14"/>
                <w:b w:val="1"/>
                <w:bCs w:val="1"/>
                <w:color w:val="auto"/>
              </w:rPr>
              <w:t>Three Months</w:t>
            </w:r>
          </w:p>
        </w:tc>
        <w:tc>
          <w:tcPr>
            <w:tcW w:w="1320" w:type="dxa"/>
            <w:vAlign w:val="bottom"/>
            <w:gridSpan w:val="3"/>
          </w:tcPr>
          <w:p>
            <w:pPr>
              <w:jc w:val="right"/>
              <w:ind w:right="232"/>
              <w:spacing w:after="0" w:line="129" w:lineRule="exact"/>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1"/>
                <w:szCs w:val="11"/>
                <w:color w:val="auto"/>
              </w:rPr>
            </w:pPr>
          </w:p>
        </w:tc>
      </w:tr>
      <w:tr>
        <w:trPr>
          <w:trHeight w:val="161"/>
        </w:trPr>
        <w:tc>
          <w:tcPr>
            <w:tcW w:w="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7"/>
              </w:rPr>
              <w:t>Ended September 30,</w:t>
            </w:r>
          </w:p>
        </w:tc>
        <w:tc>
          <w:tcPr>
            <w:tcW w:w="14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8"/>
              </w:rPr>
              <w:t>Ended September 30,</w:t>
            </w:r>
          </w:p>
        </w:tc>
      </w:tr>
      <w:tr>
        <w:trPr>
          <w:trHeight w:val="142"/>
        </w:trPr>
        <w:tc>
          <w:tcPr>
            <w:tcW w:w="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6"/>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(in thousands of U.S. dollars)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 (Partnership Performance Results)*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122,786</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148,885</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196,133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53,529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58,850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140,775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167,940</w:t>
            </w:r>
          </w:p>
        </w:tc>
        <w:tc>
          <w:tcPr>
            <w:tcW w:w="160" w:type="dxa"/>
            <w:vAlign w:val="bottom"/>
            <w:shd w:val="clear" w:color="auto" w:fill="CCEEFF"/>
          </w:tcPr>
          <w:p>
            <w:pPr>
              <w:spacing w:after="0"/>
              <w:rPr>
                <w:sz w:val="12"/>
                <w:szCs w:val="12"/>
                <w:color w:val="auto"/>
              </w:rPr>
            </w:pPr>
          </w:p>
        </w:tc>
      </w:tr>
      <w:tr>
        <w:trPr>
          <w:trHeight w:val="138"/>
        </w:trPr>
        <w:tc>
          <w:tcPr>
            <w:tcW w:w="780" w:type="dxa"/>
            <w:vAlign w:val="bottom"/>
          </w:tcPr>
          <w:p>
            <w:pPr>
              <w:spacing w:after="0"/>
              <w:rPr>
                <w:sz w:val="11"/>
                <w:szCs w:val="11"/>
                <w:color w:val="auto"/>
              </w:rPr>
            </w:pPr>
          </w:p>
        </w:tc>
        <w:tc>
          <w:tcPr>
            <w:tcW w:w="3020" w:type="dxa"/>
            <w:vAlign w:val="bottom"/>
            <w:gridSpan w:val="2"/>
          </w:tcPr>
          <w:p>
            <w:pPr>
              <w:spacing w:after="0" w:line="138" w:lineRule="exact"/>
              <w:rPr>
                <w:sz w:val="20"/>
                <w:szCs w:val="20"/>
                <w:color w:val="auto"/>
              </w:rPr>
            </w:pPr>
            <w:r>
              <w:rPr>
                <w:rFonts w:ascii="Arial" w:cs="Arial" w:eastAsia="Arial" w:hAnsi="Arial"/>
                <w:sz w:val="14"/>
                <w:szCs w:val="14"/>
                <w:color w:val="auto"/>
                <w:w w:val="93"/>
              </w:rPr>
              <w:t>Financial costs (excluding amortization of loan fees)</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780" w:type="dxa"/>
            <w:vAlign w:val="bottom"/>
          </w:tcPr>
          <w:p>
            <w:pPr>
              <w:spacing w:after="0"/>
              <w:rPr>
                <w:sz w:val="13"/>
                <w:szCs w:val="13"/>
                <w:color w:val="auto"/>
              </w:rPr>
            </w:pPr>
          </w:p>
        </w:tc>
        <w:tc>
          <w:tcPr>
            <w:tcW w:w="30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and realized loss on derivatives</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(19,484)</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(26,929)</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(41,722)</w:t>
            </w: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(11,380)</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(13,764)</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(29,390)</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(38,209)</w:t>
            </w:r>
          </w:p>
        </w:tc>
      </w:tr>
      <w:tr>
        <w:trPr>
          <w:trHeight w:val="149"/>
        </w:trPr>
        <w:tc>
          <w:tcPr>
            <w:tcW w:w="78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Dry-docking capital reserve</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(8,338)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(8,829)</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(12,234)</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(3,240)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(3,523)</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(8,793)</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(10,215)</w:t>
            </w:r>
          </w:p>
        </w:tc>
      </w:tr>
      <w:tr>
        <w:trPr>
          <w:trHeight w:val="149"/>
        </w:trPr>
        <w:tc>
          <w:tcPr>
            <w:tcW w:w="78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Replacement capital reserve</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(22,710)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(29,467)</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(33,877)</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(8,942)</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(8,939)</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(24,326)</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(26,020)</w:t>
            </w:r>
          </w:p>
        </w:tc>
      </w:tr>
      <w:tr>
        <w:trPr>
          <w:trHeight w:val="149"/>
        </w:trPr>
        <w:tc>
          <w:tcPr>
            <w:tcW w:w="78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preferred equity distribution</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(7,749)</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(5,457)</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(4,649)</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(15,952)</w:t>
            </w:r>
          </w:p>
        </w:tc>
      </w:tr>
      <w:tr>
        <w:trPr>
          <w:trHeight w:val="142"/>
        </w:trPr>
        <w:tc>
          <w:tcPr>
            <w:tcW w:w="380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rPr>
              <w:t>Distributable cash flow</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72,254</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83,660</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100,551</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26,867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27,167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73,617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77,544</w:t>
            </w:r>
          </w:p>
        </w:tc>
        <w:tc>
          <w:tcPr>
            <w:tcW w:w="160" w:type="dxa"/>
            <w:vAlign w:val="bottom"/>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30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Other reserves**</w:t>
            </w: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(16,067)</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(14,244)</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(14,207)</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(4,490)</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(1,509)</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(10,118)</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(3,342)</w:t>
            </w:r>
          </w:p>
        </w:tc>
      </w:tr>
      <w:tr>
        <w:trPr>
          <w:trHeight w:val="142"/>
        </w:trPr>
        <w:tc>
          <w:tcPr>
            <w:tcW w:w="380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rPr>
              <w:t>Cash distributions***</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56,187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69,416</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86,344</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22,377</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25,658</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63,499</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74,202</w:t>
            </w:r>
          </w:p>
        </w:tc>
        <w:tc>
          <w:tcPr>
            <w:tcW w:w="16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780" w:type="dxa"/>
            <w:vAlign w:val="bottom"/>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100" w:hanging="545"/>
        <w:spacing w:after="0"/>
        <w:tabs>
          <w:tab w:leader="none" w:pos="21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reconciliation of Profit to EBITDA on the basis of Partnership Performance Results is presented in Note 5 above.</w:t>
      </w:r>
    </w:p>
    <w:p>
      <w:pPr>
        <w:spacing w:after="0" w:line="123" w:lineRule="exact"/>
        <w:rPr>
          <w:sz w:val="20"/>
          <w:szCs w:val="20"/>
          <w:color w:val="auto"/>
        </w:rPr>
      </w:pPr>
    </w:p>
    <w:p>
      <w:pPr>
        <w:ind w:left="2100" w:right="160" w:hanging="545"/>
        <w:spacing w:after="0" w:line="318" w:lineRule="auto"/>
        <w:tabs>
          <w:tab w:leader="none" w:pos="2100" w:val="left"/>
        </w:tabs>
        <w:numPr>
          <w:ilvl w:val="1"/>
          <w:numId w:val="13"/>
        </w:numPr>
        <w:rPr>
          <w:rFonts w:ascii="Arial" w:cs="Arial" w:eastAsia="Arial" w:hAnsi="Arial"/>
          <w:sz w:val="12"/>
          <w:szCs w:val="12"/>
          <w:color w:val="auto"/>
        </w:rPr>
      </w:pPr>
      <w:r>
        <w:rPr>
          <w:rFonts w:ascii="Arial" w:cs="Arial" w:eastAsia="Arial" w:hAnsi="Arial"/>
          <w:sz w:val="12"/>
          <w:szCs w:val="12"/>
          <w:color w:val="auto"/>
        </w:rPr>
        <w:t>Refers to movements in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66" w:lineRule="exact"/>
        <w:rPr>
          <w:rFonts w:ascii="Arial" w:cs="Arial" w:eastAsia="Arial" w:hAnsi="Arial"/>
          <w:sz w:val="12"/>
          <w:szCs w:val="12"/>
          <w:color w:val="auto"/>
        </w:rPr>
      </w:pPr>
    </w:p>
    <w:p>
      <w:pPr>
        <w:ind w:left="2100" w:hanging="545"/>
        <w:spacing w:after="0"/>
        <w:tabs>
          <w:tab w:leader="none" w:pos="2100" w:val="left"/>
        </w:tabs>
        <w:numPr>
          <w:ilvl w:val="1"/>
          <w:numId w:val="14"/>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ind w:left="780" w:right="320" w:hanging="538"/>
        <w:spacing w:after="0" w:line="233" w:lineRule="auto"/>
        <w:tabs>
          <w:tab w:leader="none" w:pos="7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and paid in February 2016, in respect of the fourth quarter of 2015. Cash distribution paid includes $8.8 million dividend due to GasLog which was declared in 2014 and excludes $7.8 million dividend due to GasLog which was declared in 2015, in both cases prior to the contribution of the relevant vessels to the Partnership.</w:t>
      </w:r>
    </w:p>
    <w:p>
      <w:pPr>
        <w:spacing w:after="0" w:line="111" w:lineRule="exact"/>
        <w:rPr>
          <w:rFonts w:ascii="Arial" w:cs="Arial" w:eastAsia="Arial" w:hAnsi="Arial"/>
          <w:sz w:val="11"/>
          <w:szCs w:val="11"/>
          <w:color w:val="auto"/>
        </w:rPr>
      </w:pPr>
    </w:p>
    <w:p>
      <w:pPr>
        <w:ind w:left="780" w:hanging="538"/>
        <w:spacing w:after="0"/>
        <w:tabs>
          <w:tab w:leader="none" w:pos="7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Does not reflect a distribution of $19.6 million declared in January 2017 and paid in February 2017, in respect of the fourth quarter of 2016.</w:t>
      </w:r>
    </w:p>
    <w:p>
      <w:pPr>
        <w:spacing w:after="0" w:line="122" w:lineRule="exact"/>
        <w:rPr>
          <w:rFonts w:ascii="Arial" w:cs="Arial" w:eastAsia="Arial" w:hAnsi="Arial"/>
          <w:sz w:val="11"/>
          <w:szCs w:val="11"/>
          <w:color w:val="auto"/>
        </w:rPr>
      </w:pPr>
    </w:p>
    <w:p>
      <w:pPr>
        <w:ind w:left="780" w:right="540" w:hanging="538"/>
        <w:spacing w:after="0" w:line="239" w:lineRule="auto"/>
        <w:tabs>
          <w:tab w:leader="none" w:pos="7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 xml:space="preserve">Cash distribution paid includes $7.8 million and $3.0 million of dividends due to GasLog which were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Solaris</w:t>
      </w:r>
      <w:r>
        <w:rPr>
          <w:rFonts w:ascii="Arial" w:cs="Arial" w:eastAsia="Arial" w:hAnsi="Arial"/>
          <w:sz w:val="14"/>
          <w:szCs w:val="14"/>
          <w:color w:val="auto"/>
        </w:rPr>
        <w:t>, respectively to the Partnership.</w:t>
      </w:r>
    </w:p>
    <w:p>
      <w:pPr>
        <w:spacing w:after="0" w:line="111" w:lineRule="exact"/>
        <w:rPr>
          <w:rFonts w:ascii="Arial" w:cs="Arial" w:eastAsia="Arial" w:hAnsi="Arial"/>
          <w:sz w:val="11"/>
          <w:szCs w:val="11"/>
          <w:color w:val="auto"/>
        </w:rPr>
      </w:pPr>
    </w:p>
    <w:p>
      <w:pPr>
        <w:ind w:left="780" w:hanging="538"/>
        <w:spacing w:after="0"/>
        <w:tabs>
          <w:tab w:leader="none" w:pos="7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Does not reflect a distribution of $22.8 million declared in January 2018 and paid in February 2018, in respect of the fourth quarter of 2017.</w:t>
      </w:r>
    </w:p>
    <w:p>
      <w:pPr>
        <w:spacing w:after="0" w:line="122" w:lineRule="exact"/>
        <w:rPr>
          <w:rFonts w:ascii="Arial" w:cs="Arial" w:eastAsia="Arial" w:hAnsi="Arial"/>
          <w:sz w:val="11"/>
          <w:szCs w:val="11"/>
          <w:color w:val="auto"/>
        </w:rPr>
      </w:pPr>
    </w:p>
    <w:p>
      <w:pPr>
        <w:ind w:left="780" w:hanging="538"/>
        <w:spacing w:after="0"/>
        <w:tabs>
          <w:tab w:leader="none" w:pos="7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Does not reflect a distribution of $22.4 million declared in October 2017 and paid in November 2017, in respect of the third quarter of 2017.</w:t>
      </w:r>
    </w:p>
    <w:p>
      <w:pPr>
        <w:spacing w:after="0" w:line="122" w:lineRule="exact"/>
        <w:rPr>
          <w:rFonts w:ascii="Arial" w:cs="Arial" w:eastAsia="Arial" w:hAnsi="Arial"/>
          <w:sz w:val="11"/>
          <w:szCs w:val="11"/>
          <w:color w:val="auto"/>
        </w:rPr>
      </w:pPr>
    </w:p>
    <w:p>
      <w:pPr>
        <w:jc w:val="both"/>
        <w:ind w:left="780" w:hanging="538"/>
        <w:spacing w:after="0" w:line="233" w:lineRule="auto"/>
        <w:tabs>
          <w:tab w:leader="none" w:pos="7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Does not reflect a distribution of $25.7 million declared in October 2018, in respect of the third quarter of 2018. The aggregate amount of the declared distribution was based on the number of units issued and outstanding as of September 30, 2018, after giving effect to the issuances of common units through October 9, 2018 and corresponding issuances of 3,188 general partner units to GasLog (in order for GasLog to retain its 2.0% general partner interest).</w:t>
      </w:r>
    </w:p>
    <w:p>
      <w:pPr>
        <w:spacing w:after="0" w:line="111" w:lineRule="exact"/>
        <w:rPr>
          <w:rFonts w:ascii="Arial" w:cs="Arial" w:eastAsia="Arial" w:hAnsi="Arial"/>
          <w:sz w:val="11"/>
          <w:szCs w:val="11"/>
          <w:color w:val="auto"/>
        </w:rPr>
      </w:pPr>
    </w:p>
    <w:p>
      <w:pPr>
        <w:ind w:left="780" w:hanging="538"/>
        <w:spacing w:after="0"/>
        <w:tabs>
          <w:tab w:leader="none" w:pos="7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and paid in February 2016, in respect of the fourth quarter of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Any investment in our Series C Preference Units involves a high degree of risk. Before investing in our Series C Preference Units, you should carefully consider the risk factors set forth below and the important factors set forth under the heading "Risk Factors" starting on page 7 of our Annual Report on Form 20-F, which was filed with the SEC on February 12, 2018 and incorporated herein by reference. For further details, see the sections entitled "Where You Can Find Additional Information" and "Incorporation of Certain Information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Series C Preference Units</w:t>
      </w:r>
    </w:p>
    <w:p>
      <w:pPr>
        <w:spacing w:after="0" w:line="23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b w:val="1"/>
          <w:bCs w:val="1"/>
          <w:i w:val="1"/>
          <w:iCs w:val="1"/>
          <w:color w:val="auto"/>
        </w:rPr>
        <w:t>We may not have sufficient cash from operations following the establishment of cash reserves and payment of fees and expenses to pay distributions on or to redeem our Series C Preference Units.</w:t>
      </w:r>
    </w:p>
    <w:p>
      <w:pPr>
        <w:spacing w:after="0" w:line="186"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Our board of directors makes determinations regarding the payment of distributions in its sole discretion and in accordance with our Partnership Agreement and applicable law, and there is no guarantee that we make distributions to our unitholders in the future. Although distributions on the Series C Preference Units are cumulative, our board of directors must declare the actual payment of those distributions. We may not have sufficient cash available each quarter to pay distributions, and our board of directors can elect at any time or from time to time, for an indefinite duration, not to pay any or all accumulated distributions. In addition, while we have no obligation to redeem our Series C Preference Units, we may have insufficient cash available to redeem our Series C Preference Units at a time when it would otherwise be beneficial for us to do so. The amount of cash we can distribute on our units principally depends upon the amount of cash we generate from our operations, which may fluctuate from quarter to quarter based on the risks described in this section, including, among other things:</w:t>
      </w:r>
    </w:p>
    <w:p>
      <w:pPr>
        <w:spacing w:after="0" w:line="17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rates we obtain from our charters;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expiration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charterers' options to terminate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off-hire days for our fleet and the timing of, and number of days required for, dry-docking of vessels;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our operating costs, such as the cost of crews, vessel maintenance and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of LNG carriers;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 and</w:t>
      </w:r>
    </w:p>
    <w:p>
      <w:pPr>
        <w:spacing w:after="0" w:line="252" w:lineRule="exact"/>
        <w:rPr>
          <w:rFonts w:ascii="Arial" w:cs="Arial" w:eastAsia="Arial" w:hAnsi="Arial"/>
          <w:sz w:val="18"/>
          <w:szCs w:val="18"/>
          <w:color w:val="auto"/>
        </w:rPr>
      </w:pPr>
    </w:p>
    <w:p>
      <w:pPr>
        <w:ind w:left="540" w:right="1640" w:firstLine="8"/>
        <w:spacing w:after="0" w:line="563"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effect of governmental regulations and maritime self-regulatory organization standards on the conduct of our business. In addition, the actual amount of cash available for distribution will depend on other factors, including:</w:t>
      </w:r>
    </w:p>
    <w:p>
      <w:pPr>
        <w:spacing w:after="0" w:line="14"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capital expenditures we make, including for maintaining or replacing vessels and complying with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debt service requirements, including fluctuations in interest rates, and restrictions on distributions contained in our debt instruments;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level of debt we will incur to fund future acquisitions, including if we exercise our options to purchase any additional vessels from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make, and the level of, working capital borrowings; and</w:t>
      </w:r>
    </w:p>
    <w:p>
      <w:pPr>
        <w:spacing w:after="0" w:line="252"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194" w:lineRule="exact"/>
        <w:rPr>
          <w:sz w:val="20"/>
          <w:szCs w:val="20"/>
          <w:color w:val="auto"/>
        </w:rPr>
      </w:pPr>
    </w:p>
    <w:p>
      <w:pPr>
        <w:ind w:right="40" w:firstLine="395"/>
        <w:spacing w:after="0" w:line="332" w:lineRule="auto"/>
        <w:rPr>
          <w:sz w:val="20"/>
          <w:szCs w:val="20"/>
          <w:color w:val="auto"/>
        </w:rPr>
      </w:pPr>
      <w:r>
        <w:rPr>
          <w:rFonts w:ascii="Arial" w:cs="Arial" w:eastAsia="Arial" w:hAnsi="Arial"/>
          <w:sz w:val="16"/>
          <w:szCs w:val="16"/>
          <w:b w:val="1"/>
          <w:bCs w:val="1"/>
          <w:i w:val="1"/>
          <w:iCs w:val="1"/>
          <w:color w:val="auto"/>
        </w:rPr>
        <w:t>We distribute all of our available cash to our limited partners and are not required to accumulate cash for the purpose of meeting our future obligations to holders of the Series C Preference Units, which may limit the cash available to make distributions on the Series C Preference Units.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Subject to the limitations in our Partnership Agreement, we distribute all of our available cash each quarter to our limited partners. "Available cash" is defined in our Partnership Agreement, and it generally means, for each fiscal quarter, all cash on hand at the end of the quarter (including our proportionate share of cash on hand of certain subsidiaries we do not wholly own):</w:t>
      </w:r>
    </w:p>
    <w:p>
      <w:pPr>
        <w:spacing w:after="0" w:line="208" w:lineRule="exact"/>
        <w:rPr>
          <w:sz w:val="20"/>
          <w:szCs w:val="20"/>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the amount of cash reserves (including our proportionate share of cash reserves of certain subsidiaries we do not wholly own) established by the board of directors to:</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comply with applicable law, any debt instruments, or other agreements;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provide funds for payments to holders of Series A Preference Units, Series B Preference Units and Series C Preference Units; or</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provide funds for distributions to our limited partners and to our general partner for any one or more of the next four quarters;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97"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As a result, we do not expect to accumulate significant amounts of cash. Depending on the timing and amount of our cash distributions, these distributions could significantly reduce the cash available to us in subsequent periods to make payments on the Series C Preference Units.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C Preference Units represent perpetual equity interests.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The Series C Preference Units represent perpetual equity interests in us and, unlike our indebtedness, will not give rise to a claim for payment of a principal amount at a particular date. As a result, holders of the Series C Preference Units may be required to bear the financial risks of an investment in the Series C Preference Units for an indefinite period of time. In addition, the Series C Preference Units will rank junior to all our indebtedness and other liabilities, and any other senior securities we may issue in the future with respect to assets available to satisfy claims against us. The Series C Preference Units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our existing Series A Preference Units and Series B Preference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395"/>
        <w:spacing w:after="0" w:line="259" w:lineRule="auto"/>
        <w:rPr>
          <w:sz w:val="20"/>
          <w:szCs w:val="20"/>
          <w:color w:val="auto"/>
        </w:rPr>
      </w:pPr>
      <w:r>
        <w:rPr>
          <w:rFonts w:ascii="Arial" w:cs="Arial" w:eastAsia="Arial" w:hAnsi="Arial"/>
          <w:sz w:val="18"/>
          <w:szCs w:val="18"/>
          <w:b w:val="1"/>
          <w:bCs w:val="1"/>
          <w:i w:val="1"/>
          <w:iCs w:val="1"/>
          <w:color w:val="auto"/>
        </w:rPr>
        <w:t>The Series C Preference Units are a new issuance and do not have an established trading market, which may negatively affect their market value and your ability to transfer or sell your units. In addition, the lack of a fixed redemption date for the Series C Preference Units will increase your reliance on the secondary market for liquidity purposes.</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Series C Preference Units are a new issue of securities with no established trading market. In addition, since the securities have no stated maturity date, investors seeking liquidity will be limited to selling their units in the secondary market absent redemption by us. We intend to apply to list the Series C Preference Units on the NYSE, but there can be no assurance that the NYSE will accept the Series C Preference Units for listing. Even if the Series C Preference Units are approved for listing by the NYSE, an active trading market on the NYSE for the units may not develop or, even if it develops, may not last, in which case the trading price of the Series C Preference Units could be adversely affected and your ability to transfer your units will be limited. Furthermore, trading in the securities may be negatively affected by the fact that only a small number of Series C Preference Units will be issued. If an active trading market does develop on the NYSE, our Series C Preference Units may trade at prices lower than the offering price. The trading price of our Series C Preference Units will depend on many factors, including:</w:t>
      </w:r>
    </w:p>
    <w:p>
      <w:pPr>
        <w:spacing w:after="0" w:line="186"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subsequent issuance of debt or preferred equity securities;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have been advised by the underwriters that they intend to make a market in our Series C Preference Units pending any listing of the units on the NYSE, but they are not obligated to do so and may discontinue market-making at any time without notice.</w:t>
      </w:r>
    </w:p>
    <w:p>
      <w:pPr>
        <w:spacing w:after="0" w:line="186" w:lineRule="exact"/>
        <w:rPr>
          <w:sz w:val="20"/>
          <w:szCs w:val="20"/>
          <w:color w:val="auto"/>
        </w:rPr>
      </w:pPr>
    </w:p>
    <w:p>
      <w:pPr>
        <w:ind w:right="320" w:firstLine="395"/>
        <w:spacing w:after="0" w:line="268" w:lineRule="auto"/>
        <w:rPr>
          <w:sz w:val="20"/>
          <w:szCs w:val="20"/>
          <w:color w:val="auto"/>
        </w:rPr>
      </w:pPr>
      <w:r>
        <w:rPr>
          <w:rFonts w:ascii="Arial" w:cs="Arial" w:eastAsia="Arial" w:hAnsi="Arial"/>
          <w:sz w:val="18"/>
          <w:szCs w:val="18"/>
          <w:b w:val="1"/>
          <w:bCs w:val="1"/>
          <w:i w:val="1"/>
          <w:iCs w:val="1"/>
          <w:color w:val="auto"/>
        </w:rPr>
        <w:t>The Series C Preference Units have not been rated, and ratings of any other of our securities may affect the trading price of the Series C Preference Units.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not sought to obtain a rating for the Series C Preference Units, and the units may never be rated. It is possible, however, that one or more rating agencies might independently determine to assign a rating to the Series C Preference Units or that we may elect to obtain a rating of our Series C Preference Units in the future. In addition, we may elect to issue other securities for which we may seek to obtain a rating. If any ratings are assigned to the Series C Preference Units in the future or if we issue other securities with a rating, such ratings, if they are lower than market expectations or are subsequently lowered or withdrawn, or if ratings for such other securities would imply a lower relative value for the Series C Preference Units, could adversely affect the market for, or the market value of, the Series C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Series C Preference Units. Ratings do not reflect market prices or suitability of a security for a particular investor and any future rating of the Series C Preference Units may not reflect all risks related to us and our business, or the structure or market value of the Series C Preference Units.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firstLine="395"/>
        <w:spacing w:after="0" w:line="259" w:lineRule="auto"/>
        <w:rPr>
          <w:sz w:val="20"/>
          <w:szCs w:val="20"/>
          <w:color w:val="auto"/>
        </w:rPr>
      </w:pPr>
      <w:r>
        <w:rPr>
          <w:rFonts w:ascii="Arial" w:cs="Arial" w:eastAsia="Arial" w:hAnsi="Arial"/>
          <w:sz w:val="18"/>
          <w:szCs w:val="18"/>
          <w:b w:val="1"/>
          <w:bCs w:val="1"/>
          <w:i w:val="1"/>
          <w:iCs w:val="1"/>
          <w:color w:val="auto"/>
        </w:rPr>
        <w:t>Our Series C Preference Units are subordinated to our debt obligations and pari passu with our Series A Preference Units and Series B Preference Units, and your interests could be diluted by the issuance of additional limited partnership interests, including additional Series A, Series B and Series C Preference Units, and by other transactions.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Series C Preference Units are subordinated to all of our existing and future indebtedness. As of September 30, 2018, we had an aggregate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$1,156.6 million of indebtedness outstanding and we had unused availability under our revolving credit facilities of $55.9 million. The payment of principal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on our debt reduces cash available for distribution on our limited partner interests, including our Series C Preference Units. Our existing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restricts, and our future indebtedness may include restrictions on, our ability to pay distributions to unitholders.</w:t>
      </w:r>
    </w:p>
    <w:p>
      <w:pPr>
        <w:spacing w:after="0" w:line="21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issuance of additional limited partnership interests on a parity with or senior to our Series C Preference Units would dilute the interests of the holders of our Series C Preference Units, and any issuance of limited partnership interests senior to or on a parity with our Series C Preference Units or of additional indebtedness could affect our ability to pay distributions on, redeem or pay the liquidation preference on our Series C Preference Units. No provisions relating to our Series C Preference Units protect the holders of our Series C Preference Units in the event of a highly leveraged or other transaction, including a merger or the sale, lease or conveyance of all or substantially all our assets or business, which might adversely affect the holders of our Series C Preference Units.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C Preference Units will rank junior to any Senior Securities and pari passu with any Parity Securities.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Our Series C Preference Units will rank junior to any Senior Securities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Parity Securities, which includes our existing Series A Preference Units, Series B Preference Units and any other class or series of limited partner interests or other equity securities established after the original issue date of the Series C Preference Units that is not expressly subordinated or senior to the Series C Preference Units as to the payment of distributions and amounts payable upon liquidation, dissolution or winding up, whether voluntary or involuntary. If less than all distributions payable with respect to the Series C Preference Units and any Parity Securities are paid, any partial payment shall be made pro rata with respect to Series C Preference Units and any Parity Securities entitled to a distribution payment at such time in proportion to the aggregate amounts remaining due in respect of such units at such time.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Market interest rates may adversely affect the value of our Series C Preference Units.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One of the factors that will influence the price of our Series C Preference Units will be the distribution yield on the Series C Preference Units (as a percentage of the price of our Series C Preference Units) relative to market interest rates. An increase in market interest rates may lead prospective purchasers of our Series C Preference Units to expect a higher distribution yield, and higher interest rates would likely increase our borrowing costs and potentially decrease funds available for distribution. Accordingly, higher market interest rates could cause the market price of our Series C Preference Units to decrease.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As a holder of Series C Preference Units, you have extremely limited voting rights.</w:t>
      </w:r>
    </w:p>
    <w:p>
      <w:pPr>
        <w:spacing w:after="0" w:line="225"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Your voting rights as a holder of Series C Preference Units will be extremely limited. Holders of the Series C Preference Units generally have no voting rights. However, if and whenever distributions payable on the Series C Preference Units are in arrears for six or more quarterly periods, whether or not consecutive, holders of Series C Preference Units (voting together as a class with all other classes or series of Parity Securities upon which like voting rights have been conferred and are exercisable, including holders of our Series A Preference Units and Series B Preference Units) will be entitled to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C Preference Units voted as a class for the election of such director). The right of such holders of Series C Preference Units to elect a member of our board of directors will continue until such time as all accumulated and unpaid distributions on the Series C Preference Units have been paid in full. Certain other limited protective voting rights are described in this prospectus under "Description of Series C Preference Units— Voting Rights".</w:t>
      </w:r>
    </w:p>
    <w:p>
      <w:pPr>
        <w:spacing w:after="0" w:line="198" w:lineRule="exact"/>
        <w:rPr>
          <w:sz w:val="20"/>
          <w:szCs w:val="20"/>
          <w:color w:val="auto"/>
        </w:rPr>
      </w:pPr>
    </w:p>
    <w:p>
      <w:pPr>
        <w:ind w:right="140" w:firstLine="395"/>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The amount of your liquidation preference is fixed and you will have no right to receive any greater payment regardless of the circumstances.</w:t>
      </w:r>
    </w:p>
    <w:p>
      <w:pPr>
        <w:spacing w:after="0" w:line="24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payment due upon a liquidation is fixed at the redemption preference of $25.00 per unit plus accumulated and unpaid distributions to the date of liquidation. If, in the case of our liquidation, there are remaining assets to be distributed after payment of this amount, you will have no right to receive or to participate in these amounts. Furthermore, if the market price for your Series C Preference Units is greater than the liquidation preference, you will have no right to receive the market price from us upon our liquidation.</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Series C Preference Units are redeemable at our option.</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may, at our option, redeem all or, from time to time, part of the Series C Preference Units on or after March 15, 2024. If we redeem your Series C Preference Units, you will be entitled to receive a redemption price equal to $25.00 per unit plus accumulated and unpaid distributions to the date of redemption. It is likely that we would choose to exercise our optional redemption right only when prevailing interest rates have declined, which would adversely affect your ability to reinvest your proceeds from the redemption in a comparable investment with an equal or greater yield to the yield on the Series C Preference Units had the units of the Series C Preference Units not been redeemed. We may elect to exercise our partial redemption right on multiple occasions.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historical levels of three-month LIBOR are not an indication of the future levels of three-month LIBOR.</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From and including March 15, 2024, the distribution rate for the Series C Preference Units will be determined based on three-month LIBOR.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and you should not take the historical levels of three-month LIBOR as an indication of its future performance. Although the actual three-month LIBOR on 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Distribution Payment Date or at other times during a Distribution Period (as defined herein) may be higher than the three-month LIBOR on the applicable Distribution Determination Date (as defined herein), you will not benefit from the three-month LIBOR at any time other than on the Distribution Determination Date for such Distribution Period. As a result, changes in the three-month LIBOR may not result in a comparable change in the market value of the Series C Preference Units on or after March 15, 2024.</w:t>
      </w:r>
    </w:p>
    <w:p>
      <w:pPr>
        <w:spacing w:after="0" w:line="197" w:lineRule="exact"/>
        <w:rPr>
          <w:sz w:val="20"/>
          <w:szCs w:val="20"/>
          <w:color w:val="auto"/>
        </w:rPr>
      </w:pPr>
    </w:p>
    <w:p>
      <w:pPr>
        <w:ind w:right="40" w:firstLine="395"/>
        <w:spacing w:after="0" w:line="259"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LIBOR calculation process and potential phasing out of LIBOR after 2021 may adversely affect the value of and return on the Series C Preference Units. If LIBOR is discontinued, distributions on the Series C Preference Units during the Floating Rate Period may be calculated using another base rate.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Regulators and law enforcement agencies in the United Kingdom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July 27, 2017, the United Kingdom Financial Conduct Authority ("FCA"), which regulates LIBOR, announced that it intends to stop persuading or compelling banks to submit rates for the calculation of LIBOR to the administrator of LIBOR after 2021 ("FCA Announcement"). The FCA Announcement indicates that the continuation of LIBOR on the current basis is not guaranteed after 2021. It is not possible to predict the effect of the FCA Announcement, any changes in the methods pursuant to which LIBOR rates are determined and any other reforms to LIBOR that will be enacted in the United Kingdom and elsewhere, which may adversely affect the trading market for LIBOR based securities, including the Series C Preference Units, or result in the phasing out of LIBOR as a reference rate for securities. 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distribution payments during the Floating Rate Period would be affected and the value of the Series C Preference Units may be materially affected.</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Further, if a LIBOR rate is not available on a Distribution Determination Date during the Floating Rate Period, the terms of the Series C Preference Units will require alternative determination procedures which may result in distribution payments differing from expectations and could materially affect the value of the Series C Preference Units. If a published LIBOR rate is unavailable, the rate on the Series C Preference Units will be determined as set forth under "Description of Series C Preference Units—Distributions—Distribution 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addition to the following risk factors, you should read "Material U.S. Federal Income Tax Considerations" and "Non-United States Tax Considerations" for a more complete discussion of the expected material U.S. federal and non-U.S. income tax considerations relating to us and the ownership and disposition of our Series C Preference Units.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be subject to taxes, which will reduce our cash available for distribution to the holders of our Series C Preference Units.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Please see "Material United States Federal Income Tax Considerations" and "Non-United States Tax Considerations".</w:t>
      </w:r>
    </w:p>
    <w:p>
      <w:pPr>
        <w:spacing w:after="0" w:line="172" w:lineRule="exact"/>
        <w:rPr>
          <w:sz w:val="20"/>
          <w:szCs w:val="20"/>
          <w:color w:val="auto"/>
        </w:rPr>
      </w:pPr>
    </w:p>
    <w:p>
      <w:pPr>
        <w:ind w:right="400" w:firstLine="395"/>
        <w:spacing w:after="0" w:line="268"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under certain circumstances, which would have adverse U.S. federal income tax consequences to U.S. holders of our Series C Preference Units.</w:t>
      </w:r>
    </w:p>
    <w:p>
      <w:pPr>
        <w:spacing w:after="0" w:line="186"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Based on our past, current and projected methods of operation, and an opinion of our U.S. counsel, Cravath, Swaine &amp; Moore LLP, we believe that we were not a PFIC for any of our previous tax years and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any of our previous tax years or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18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Moreover, there are legal uncertainties involved in determining whether the income derived from time-chartering activities constitutes rental income or income derived from the performance of services. In </w:t>
      </w:r>
      <w:r>
        <w:rPr>
          <w:rFonts w:ascii="Arial" w:cs="Arial" w:eastAsia="Arial" w:hAnsi="Arial"/>
          <w:sz w:val="18"/>
          <w:szCs w:val="18"/>
          <w:i w:val="1"/>
          <w:iCs w:val="1"/>
          <w:color w:val="auto"/>
        </w:rPr>
        <w:t>Tidewater Inc. v. United States</w:t>
      </w:r>
      <w:r>
        <w:rPr>
          <w:rFonts w:ascii="Arial" w:cs="Arial" w:eastAsia="Arial" w:hAnsi="Arial"/>
          <w:sz w:val="18"/>
          <w:szCs w:val="18"/>
          <w:color w:val="auto"/>
        </w:rPr>
        <w:t>, 565 F.3d 299 (5th Cir. 2009), the United States Court of Appeals for the Fifth Circuit, or the "Fifth Circuit", held that income derived from certain time-chartering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should be treated as rental income rather than services income for purposes of a provision of the U.S. Internal Revenue Code of 1986, as amended, or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Arial" w:cs="Arial" w:eastAsia="Arial" w:hAnsi="Arial"/>
          <w:sz w:val="16"/>
          <w:szCs w:val="16"/>
          <w:i w:val="1"/>
          <w:iCs w:val="1"/>
          <w:color w:val="auto"/>
        </w:rPr>
        <w:t>Tidewater</w:t>
      </w:r>
      <w:r>
        <w:rPr>
          <w:rFonts w:ascii="Arial" w:cs="Arial" w:eastAsia="Arial" w:hAnsi="Arial"/>
          <w:sz w:val="16"/>
          <w:szCs w:val="16"/>
          <w:color w:val="auto"/>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holders would face adverse U.S. federal income tax consequences. See "Material U.S. Federal Income Tax Considerations—U.S. Federal Income Taxation of U.S. Holders—PFIC Status and Significant Tax Consequences" for a more detailed discussion of the U.S. federal income tax consequences to U.S. holders of our Series C Preference Units if we are treated as a PFIC.</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have to pay tax on U.S.-source income, which will reduce our cash flow.</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7"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We do not expect to qualify for an exemption from such U.S. federal income tax under a tax treaty nor do we expect to qualify for the exemption under Section 883 of the Code during the 2018 tax year, unless our general partner exercises the "GasLog option" described below. For 2017, the U.S. source gross transportation tax was $0.3 million. Due to greater LNG exports from the United States, that amount could grow in future tax years. For a more detailed discussion, see the section entitled "Material United States Federal Income Tax Considerations—U.S. Federal Income Taxation of Our Company".</w:t>
      </w:r>
    </w:p>
    <w:p>
      <w:pPr>
        <w:spacing w:after="0" w:line="167" w:lineRule="exact"/>
        <w:rPr>
          <w:sz w:val="20"/>
          <w:szCs w:val="20"/>
          <w:color w:val="auto"/>
        </w:rPr>
      </w:pPr>
    </w:p>
    <w:p>
      <w:pPr>
        <w:ind w:right="260" w:firstLine="395"/>
        <w:spacing w:after="0" w:line="259" w:lineRule="auto"/>
        <w:rPr>
          <w:sz w:val="20"/>
          <w:szCs w:val="20"/>
          <w:color w:val="auto"/>
        </w:rPr>
      </w:pPr>
      <w:r>
        <w:rPr>
          <w:rFonts w:ascii="Arial" w:cs="Arial" w:eastAsia="Arial" w:hAnsi="Arial"/>
          <w:sz w:val="18"/>
          <w:szCs w:val="18"/>
          <w:b w:val="1"/>
          <w:bCs w:val="1"/>
          <w:i w:val="1"/>
          <w:iCs w:val="1"/>
          <w:color w:val="auto"/>
        </w:rPr>
        <w:t>You may be subject to income tax in one or more non-U.S. jurisdictions as a result of owning our Series C Preference Units if, under the laws of any such jurisdiction, we are considered to be carrying on business there. Such laws may require you to file a tax return with, and pay taxes to, those jurisdictions.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holders may be treated as having a permanent establishment or tax presence in a jurisdiction where we or our subsidiaries conduct activities simply by virtue of their ownership of our Series C Preference Units. However, because we are organized as a partnership, there is a risk in some jurisdictions that our activities or the activities of our subsidiaries may rise to the level of a tax presence that is attributed to our holders for tax purposes. If you are attributed such a tax presence in a jurisdiction, you may be required to file a tax return with, and to pay tax in, that jurisdiction based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and Fiduciary Duties</w:t>
      </w:r>
    </w:p>
    <w:p>
      <w:pPr>
        <w:spacing w:after="0" w:line="231" w:lineRule="exact"/>
        <w:rPr>
          <w:sz w:val="20"/>
          <w:szCs w:val="20"/>
          <w:color w:val="auto"/>
        </w:rPr>
      </w:pPr>
    </w:p>
    <w:p>
      <w:pPr>
        <w:ind w:right="80" w:firstLine="395"/>
        <w:spacing w:after="0" w:line="370" w:lineRule="auto"/>
        <w:rPr>
          <w:sz w:val="20"/>
          <w:szCs w:val="20"/>
          <w:color w:val="auto"/>
        </w:rPr>
      </w:pPr>
      <w:r>
        <w:rPr>
          <w:rFonts w:ascii="Arial" w:cs="Arial" w:eastAsia="Arial" w:hAnsi="Arial"/>
          <w:sz w:val="15"/>
          <w:szCs w:val="15"/>
          <w:b w:val="1"/>
          <w:bCs w:val="1"/>
          <w:i w:val="1"/>
          <w:iCs w:val="1"/>
          <w:color w:val="auto"/>
        </w:rPr>
        <w:t>GasLog and our general partner own a controlling interest in us and have conflicts of interest and limited fiduciary and contractual duties to us, to our common unitholders and to holders of our Series C Preference Units, which may permit them to favor their own interests to your detriment.</w:t>
      </w:r>
    </w:p>
    <w:p>
      <w:pPr>
        <w:spacing w:after="0" w:line="11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GasLog currently holds a 27.5% interest (including the 2% interest through general partner units) in us, and owns and controls our general partner. Under the Partnership Agreement, our general partner has delegated to our board of directors the authority to oversee and direct our operations, management and policies on an exclusive basis, and such delegation will be binding on any successor general partner of the partnership. In addition, our general partner has the right to appoint four of seven,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These conflicts include, among others, the following situations:</w:t>
      </w:r>
    </w:p>
    <w:p>
      <w:pPr>
        <w:spacing w:after="0" w:line="186" w:lineRule="exact"/>
        <w:rPr>
          <w:sz w:val="20"/>
          <w:szCs w:val="20"/>
          <w:color w:val="auto"/>
        </w:rPr>
      </w:pPr>
    </w:p>
    <w:p>
      <w:pPr>
        <w:ind w:left="1080" w:right="2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221"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Partnership Agreement 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 Our general partner and our directors are entitled to make other decisions in "good faith" if they reasonably believe that the decision is in our best interests;</w:t>
      </w:r>
    </w:p>
    <w:p>
      <w:pPr>
        <w:spacing w:after="0" w:line="18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our Partnership Agreement, as permitted under Marshall Islands law, our general partner and our directors have limited fiduciary duties. The Partnership Agreement also restricts the remedies available to our unitholders; as a result of purchasing Series C Preference Units, unitholders are treated as having agreed to the modified standard of fiduciary duties and to certain actions that may be taken by our general partner and our directors, all as set forth in the Partnership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94"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Partnership Agreement 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w:t>
      </w:r>
    </w:p>
    <w:p>
      <w:pPr>
        <w:spacing w:after="0" w:line="196" w:lineRule="exact"/>
        <w:rPr>
          <w:rFonts w:ascii="Arial" w:cs="Arial" w:eastAsia="Arial" w:hAnsi="Arial"/>
          <w:sz w:val="16"/>
          <w:szCs w:val="16"/>
          <w:color w:val="auto"/>
        </w:rPr>
      </w:pPr>
    </w:p>
    <w:p>
      <w:pPr>
        <w:ind w:left="1080" w:right="60" w:hanging="532"/>
        <w:spacing w:after="0" w:line="335"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Partnership Agreement 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Even if our general partner relinquishes the power to elect one director to the common unitholders or holders of our Series A Preference Units, Series B Preference Units and Series C Preference Units gain the power to elect an additional director (as described in "The Offering—Voting Rights", above), our general partner will have substantial influence on decisions made by our board of directors. For further discussion, see "Item 7. Major Unitholders and Related Party Transactions—B. Related Party Transactions" in our Annual Report on Form 20-F. In order to become a limited partner of our partnership, a holder of our Series C Preference Units is required to agree to be bound by the provisions in the Partnership Agreement, including the provisions discussed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8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38"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75"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estimate that the net proceeds from this offering, after deducting underwriting discounts and estimated expenses payable by us, will be approximately $96,293,410 million ($110,820,910 million if the underwriter exercises its option to purchase additional units in full).</w:t>
      </w:r>
    </w:p>
    <w:p>
      <w:pPr>
        <w:spacing w:after="0" w:line="186"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plan to use the net proceeds from the sale of the preference units covered by this prospectus for general partnership purposes, which may include future acquisitions, debt repayment, capital expenditures and additions to working capital. We currently expect that this will include future acquisitions from GasLog.</w:t>
      </w:r>
    </w:p>
    <w:p>
      <w:pPr>
        <w:spacing w:after="0" w:line="11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 3. Key Information—D. Risk Factors— 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prepared in accordance with IFRS as issued by the International Accounting Standards Board.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vMerge w:val="restart"/>
          </w:tcPr>
          <w:p>
            <w:pPr>
              <w:jc w:val="right"/>
              <w:ind w:right="237"/>
              <w:spacing w:after="0"/>
              <w:rPr>
                <w:sz w:val="20"/>
                <w:szCs w:val="20"/>
                <w:color w:val="auto"/>
              </w:rPr>
            </w:pPr>
            <w:r>
              <w:rPr>
                <w:rFonts w:ascii="Arial" w:cs="Arial" w:eastAsia="Arial" w:hAnsi="Arial"/>
                <w:sz w:val="14"/>
                <w:szCs w:val="14"/>
                <w:b w:val="1"/>
                <w:bCs w:val="1"/>
                <w:color w:val="auto"/>
              </w:rPr>
              <w:t>Year Ended December 31,</w:t>
            </w:r>
            <w:r>
              <w:rPr>
                <w:rFonts w:ascii="Arial" w:cs="Arial" w:eastAsia="Arial" w:hAnsi="Arial"/>
                <w:sz w:val="22"/>
                <w:szCs w:val="22"/>
                <w:b w:val="1"/>
                <w:bCs w:val="1"/>
                <w:color w:val="auto"/>
                <w:vertAlign w:val="superscript"/>
              </w:rPr>
              <w:t>(1)</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16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gridSpan w:val="7"/>
          </w:tcPr>
          <w:p>
            <w:pPr>
              <w:jc w:val="right"/>
              <w:ind w:right="97"/>
              <w:spacing w:after="0" w:line="142" w:lineRule="exact"/>
              <w:rPr>
                <w:sz w:val="20"/>
                <w:szCs w:val="20"/>
                <w:color w:val="auto"/>
              </w:rPr>
            </w:pPr>
            <w:r>
              <w:rPr>
                <w:rFonts w:ascii="Arial" w:cs="Arial" w:eastAsia="Arial" w:hAnsi="Arial"/>
                <w:sz w:val="14"/>
                <w:szCs w:val="14"/>
                <w:b w:val="1"/>
                <w:bCs w:val="1"/>
                <w:color w:val="auto"/>
              </w:rPr>
              <w:t>(in thousands of U.S. dollars, except ratios)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Pre-tax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36,836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47,473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83,742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94,101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124,919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85,846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38,270</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35,221</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49,580</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58,352</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Amortization of deferred loan issuance costs</w:t>
            </w:r>
          </w:p>
        </w:tc>
        <w:tc>
          <w:tcPr>
            <w:tcW w:w="620" w:type="dxa"/>
            <w:vAlign w:val="bottom"/>
          </w:tcPr>
          <w:p>
            <w:pPr>
              <w:jc w:val="right"/>
              <w:spacing w:after="0"/>
              <w:rPr>
                <w:sz w:val="20"/>
                <w:szCs w:val="20"/>
                <w:color w:val="auto"/>
              </w:rPr>
            </w:pPr>
            <w:r>
              <w:rPr>
                <w:rFonts w:ascii="Arial" w:cs="Arial" w:eastAsia="Arial" w:hAnsi="Arial"/>
                <w:sz w:val="18"/>
                <w:szCs w:val="18"/>
                <w:color w:val="auto"/>
              </w:rPr>
              <w:t>1,748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13,172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4,398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Fixed charges before preference unit</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8"/>
                <w:szCs w:val="18"/>
                <w:color w:val="auto"/>
              </w:rPr>
              <w:t>Paid and accrued preference unit distributions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7,749</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Combined Fixed charges and preference unit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38,270</w:t>
            </w:r>
          </w:p>
        </w:tc>
        <w:tc>
          <w:tcPr>
            <w:tcW w:w="1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35,221</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66,101</w:t>
            </w:r>
          </w:p>
        </w:tc>
        <w:tc>
          <w:tcPr>
            <w:tcW w:w="1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line="27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9"/>
                <w:szCs w:val="29"/>
                <w:b w:val="1"/>
                <w:bCs w:val="1"/>
                <w:color w:val="auto"/>
                <w:vertAlign w:val="superscript"/>
              </w:rPr>
              <w:t>(2)</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gridSpan w:val="3"/>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3.97</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3.38</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3.14</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Ratio of Earnings to Fixed Charges and</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4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Preference Unit Distributions</w:t>
            </w:r>
            <w:r>
              <w:rPr>
                <w:rFonts w:ascii="Arial" w:cs="Arial" w:eastAsia="Arial" w:hAnsi="Arial"/>
                <w:sz w:val="29"/>
                <w:szCs w:val="29"/>
                <w:b w:val="1"/>
                <w:bCs w:val="1"/>
                <w:color w:val="auto"/>
                <w:vertAlign w:val="superscript"/>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00" w:hanging="531"/>
        <w:spacing w:after="0" w:line="278" w:lineRule="auto"/>
        <w:tabs>
          <w:tab w:leader="none" w:pos="1680" w:val="left"/>
        </w:tabs>
        <w:numPr>
          <w:ilvl w:val="0"/>
          <w:numId w:val="23"/>
        </w:numPr>
        <w:rPr>
          <w:rFonts w:ascii="Arial" w:cs="Arial" w:eastAsia="Arial" w:hAnsi="Arial"/>
          <w:sz w:val="10"/>
          <w:szCs w:val="10"/>
          <w:color w:val="auto"/>
        </w:rPr>
      </w:pPr>
      <w:r>
        <w:rPr>
          <w:rFonts w:ascii="Arial" w:cs="Arial" w:eastAsia="Arial" w:hAnsi="Arial"/>
          <w:sz w:val="12"/>
          <w:szCs w:val="12"/>
          <w:color w:val="auto"/>
        </w:rPr>
        <w:t>Restated so as to reflect the historical results of GAS-sixteen Ltd., GAS-seventeen Ltd., GAS-nineteen Ltd., GAS-twenty Ltd., GAS- twenty one Ltd., GAS-seven Ltd., GAS-eleven Ltd., GAS-thirteen Ltd., GAS-eight Ltd. and GAS-fourteen Ltd. from their respective dates of incorporation by GasLog. See Note 1 to the audited consolidated financial statements for the year ended December 31, 2017 on our Annual Report on Form 20-F filed on February 12, 2018, and Note 1 to the unaudited condensed consolidated financial statements for the three and nine months ended September 30, 2017 and 2018 on Form 6-K incorporated herein by reference.</w:t>
      </w:r>
    </w:p>
    <w:p>
      <w:pPr>
        <w:spacing w:after="0" w:line="89" w:lineRule="exact"/>
        <w:rPr>
          <w:rFonts w:ascii="Arial" w:cs="Arial" w:eastAsia="Arial" w:hAnsi="Arial"/>
          <w:sz w:val="10"/>
          <w:szCs w:val="10"/>
          <w:color w:val="auto"/>
        </w:rPr>
      </w:pPr>
    </w:p>
    <w:p>
      <w:pPr>
        <w:ind w:left="1680" w:hanging="531"/>
        <w:spacing w:after="0"/>
        <w:tabs>
          <w:tab w:leader="none" w:pos="1680" w:val="left"/>
        </w:tabs>
        <w:numPr>
          <w:ilvl w:val="0"/>
          <w:numId w:val="23"/>
        </w:numPr>
        <w:rPr>
          <w:rFonts w:ascii="Arial" w:cs="Arial" w:eastAsia="Arial" w:hAnsi="Arial"/>
          <w:sz w:val="11"/>
          <w:szCs w:val="11"/>
          <w:color w:val="auto"/>
        </w:rPr>
      </w:pPr>
      <w:r>
        <w:rPr>
          <w:rFonts w:ascii="Arial" w:cs="Arial" w:eastAsia="Arial" w:hAnsi="Arial"/>
          <w:sz w:val="14"/>
          <w:szCs w:val="14"/>
          <w:color w:val="auto"/>
        </w:rPr>
        <w:t>For purposes of calculating the ratios above:</w:t>
      </w:r>
    </w:p>
    <w:p>
      <w:pPr>
        <w:spacing w:after="0" w:line="338" w:lineRule="exact"/>
        <w:rPr>
          <w:rFonts w:ascii="Arial" w:cs="Arial" w:eastAsia="Arial" w:hAnsi="Arial"/>
          <w:sz w:val="11"/>
          <w:szCs w:val="11"/>
          <w:color w:val="auto"/>
        </w:rPr>
      </w:pPr>
    </w:p>
    <w:p>
      <w:pPr>
        <w:ind w:left="2220" w:right="300" w:hanging="531"/>
        <w:spacing w:after="0" w:line="239" w:lineRule="auto"/>
        <w:tabs>
          <w:tab w:leader="none" w:pos="22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111" w:lineRule="exact"/>
        <w:rPr>
          <w:rFonts w:ascii="Arial" w:cs="Arial" w:eastAsia="Arial" w:hAnsi="Arial"/>
          <w:sz w:val="14"/>
          <w:szCs w:val="14"/>
          <w:color w:val="auto"/>
        </w:rPr>
      </w:pPr>
    </w:p>
    <w:p>
      <w:pPr>
        <w:ind w:left="2220" w:hanging="531"/>
        <w:spacing w:after="0"/>
        <w:tabs>
          <w:tab w:leader="none" w:pos="22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"fixed charges" represent (i) interest incurred and (ii) amortization of capitalized expenses related to indebtedness;</w:t>
      </w:r>
    </w:p>
    <w:p>
      <w:pPr>
        <w:spacing w:after="0" w:line="122" w:lineRule="exact"/>
        <w:rPr>
          <w:rFonts w:ascii="Arial" w:cs="Arial" w:eastAsia="Arial" w:hAnsi="Arial"/>
          <w:sz w:val="14"/>
          <w:szCs w:val="14"/>
          <w:color w:val="auto"/>
        </w:rPr>
      </w:pPr>
    </w:p>
    <w:p>
      <w:pPr>
        <w:ind w:left="2220" w:right="60" w:hanging="531"/>
        <w:spacing w:after="0" w:line="273" w:lineRule="auto"/>
        <w:tabs>
          <w:tab w:leader="none" w:pos="2220" w:val="left"/>
        </w:tabs>
        <w:numPr>
          <w:ilvl w:val="1"/>
          <w:numId w:val="23"/>
        </w:numPr>
        <w:rPr>
          <w:rFonts w:ascii="Arial" w:cs="Arial" w:eastAsia="Arial" w:hAnsi="Arial"/>
          <w:sz w:val="12"/>
          <w:szCs w:val="12"/>
          <w:color w:val="auto"/>
        </w:rPr>
      </w:pPr>
      <w:r>
        <w:rPr>
          <w:rFonts w:ascii="Arial" w:cs="Arial" w:eastAsia="Arial" w:hAnsi="Arial"/>
          <w:sz w:val="12"/>
          <w:szCs w:val="12"/>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2013 to 2016, and the ratio of earnings to combined fixed charges and preference units is equivalent to the ratio of earnings to fixed charges for these years. As of September 30, 2018, we had 5,750,000 outstanding Series A Preference Units and 4,600,000 outstanding Series B Preference Units. The Series A Preference Units were issued on May 15, 2017 and the Series B Preference Units were issued January 17, 2018.</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 cash and cash equivalents and (b) consolidated capitalization as of September 30, 2018 on an:</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scheduled principal payments on our bank indebtedness totaling $10.21 million during the period from October 1, 2018 to November 7, 2018;</w:t>
      </w:r>
    </w:p>
    <w:p>
      <w:pPr>
        <w:spacing w:after="0" w:line="199" w:lineRule="exact"/>
        <w:rPr>
          <w:rFonts w:ascii="Arial" w:cs="Arial" w:eastAsia="Arial" w:hAnsi="Arial"/>
          <w:sz w:val="18"/>
          <w:szCs w:val="18"/>
          <w:color w:val="auto"/>
        </w:rPr>
      </w:pPr>
    </w:p>
    <w:p>
      <w:pPr>
        <w:ind w:left="1620" w:right="200" w:hanging="532"/>
        <w:spacing w:after="0" w:line="259"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issuance of 259,104 common units for net proceeds of $6.19 million and 5,288 general partner units for $0.13 million in connection with the Second Amended and Restated Equity Distribution Agreement subsequent to September 30, 2018, and through November 7, 2018;</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further adjusted basis, giving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issuance and sale of the Series C Preference Units (assuming the underwriters' option to purchase additional units is not exercised) at a public offering price of $25.00 per unit, resulting in net proceeds of approximately $96,293,410 (after deducting estimated offering expenses of $556,590).</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Other than these adjustments, there has been no material change in our capitalization from debt or equity issuances, re-capitalizations or special dividends between September 30, 2018, and the date of this prospectus supplement.</w:t>
      </w:r>
    </w:p>
    <w:p>
      <w:pPr>
        <w:spacing w:after="0" w:line="186"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This table is derived from and should be read together with the condensed consolidated financial statements of GasLog Partners LP and the accompanying notes incorporated herein by reference. You should also read this table in conjunction with "Management's Discussion and Analysis of Financial</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Condition and Results of Operations" in Exhibit 99.2 of the Report on Form 6-K as furnished to the SEC on October 25, 2018 and incorporated herein by reference.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left="555"/>
              <w:spacing w:after="0"/>
              <w:rPr>
                <w:sz w:val="20"/>
                <w:szCs w:val="20"/>
                <w:color w:val="auto"/>
              </w:rPr>
            </w:pPr>
            <w:r>
              <w:rPr>
                <w:rFonts w:ascii="Arial" w:cs="Arial" w:eastAsia="Arial" w:hAnsi="Arial"/>
                <w:sz w:val="14"/>
                <w:szCs w:val="14"/>
                <w:b w:val="1"/>
                <w:bCs w:val="1"/>
                <w:color w:val="auto"/>
                <w:w w:val="86"/>
              </w:rPr>
              <w:t>As of September 30, 2018</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90"/>
              </w:rPr>
              <w:t>As Further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6"/>
              </w:rPr>
              <w:t>Adjusted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Adjusted</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5"/>
          </w:tcPr>
          <w:p>
            <w:pPr>
              <w:jc w:val="center"/>
              <w:ind w:right="120"/>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168,753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164,863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261,156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CAPITALIZATION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Borrowings—non-current portion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1,071,568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1,071,568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1,071,568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1,156,601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1,146,392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1,146,392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1140"/>
              <w:spacing w:after="0"/>
              <w:rPr>
                <w:sz w:val="20"/>
                <w:szCs w:val="20"/>
                <w:color w:val="auto"/>
              </w:rPr>
            </w:pPr>
            <w:r>
              <w:rPr>
                <w:rFonts w:ascii="Arial" w:cs="Arial" w:eastAsia="Arial" w:hAnsi="Arial"/>
                <w:sz w:val="18"/>
                <w:szCs w:val="18"/>
                <w:color w:val="auto"/>
              </w:rPr>
              <w:t>Partners' Capital:</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unitholders: 45,189,889 units issued and outstanding as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September 30, 2018, and 45,448,993 units as adjusted and as further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840,606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846,798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846,798</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w w:val="92"/>
              </w:rPr>
              <w:t>General partner: 922,244 units issued and outstanding as of 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2018, and 927,532 units as adjusted and as further adjusted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13,373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Distribution Rights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w w:val="92"/>
              </w:rPr>
              <w:t>Preference unitholders: 5,750,000 Series A Preference Units and 4,600,000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w w:val="88"/>
              </w:rPr>
              <w:t>Series B Preference Units issued and outstanding as of September 30,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and as adjusted and as further adjusted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250,934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250,934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250,934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Series C Preference unitholders: No units issued and outstanding as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September 30, 2018 and as adjusted and 4,000,000 units issued and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further adjusted</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96,293</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20" w:type="dxa"/>
            <w:vAlign w:val="bottom"/>
            <w:gridSpan w:val="2"/>
          </w:tcPr>
          <w:p>
            <w:pPr>
              <w:ind w:left="1140"/>
              <w:spacing w:after="0"/>
              <w:rPr>
                <w:sz w:val="20"/>
                <w:szCs w:val="20"/>
                <w:color w:val="auto"/>
              </w:rPr>
            </w:pPr>
            <w:r>
              <w:rPr>
                <w:rFonts w:ascii="Arial" w:cs="Arial" w:eastAsia="Arial" w:hAnsi="Arial"/>
                <w:sz w:val="18"/>
                <w:szCs w:val="18"/>
                <w:color w:val="auto"/>
              </w:rPr>
              <w:t>Total Partners' 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1,111,076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1,117,395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1,213,688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2,267,677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2,263,787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2,360,080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vMerge w:val="restart"/>
          </w:tcPr>
          <w:p>
            <w:pPr>
              <w:ind w:left="4380"/>
              <w:spacing w:after="0"/>
              <w:rPr>
                <w:sz w:val="20"/>
                <w:szCs w:val="20"/>
                <w:color w:val="auto"/>
              </w:rPr>
            </w:pPr>
            <w:r>
              <w:rPr>
                <w:rFonts w:ascii="Arial" w:cs="Arial" w:eastAsia="Arial" w:hAnsi="Arial"/>
                <w:sz w:val="18"/>
                <w:szCs w:val="18"/>
                <w:color w:val="auto"/>
              </w:rPr>
              <w:t>S-39</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SERIES C PREFERENCE UNITS</w:t>
      </w:r>
    </w:p>
    <w:p>
      <w:pPr>
        <w:spacing w:after="0" w:line="231"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i w:val="1"/>
          <w:iCs w:val="1"/>
          <w:color w:val="auto"/>
        </w:rPr>
        <w:t>The following description of the Series C Preference Units does not purport to be complete and is subject to, and qualified in its entirety by reference to the provisions of our Fourth Amended and Restated Agreement of Limited Partnership (the "Partnership Agreement"), which is incorporated by reference into this prospectus, and sets forth the terms of the Series C Preference Units. A copy of the Partnership Agreement may be obtained from us as described under "Where You Can Find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Series C Preference Units offered hereby are a new series of preference units. Upon completion of this offering, there will be 4,000,000 Series C Preference Units issued and outstanding (or 4,600,000 Series C Preference Units issued and outstanding if the underwriters exercise in full their option to purchase additional units). We may, without notice to or consent of the holders of the then-outstanding Series C Preference Units, authorize and issue additional Series C Preference Units and Junior Securities (each as defined under "Summary—The Offering—Ranking") and, subject to the limitations described under "— Voting Rights", Senior Securities and Parity Securities (as defined under "Summary—The Offering—Ranking").</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holders of our common units are entitled to receive, to the extent permitted by law, such distributions as may from time to time be declared by our board of directors. Upon any liquidation, dissolution or winding up of our affairs, whether voluntary or involuntary, the holders of our common units are entitled to receive distributions of our assets, after we have satisfied or made provision for our debts and other obligations and for payment to the holders of any class or series of limited partner interests (including the Series C Preference Units) having preferential rights to receive distributions of our assets.</w:t>
      </w:r>
    </w:p>
    <w:p>
      <w:pPr>
        <w:spacing w:after="0" w:line="16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Series C Preference Units will entitle the holders thereof to receive cumulative cash distributions when, as and if declared by our board of directors out of legally available funds for such purpose. When issued and paid for in the manner described in this prospectus, the Series C Preference Units offered hereby will be fully paid and nonassessable. Each Series C Preference Unit will have a fixed liquidation preference of $25.00 per unit plus an amount equal to accumulated and unpaid distributions thereon to the date fixed for payment, whether or not declared. Please read "—Liquidation Rights".</w:t>
      </w:r>
    </w:p>
    <w:p>
      <w:pPr>
        <w:spacing w:after="0" w:line="16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Series C Preference Units will represent perpetual equity interests in us and, unlike our indebtedness, will not give rise to a claim for payment of a principal amount at a particular date. As such, the Series C Preference Units will rank junior to all of our indebtedness and other liabilities with respect to assets available to satisfy claims against us.</w:t>
      </w:r>
    </w:p>
    <w:p>
      <w:pPr>
        <w:spacing w:after="0" w:line="19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the Series C Preference Units offered hereby will be represented by a single certificate issued to the Securities Depository (as defined below) and registered in the name of its nominee and, so long as a Securities Depository has been appointed and is serving, no person acquiring Series C Preference Units will be entitled to receive a certificate representing such units unless applicable law otherwise requires or the Securities Depository resigns or is no longer eligible to act as such and a successor is not appointed. Please read "—Book-Entry System".</w:t>
      </w:r>
    </w:p>
    <w:p>
      <w:pPr>
        <w:spacing w:after="0" w:line="197"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Series C Preference Units will not be convertible into common units or other of our securities and will not have exchange rights or be entitled or subject to any preemptive or similar rights. The Series C Preference Units will not be subject to mandatory redemption or to any sinking fund requirements. The Series C Preference Units will be subject to redemption, in whole or in part, at our option commencing on March 15, 2024. Please read "—Redemption".</w:t>
      </w:r>
    </w:p>
    <w:p>
      <w:pPr>
        <w:spacing w:after="0" w:line="16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appointed American Stock Transfer &amp; Trust Company, LLC ("American Stock Transfer") as the paying agent, or Paying Agent, and the registrar and transfer agent, or the Registrar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for the Series C Preference Units. The address of American Stock Transfer is 6201 15th Avenue, Brooklyn, NY 11219.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Prior to this offering, we have established two other series of preference units.</w:t>
      </w:r>
    </w:p>
    <w:p>
      <w:pPr>
        <w:spacing w:after="0" w:line="239" w:lineRule="exact"/>
        <w:rPr>
          <w:sz w:val="20"/>
          <w:szCs w:val="20"/>
          <w:color w:val="auto"/>
        </w:rPr>
      </w:pPr>
    </w:p>
    <w:p>
      <w:pPr>
        <w:ind w:left="1080" w:right="2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September 30, 2018, a total of 5,750,000 units of our Series A Preference Units and 4,600,000 units of our Series B Preference Units were issued and outstanding.</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Series C Preference Units will, with respect to anticipated quarterly distributions and distributions upon the liquidation, winding-up and dissolution of our affairs, rank:</w:t>
      </w:r>
    </w:p>
    <w:p>
      <w:pPr>
        <w:spacing w:after="0" w:line="21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to the Junior Securities (including our common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 parity with the Parity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junior to the Senior Securities.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 xml:space="preserve">The Series C Preference Units will rank junior to all of our indebtedness and other liabilities with respect to assets available to satisfy claims against us, and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the Series A Preference Units and Series B Preference Units.</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Under the Partnership Agreement, we may issue Junior Securities from time to time in one or more series without the consent of the holders of the Series C Preference Units. Our board of directors has the authority to determine the preferences, powers, qualifications, limitations, restrictions and special or relative rights or privileges, if any, of any such series before the issuance of any units of that series. Our board of directors will also determine the number of units constituting each series of securities. Our ability to issue additional Parity Securities in certain circumstances or Senior Securities is limited as described under "—Voting 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holders of outstanding Series C Preference Units will be entitled, in the event of any liquidation, dissolution or winding up of our affairs, whether voluntary or involuntary,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 consolidation or merger of us with or into any other entity, individually or in a series of transactions, will not be deemed a liquidation, dissolution or winding up of our affairs for this purpose. In the event that our assets available for distribution to holders of the outstanding Series C Preference Units and any other Parity Securities are insufficient to permit payment of all required amounts, our assets then remaining will be distributed among the Series C Preference Units and any Parity Securities ratably on the basis of their relative aggregate liquidation preferences. After payment of all required amounts to the holders of the outstanding Series C Preference Units and other Parity Securities, our remaining assets and funds will be distributed among the holders of the common units and any other Junior Securities then outstanding according to their respective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Series C Preference Units will have no voting rights except as set forth below or as otherwise provided by Marshall Islands law. In the event that six quarterly distributions, whether or not consecutive, payable on the Series C Preference Units are in arrears, the holders of the Series C Preference Units will have the right, voting as a class together with holders of any other Parity Securities upon which like voting rights have been conferred and are exercisable, including holders of our Series A Preference Units and Series B Preference Units, to elect one member of our board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directors, and the size of our board of directors will be increased as needed to accommodate such change (unless the holders of Series C Preference Units and Parity Securities upon which like voting rights have been conferred, voting as a class, have previously elected a member of our board of directors, and such director continues then to serve on the board of directors). Distributions payable on the Series C Preference Units will be considered to be in arrears for any quarterly period for which full cumulative distributions through the most recent distribution payment date have not been paid on all outstanding Series C Preference Units. The right of such holders of Series C Preference Units to elect a member of our board of directors will continue until such time as all distributions accumulated and in arrears on the Series C Preference Units have been paid in full, or funds for the payment thereof have been declared and set aside, at which time such right will terminate, subject to revesting in the event of each and every subsequent failure to pay six quarterly distributions as described above. Upon any termination of the right of the holders of the Series C Preference Units and any other Parity Securities to vote as a class for such director, the term of office of such director then in office elected by such holders voting as a class will terminate immediately. Any director elected by the holders of the Series C Preference Units and any other Parity Securities shall each be entitled to one vote on any matter before our board of directors. Upon each election of a member of the board of directors by holders of Series C Preference Units as described herein, our general partner shall have the right to appoint an additional member of the board of directors, the term of such director to begin and end on the same dates as the corresponding director elected by the holders of the Series C Preference Units and Parity Securities.</w:t>
      </w:r>
    </w:p>
    <w:p>
      <w:pPr>
        <w:spacing w:after="0" w:line="175"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Unless we have received the affirmative vote or consent of the holders of at least two-thirds of the outstanding Series C Preference Units, voting as a single class, we may not adopt any amendment to the Partnership Agreement that has a material adverse effect on the existing terms of the Series C Preference Units.</w:t>
      </w:r>
    </w:p>
    <w:p>
      <w:pPr>
        <w:spacing w:after="0" w:line="11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addition, unless we have received the affirmative vote or consent of the holders of at least two-thirds of the outstanding Series C Preference Units, voting as a class together with holders of any other Parity Securities upon which like voting rights have been conferred and are exercisable (including our Series A Preference Units and Series B Preference Units), we may not:</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any Parity Securities if the cumulative distributions payable on outstanding Series C Preference Units are in arrears;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or issue any Senior Securities.</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On any matter described above in which the holders of the Series C Preference Units are entitled to vote as a class, such holders will be entitled to one vote per unit. The Series C Preference Units held by us or any of our subsidiaries or affiliates will not be entitled to vote. As of November 7, 2018, there were 5,750,000 units of Series A Preference Units and 4,600,000 Series B Preference Units outstanding. Accordingly, after the issuance of 4,000,000 units of Series C Preferences Units in this offering (assuming the underwriters do not exercise their option to purchase additional units), the Series C Preference Units will represent approximately 27.9% of the total voting power of the Series A Preferences Units, Series B Preference Units and the Series C Preferences Units for purposes of any vote in which the Series A Preference Units and Series B Preference Units vote together with the Series C Preference Units. Assuming that we issue 4,600,000 units of Series C Preference Units in this offering (assuming the underwriters exercise their option to purchase additional units in full), the Series C Preferences Units will represent approximately 30.8% of the total voting power of the Series A Preference Units, Series B Preference Units and the Series C Preference Units.</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Series C Preference Units held in nominee or street name account will be voted by the broker or other nominee in accordance with the instruction of the beneficial owner unless the arrangement between the beneficial owner and his nominee provides otherwise.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Holders of Series C Preference Units will be entitled to receive, when, as and if declared by our board of directors out of legally available funds for such purpose, cumulative cash distributions from and including November 15,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Rate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Distributions on Series C Preference Units will be cumulative, commencing on November 15, 2018, and payable on each Distribution Payment Date, commencing March 15, 2019, when, as and if declared by our board of directors or any authorized committee thereof out of legally available funds for such purpose. From and including the original issue date to, but excluding, March 15, 2024 (the "Fixed Rate Period"), distributions on the Series C Preference Units will accrue at a rate of 8.500% per annum per $25.00 stated liquidation preference per unit of Series C Preference Units. From and including March 15, 2024 (the "Floating Rate Period"), the distribution rate will be a floating rate equal to the Three Month LIBOR Rate (as defined below) plus a spread of 5.317% per annum per $25.00 stated liquidation preference per unit of Series C Preference Units.</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For each Distribution Period (as defined below) during the Floating Rate Period, the applicable distribution rate will be determined by the calculation agent as of the applicable Distribution Determination Date (as defined below). For purposes of determining the applicable distribution rate, LIBOR (the London interbank offered rate) ("Three-Month LIBOR Rate") will be determined by the calculation agent, as of the applicable Distribution Determination Date, in accordance with the following provisions:</w:t>
      </w:r>
    </w:p>
    <w:p>
      <w:pPr>
        <w:spacing w:after="0" w:line="211" w:lineRule="exact"/>
        <w:rPr>
          <w:sz w:val="20"/>
          <w:szCs w:val="20"/>
          <w:color w:val="auto"/>
        </w:rPr>
      </w:pPr>
    </w:p>
    <w:p>
      <w:pPr>
        <w:jc w:val="both"/>
        <w:ind w:left="1080" w:right="2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Three Month LIBOR Rate will be the rate (expressed as a percentage per year) for deposits in U.S. dollars having an index maturity of three months, in amounts of at least $1,000,000, as such rate appears on "Reuters Page LIBOR01" at approximately 11:00 a.m. (London time) on the relevant Distribution Determination Date; or</w:t>
      </w:r>
    </w:p>
    <w:p>
      <w:pPr>
        <w:spacing w:after="0" w:line="221" w:lineRule="exact"/>
        <w:rPr>
          <w:rFonts w:ascii="Arial" w:cs="Arial" w:eastAsia="Arial" w:hAnsi="Arial"/>
          <w:sz w:val="18"/>
          <w:szCs w:val="18"/>
          <w:color w:val="auto"/>
        </w:rPr>
      </w:pPr>
    </w:p>
    <w:p>
      <w:pPr>
        <w:ind w:left="1080" w:hanging="532"/>
        <w:spacing w:after="0" w:line="285"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no such rate appears on "Reuters Page LIBOR01" or if the "Reuters Page LIBOR01" is not available at approximately 11:00 a.m. (London time) on the relevant Distribution Determination Date, then the calculation agent, after consultation with us,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Distribution Period, to prime banks in the London interbank market at approximately 11:00 a.m. (London time) on that Distribution Determination Date for the applicable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Three-Month LIBOR Rate for such Distribution Period will be the arithmetic mean (rounded upward if necessary, to the nearest 0.00001 of 1%) of those quotations. If fewer than two quotations are provided, the Three-Month LIBOR Rate for such Distribution Period will be the arithmetic mean (rounded upward if necessary, to the nearest 0.00001 of 1%) of the rates quoted at approximately 11:00 a.m. (New York City time) on that Distribution Determination Date for such Distribution Period by three nationally-recognized banks in New York, New York selected by the calculation agent, for loans in U.S. dollars to nationally-recognized European banks (as selected by the calculation agent), for a period of three months commencing on the first day of such Distribution Period. The rates quoted must be based on an amount that, in the calculation agent's discretion, is representative of a single transaction in U.S. dollars in that market at that time. If fewer than three New York City banks selected by the calculation agent provide quote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306" w:lineRule="auto"/>
        <w:rPr>
          <w:sz w:val="20"/>
          <w:szCs w:val="20"/>
          <w:color w:val="auto"/>
        </w:rPr>
      </w:pPr>
      <w:r>
        <w:rPr>
          <w:rFonts w:ascii="Arial" w:cs="Arial" w:eastAsia="Arial" w:hAnsi="Arial"/>
          <w:sz w:val="16"/>
          <w:szCs w:val="16"/>
          <w:color w:val="auto"/>
        </w:rPr>
        <w:t>rates in the manner described above, the calculation agent, after consulting such sources as it deems comparable to any of the foregoing quotations or display page, or any such source as it deems reasonable from which to estimate the Three-Month LIBOR Rate or any of the foregoing lending rates, shall determine Three-Month LIBOR Rate for the applicable Distribution Period in its discretion, after consultation with us.</w:t>
      </w:r>
    </w:p>
    <w:p>
      <w:pPr>
        <w:spacing w:after="0" w:line="16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Notwithstanding the above, if the calculation agent determines on the relevant Distribution Determination Date that the LIBOR base rate has been discontinued, then the calculation agent will use a substitute or successor base rate that it has determined in its discretion, after consultation with us,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us, may determine what business day convention to use, the definition of business day, the Distribution Determination Date and any other relevant methodology for calculating such substitute or successor base rate in a manner that is consistent with industry-accepted practices for such substitute or successor base rate.</w:t>
      </w:r>
    </w:p>
    <w:p>
      <w:pPr>
        <w:spacing w:after="0" w:line="172"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will appoint a calculation agent for the Series C Preference Units prior to the commencement of the Floating Rate Period and will be entitled to remove or replace the calculation agent in our discretion. In addition, we or an affiliate of ours may assume the duties of the calculation agent.</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Determination Date</w:t>
      </w:r>
      <w:r>
        <w:rPr>
          <w:rFonts w:ascii="Arial" w:cs="Arial" w:eastAsia="Arial" w:hAnsi="Arial"/>
          <w:sz w:val="18"/>
          <w:szCs w:val="18"/>
          <w:color w:val="auto"/>
        </w:rPr>
        <w:t>" means the London Business Day (as defined below) immediately preceding the first date of the applicable Distribution Period.</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Period</w:t>
      </w:r>
      <w:r>
        <w:rPr>
          <w:rFonts w:ascii="Arial" w:cs="Arial" w:eastAsia="Arial" w:hAnsi="Arial"/>
          <w:sz w:val="18"/>
          <w:szCs w:val="18"/>
          <w:color w:val="auto"/>
        </w:rPr>
        <w:t>" means the quarterly period from, and including, a Distribution Payment Date to, but excluding, the next succeeding Distribution Payment Date, except for the initial Distribution Period, which will be the period from, and including, the original issue date of the Series C Preference Units to, but excluding, March 15, 2019.</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London Business Day</w:t>
      </w:r>
      <w:r>
        <w:rPr>
          <w:rFonts w:ascii="Arial" w:cs="Arial" w:eastAsia="Arial" w:hAnsi="Arial"/>
          <w:sz w:val="18"/>
          <w:szCs w:val="18"/>
          <w:color w:val="auto"/>
        </w:rPr>
        <w:t>" means any day on which dealings in deposits in U.S. dollars are transacted in the London interbank market.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Reuters Page LIBOR01</w:t>
      </w:r>
      <w:r>
        <w:rPr>
          <w:rFonts w:ascii="Arial" w:cs="Arial" w:eastAsia="Arial" w:hAnsi="Arial"/>
          <w:sz w:val="18"/>
          <w:szCs w:val="18"/>
          <w:color w:val="auto"/>
        </w:rPr>
        <w:t>" means the display so designated on the Reuters 3000 Xtra (or such other page as may replace the LIBOR01 page on that service, or such other service as may be nominated by the ICE Benchmark Administration Limited, or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Payment Dates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"Distribution Payment Dates" for the Series C Preference Units will be each March 15, June 15, September 15 and December 15, commencing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15, 2019. Distributions will accumulate in each distribution period from and including the preceding Distribution Payment Date or the initial issue date,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may be, to but excluding the applicable Distribution Payment Date for such distribution period, and distributions will accrue on accumulated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applicable distribution rate. If any Distribution Payment Date during the Fixed Rate Period otherwise would fall on a day that is not a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declared distributions will be paid on the immediately succeeding Business Day without the accumulation of additional distributions. If any Distribution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during the Floating Rate Period otherwise would fall on a day that is not a Business Day, then the Distribution Payment Date will be the next day that is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Day. Distributions payable on the Series C Preference Units for any Distribution Period during the Fixed Rate Period will be calculated based on a 360-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 year consisting of twelve 30-day months. Distributions payable on the Series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Preference Units for any Distribution Period during the Floating Rate Period will be calculated based on a 360-day year and the number of days actually elapsed during such Distribution Period.</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on which the NYSE is open for trading and which is not a Saturday, a Sunday or other day on which banks in New York City are authorized or required by law to close.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Distributions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 later than the close of business, New York City time, on each Distribution Payment Date, we will pay those distributions, if any, on the Series C Preference Units that have been declared by our board of directors to the holders of such units as such holders' names appear on our unit transfer books maintained by the Registrar and Transfer Agent on the applicable Record Date. The applicable record date, the Record Date, will be the fifth Business Day immediately preceding the applicable Distribution Payment Date, except that in the case of payments of distributions in arrears, the Record Date with respect to a Distribution Payment Date will be such date as may be designated by our board of directors in accordance with the Partnership Agreement.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So long as the Series C Preference Units are held of record by the nominee of the Securities Depository, declared distributions will be paid to the Securities Depository in same-day funds on each Distribution Payment Date. The Securities Depository will credit accounts of its participants in accordance with the Securities Depository's normal procedures. The participants will be responsible for holding or disbursing such payments to beneficial owners of the Series C Preference Units in accordance with the instructions of such beneficial owners.</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No distribution may be declared or paid or set apart for payment on any Junior Securities (other than a distribution payable solely in units of Junior Securities) unless full cumulative distributions have been or contemporaneously are being paid or provided for on all outstanding Series C Preference Units and any Parity Securities through the most recent respective Distribution Payment Dates. Accumulated distributions in arrears for any past Distribution Period may be declared by our board of directors and paid on any date fixed by our board of directors, whether or not a Distribution Payment Date, to holders of the Series C Preference Units on the record date for such payment, which may not be more than 60 days, nor less than 15 days, before such payment date. Subject to the next succeeding sentence, if all accumulated distributions in arrears on all outstanding Series C Preference Units and any Parity Securities have not been declared and paid, or sufficient funds for the payment thereof have not been set apart, payment of accumulated distributions in arrears will be made in order of their respective Distribution Payment Dates, commencing with the earliest. If less than all distributions payable with respect to all Series C Preference Units and any Parity Securities are paid, any partial payment will be made pro rata with respect to the Series C Preference Units and any Parity Securities (including the Series A Preference Units and Series B Preference Units) entitled to a distribution payment at such time in proportion to the aggregate amounts remaining due in respect of such units at such time. Holders of the Series C Preference Units will not be entitled to any distribution, whether payable in cash, property or units, in excess of full cumulative distributions. Except insofar as distributions accrue on the amount of any accumulated and unpaid distributions as described under "— Distributions—Distribution Rate", no interest or sum of money in lieu of interest will be payable in respect of any distribution payment which may be in arrears on the Series C Preference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Series C Preference Units will represent perpetual equity interests in us. We will have no obligation to redeem or repurchase any Series C Preference Units.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Commencing on March 15, 2024, we may redeem, at our option, in whole or in part, the Series C Preference Units at a redemption price in cash equal to $25.00 per unit plus an amount equal to all accumulated and unpaid distributions thereon to the date of redemption, whether or not declared. Any such optional redemption shall be effected only out of funds legally available for such purpose. We may undertake multiple partial redemptions.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225"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will give notice of any redemption by mail, postage prepaid, not less than 30 days and not more than 60 days before the scheduled date of redemption, to the holders of any units to be redeemed as such holders' names appear on our unit transfer books maintained by the Registrar and Transfer Agent at the address of such holders shown therein. Such notice shall state: (1) the redemption date, (2) the number of Series C Preference Units to be redeemed and, if less than all outstanding Series C Preference Units are to be redeemed, the number (and the identification) of units to be redeemed from such holder, (3) the redemption price,</w:t>
      </w:r>
    </w:p>
    <w:p>
      <w:pPr>
        <w:spacing w:after="0" w:line="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place where the Series C Preference Units are to be redeemed and shall be presented and surrendered for payment of the redemption price therefor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distributions on the units to be redeemed will cease to accumulate from and after such redemption date.</w:t>
      </w:r>
    </w:p>
    <w:p>
      <w:pPr>
        <w:spacing w:after="0" w:line="21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fewer than all of the outstanding Series C Preference Units are to be redeemed, the number of units to be redeemed will be determined by us, and such units will be redeemed by such method of selection as the Securities Depository shall determine, pro rata or by lot, with adjustments to avoid redemption of fractional units. So long as all Series C Preference Units are held of record by the nominee of the Securities Depository, we will give notice, or cause notice to be given, to the Securities Depository of the number of Series C Preference Units to be redeemed, and the Securities Depository will determine the number of Series C Preference Units to be redeemed from the account of each of its participants holding such units in its participant account. Thereafter, each participant will select the number of units to be redeemed from each beneficial owner for whom it acts (including the participant, to the extent it holds Series C Preference Units for its own account). A participant may determine to redeem Series C Preference Units from some beneficial owners (including the participant itself) without redeeming Series C Preference Units from the accounts of other beneficial owners.</w:t>
      </w:r>
    </w:p>
    <w:p>
      <w:pPr>
        <w:spacing w:after="0" w:line="172"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color w:val="auto"/>
        </w:rPr>
        <w:t>So long as the Series C Preference Units are held of record by the nominee of the Securities Depository, the redemption price will be paid by the Paying Agent to the Securities Depository on the redemption date. The Securities Depository's normal procedures provide for it to distribute the amount of the redemption price in same-day funds to its participants who, in turn, are expected to distribute such funds to the persons for whom they are acting as agent.</w:t>
      </w:r>
    </w:p>
    <w:p>
      <w:pPr>
        <w:spacing w:after="0" w:line="14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we give or cause to be given a notice of redemption, then we will deposit with the Paying Agent funds sufficient to redeem the Series C Preference Units as to which notice has been given by the close of business, New York City time, no later than the Business Day immediately preceding the date fixed for redemption, and will give the Paying Agent irrevocable instructions and authority to pay the redemption price to the holder or holders thereof upon surrender or deemed surrender (which will occur automatically if the certificate representing such units is issued in the name of the Securities Depository or its nominee) of the certificates therefor. If notice of redemption shall have been given, then from and after the date fixed for redemption, unless we default in providing funds sufficient for such redemption at the time and place specified for payment pursuant to the notice, all distributions on such units will cease to accumulate and all rights of holders of such units as our unitholders will cease, except the right to receive the redemption price, including an amount equal to accumulated and unpaid distributions through (but not including) the date fixed for redemption, whether or not declared.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will be entitled to receive from the Paying Agent the interest income, if any, earned on such funds deposited with the Paying Agent (to the extent that such interest income is not required to pay the redemption price of the units to be redeemed), and the holders of any units so redeemed will have no claim to any such interest income. Any funds deposited with the Paying Agent hereunder by us for any reason, including, but not limited to, redemption of Series C Preference Units, that remain unclaimed or unpaid after two years after the applicable redemption date or other payment date, shall be, to the extent permitted by law, repaid to us upon our written request, after which repayment the holders of the Series C Preference Units entitled to such redemption or other payment shall have recourse only to us.</w:t>
      </w:r>
    </w:p>
    <w:p>
      <w:pPr>
        <w:spacing w:after="0" w:line="198"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If only a portion of the Series C Preference Units represented by a certificate has been called for redemption, upon surrender of the certificate to the Paying Agent (which will occur automatically if the certificate representing such units is registered in the name of the Securities Depository or its nominee), the Paying Agent will issue to the holder of such units a new certificate (or adjust the applicable book-entry account) representing the number of Series C Preference Units represented by the surrendered certificate that have not been called for redemption.</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Notwithstanding any notice of redemption, there will be no redemption of any Series C Preference Units called for redemption until funds sufficient to pay the full redemption price of such units, including all accumulated and unpaid distributions to the date of redemption, whether or not declared, have been deposited by us with the Paying Agent.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our affiliates may from time to time purchase the Series C Preference Units, subject to compliance with all applicable securities and other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Neither we nor any of our affiliates has any obligation, or any present plan or intention, to purchase any Series C Preference Units.</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Notwithstanding the foregoing, in the event that full cumulative distributions on the Series C Preference Units and any Parity Securities have not been paid or declared and set apart for payment, we may not repurchase, redeem or otherwise acquire, in whole or in part, any Series C Preference Units or Parity Securities except pursuant to a purchase or exchange offer made on the same terms to all holders of Series C Preference Units and any Parity Securities. Common units and any other Junior Securities may not be redeemed, repurchased or otherwise acquired unless full cumulative distributions on the Series C Preference Units and any Parity Securities for all prior and the then-ending distribution periods have been paid or declared and set apart for payment.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C Preference Units will not have the benefit of any sinking fund.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Fiduciary Duty</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our officers and directors and our general partner, will not owe any fiduciary duties to holders of the Series C Preference Units other than an implied contractual duty of good faith and fair dealing pursuant to the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Series C Preference Units offered hereby will be represented by a single certificate issued to The Depository Trust Company (and its successors or assigns or any other securities depository selected by us), or the Securities Depository, and registered in the name of its nominee (initially, Cede &amp; Co.). The Series C Preference Units offered hereby will continue to be represented by a single certificate registered in the name of the Securities Depository or its nominee, and no holder of the Series C Preference Units offered hereby will be entitled to receive a certificate evidencing such units unless otherwise required by law or the Securities Depository gives notice of its intention to resign or is no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longer eligible to act as such and we have not selected a substitute Securities Depository within 60 calendar days thereafter. Payments and communications made by us to holders of the Series C Preference Units will be duly made by making payments to, and communicating with, the Securities Depository. Accordingly, unless certificates are available to holders of the Series C Preference Units, each purchaser of Series C Preference Units must rely on (1) the procedures of the Securities Depository and its participants to receive distributions, any redemption price, liquidation preference and notices, and to direct the exercise of any voting or nominating rights, with respect to such Series C Preference Units and (2) the records of the Securities Depository and its participants to evidence its ownership of such Series C Preference Units.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 long as the Securities Depository (or its nominee) is the sole holder of the Series C Preference Units, no beneficial holder of the Series C Preference Units will be deemed to be a unitholder of us. The Depository Trust Company, the initial Securities Depository, is a New York-chartered limited purpose trust company that performs services for its participants, some of whom (and/or their representatives) own The Depository Trust Company. The Securities Depository maintains lists of its participants and will maintain the positions (i.e., ownership interests) held by its participants in the Series C Preference Units, whether as a holder of the Series C Preference Units for its own account or as a nominee for another holder of the Series C Preference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is a summary of the material provisions of the Partnership Agreement, which is qualified in its entirety by the terms and conditions of the Partnership Agreement, which is incorporated herein by reference. We will provide prospective investors with a copy of the Partnership Agreement upon written request at no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Partnership Agreement specifies the manner in which we will make cash distributions to holders of our common units and other partnership interests, including to the holders of Series A Preference Units, Series B Preference Units and Series C Preference Units, our incentive distribution rights, as well as to our general partner in respect of its general partner interest. Please see "Our Cash Distribution Policy and Restrictions on Distributions" on page 36 of the accompanying base prospectus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No holder of common units, Series A Preference Units, Series B Preference Units or Series C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Holders of the Series C Preference Units generally have no voting rights. However, the consent of the holders of at least two-thirds of the outstanding Series C Preference Units, voting as a single class, is required prior to any amendment to the Partnership Agreement that would have a material adverse effect on the existing terms of the Series C Preference Units. In addition, unless we receive the affirmative vote or consent of the holders of at least two-thirds of the outstanding Series C Preference Units, voting as a class together with holders of any other Parity Securities (including the Series A Preference Units and Series B Preference Units), we may not (i) issue any Parity Securities if the cumulative distributions on Series C Preference Units are in arrears or (ii) create or issue any Senior Securities. Distributions payable on the Series C Preference Units will be considered to be in arrears for any quarterly period for which full cumulative distributions through the most recent distribution payment date have not been paid on all outstanding Series C Preference Units. In addition, in certain limited instances, the holders of Series C Preference Units will be entitled to elect one director to our board of directors. Please read "Description of Series C Preference Units—Voting Rights".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 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97"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Series B Preference Units or Series C Preference Units.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Code.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560" w:type="dxa"/>
            <w:vAlign w:val="bottom"/>
          </w:tcPr>
          <w:p>
            <w:pPr>
              <w:spacing w:after="0"/>
              <w:rPr>
                <w:sz w:val="14"/>
                <w:szCs w:val="14"/>
                <w:color w:val="auto"/>
              </w:rPr>
            </w:pPr>
          </w:p>
        </w:tc>
        <w:tc>
          <w:tcPr>
            <w:tcW w:w="5480" w:type="dxa"/>
            <w:vAlign w:val="bottom"/>
            <w:gridSpan w:val="2"/>
          </w:tcPr>
          <w:p>
            <w:pPr>
              <w:ind w:left="130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additional common units or other limited partner interests</w:t>
            </w:r>
          </w:p>
        </w:tc>
        <w:tc>
          <w:tcPr>
            <w:tcW w:w="56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No approval rights; general partner approval required for all issuances not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4"/>
              </w:rPr>
              <w:t>reasonably expected to be accretive within twelve months of issuance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8"/>
              </w:rPr>
              <w:t>which would otherwise have a material adverse impact on the general partner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or its interest in our partnership.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400" w:type="dxa"/>
            <w:vAlign w:val="bottom"/>
            <w:gridSpan w:val="3"/>
          </w:tcPr>
          <w:p>
            <w:pPr>
              <w:spacing w:after="0"/>
              <w:rPr>
                <w:sz w:val="20"/>
                <w:szCs w:val="20"/>
                <w:color w:val="auto"/>
              </w:rPr>
            </w:pPr>
            <w:r>
              <w:rPr>
                <w:rFonts w:ascii="Arial" w:cs="Arial" w:eastAsia="Arial" w:hAnsi="Arial"/>
                <w:sz w:val="18"/>
                <w:szCs w:val="18"/>
                <w:color w:val="auto"/>
              </w:rPr>
              <w:t>Amendment of the Partnership Agreement</w:t>
            </w:r>
          </w:p>
        </w:tc>
        <w:tc>
          <w:tcPr>
            <w:tcW w:w="5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5"/>
              </w:rPr>
              <w:t>Certain amendments may be made by our board of directors without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88"/>
              </w:rPr>
              <w:t>approval of the unitholders. Other amendments generally require the approval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8"/>
              </w:rPr>
              <w:t>of a Unit Majority. See "—Amendment of the Partnership Agreement".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Merger of our partnership or the sale of all or substantially all of our assets</w:t>
            </w:r>
          </w:p>
        </w:tc>
        <w:tc>
          <w:tcPr>
            <w:tcW w:w="56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Unit Majority and approval of our general partner and our board of directors.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See "—Merger, Sale, Conversion or Other Disposition of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color w:val="auto"/>
              </w:rPr>
              <w:t>S-50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1320" w:type="dxa"/>
            <w:vAlign w:val="bottom"/>
          </w:tcPr>
          <w:p>
            <w:pPr>
              <w:spacing w:after="0"/>
              <w:rPr>
                <w:sz w:val="14"/>
                <w:szCs w:val="14"/>
                <w:color w:val="auto"/>
              </w:rPr>
            </w:pPr>
          </w:p>
        </w:tc>
        <w:tc>
          <w:tcPr>
            <w:tcW w:w="5460" w:type="dxa"/>
            <w:vAlign w:val="bottom"/>
          </w:tcPr>
          <w:p>
            <w:pPr>
              <w:ind w:left="130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Dissolution of our partnership</w:t>
            </w:r>
          </w:p>
        </w:tc>
        <w:tc>
          <w:tcPr>
            <w:tcW w:w="132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Unit Majority and approval of our general partner and our board of directors.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See "—Termination and Dissolution".</w:t>
            </w:r>
          </w:p>
        </w:tc>
        <w:tc>
          <w:tcPr>
            <w:tcW w:w="0" w:type="dxa"/>
            <w:vAlign w:val="bottom"/>
          </w:tcPr>
          <w:p>
            <w:pPr>
              <w:spacing w:after="0"/>
              <w:rPr>
                <w:sz w:val="1"/>
                <w:szCs w:val="1"/>
                <w:color w:val="auto"/>
              </w:rPr>
            </w:pPr>
          </w:p>
        </w:tc>
      </w:tr>
      <w:tr>
        <w:trPr>
          <w:trHeight w:val="431"/>
        </w:trPr>
        <w:tc>
          <w:tcPr>
            <w:tcW w:w="4640" w:type="dxa"/>
            <w:vAlign w:val="bottom"/>
            <w:gridSpan w:val="3"/>
          </w:tcPr>
          <w:p>
            <w:pPr>
              <w:spacing w:after="0"/>
              <w:rPr>
                <w:sz w:val="20"/>
                <w:szCs w:val="20"/>
                <w:color w:val="auto"/>
              </w:rPr>
            </w:pPr>
            <w:r>
              <w:rPr>
                <w:rFonts w:ascii="Arial" w:cs="Arial" w:eastAsia="Arial" w:hAnsi="Arial"/>
                <w:sz w:val="18"/>
                <w:szCs w:val="18"/>
                <w:color w:val="auto"/>
              </w:rPr>
              <w:t>Reconstitution of our partnership upon dissolution</w:t>
            </w:r>
          </w:p>
        </w:tc>
        <w:tc>
          <w:tcPr>
            <w:tcW w:w="132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 Majority. See "—Termination and Dissolution".</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Withdrawal of our general partner</w:t>
            </w:r>
          </w:p>
        </w:tc>
        <w:tc>
          <w:tcPr>
            <w:tcW w:w="132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rPr>
              <w:t>Under most circumstances, the approval of a majority of the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excluding common units held by our general partner and its affiliates,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required for the withdrawal of our general partner prior to March 31, 2024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 manner that would cause a dissolution of our partnership. See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Withdrawal or Removal of our General Partner".</w:t>
            </w:r>
          </w:p>
        </w:tc>
        <w:tc>
          <w:tcPr>
            <w:tcW w:w="0" w:type="dxa"/>
            <w:vAlign w:val="bottom"/>
          </w:tcPr>
          <w:p>
            <w:pPr>
              <w:spacing w:after="0"/>
              <w:rPr>
                <w:sz w:val="1"/>
                <w:szCs w:val="1"/>
                <w:color w:val="auto"/>
              </w:rPr>
            </w:pPr>
          </w:p>
        </w:tc>
      </w:tr>
      <w:tr>
        <w:trPr>
          <w:trHeight w:val="464"/>
        </w:trPr>
        <w:tc>
          <w:tcPr>
            <w:tcW w:w="4640" w:type="dxa"/>
            <w:vAlign w:val="bottom"/>
            <w:gridSpan w:val="3"/>
          </w:tcPr>
          <w:p>
            <w:pPr>
              <w:spacing w:after="0"/>
              <w:rPr>
                <w:sz w:val="20"/>
                <w:szCs w:val="20"/>
                <w:color w:val="auto"/>
              </w:rPr>
            </w:pPr>
            <w:r>
              <w:rPr>
                <w:rFonts w:ascii="Arial" w:cs="Arial" w:eastAsia="Arial" w:hAnsi="Arial"/>
                <w:sz w:val="18"/>
                <w:szCs w:val="18"/>
                <w:color w:val="auto"/>
              </w:rPr>
              <w:t>Removal of our general partner</w:t>
            </w:r>
          </w:p>
        </w:tc>
        <w:tc>
          <w:tcPr>
            <w:tcW w:w="132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Not less than 66</w:t>
            </w:r>
            <w:r>
              <w:rPr>
                <w:rFonts w:ascii="Arial" w:cs="Arial" w:eastAsia="Arial" w:hAnsi="Arial"/>
                <w:sz w:val="29"/>
                <w:szCs w:val="29"/>
                <w:color w:val="auto"/>
                <w:w w:val="92"/>
                <w:vertAlign w:val="superscript"/>
              </w:rPr>
              <w:t>2</w:t>
            </w:r>
            <w:r>
              <w:rPr>
                <w:rFonts w:ascii="Arial" w:cs="Arial" w:eastAsia="Arial" w:hAnsi="Arial"/>
                <w:sz w:val="18"/>
                <w:szCs w:val="18"/>
                <w:color w:val="auto"/>
                <w:w w:val="92"/>
              </w:rPr>
              <w:t>/</w:t>
            </w:r>
            <w:r>
              <w:rPr>
                <w:rFonts w:ascii="Arial" w:cs="Arial" w:eastAsia="Arial" w:hAnsi="Arial"/>
                <w:sz w:val="14"/>
                <w:szCs w:val="14"/>
                <w:color w:val="auto"/>
                <w:w w:val="92"/>
              </w:rPr>
              <w:t>3</w:t>
            </w:r>
            <w:r>
              <w:rPr>
                <w:rFonts w:ascii="Arial" w:cs="Arial" w:eastAsia="Arial" w:hAnsi="Arial"/>
                <w:sz w:val="18"/>
                <w:szCs w:val="18"/>
                <w:color w:val="auto"/>
                <w:w w:val="92"/>
              </w:rPr>
              <w:t>% of the outstanding common units, including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units held by our general partner and its affiliates, voting together as a single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class. See "—Withdrawal or Removal of our General Partner".</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our general partner interest in us</w:t>
            </w:r>
          </w:p>
        </w:tc>
        <w:tc>
          <w:tcPr>
            <w:tcW w:w="132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Our general partner may transfer all, but not less than all, of its general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partner interest in us without a vote of our common unitholders or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9"/>
              </w:rPr>
              <w:t>limited partners to an affiliate or another person in connection with its merger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or consolidation with or into, or sale of all or substantially all of its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5"/>
              </w:rPr>
              <w:t>such person. The approval of a majority of the common units,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4"/>
              </w:rPr>
              <w:t>common units held by our general partner and its affiliates, is required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3"/>
              </w:rPr>
              <w:t>other circumstances for a transfer of the general partner interest to a third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party prior to March 31, 2024. See "—Transfer of General Partner Interest".</w:t>
            </w:r>
          </w:p>
        </w:tc>
        <w:tc>
          <w:tcPr>
            <w:tcW w:w="0" w:type="dxa"/>
            <w:vAlign w:val="bottom"/>
          </w:tcPr>
          <w:p>
            <w:pPr>
              <w:spacing w:after="0"/>
              <w:rPr>
                <w:sz w:val="1"/>
                <w:szCs w:val="1"/>
                <w:color w:val="auto"/>
              </w:rPr>
            </w:pPr>
          </w:p>
        </w:tc>
      </w:tr>
      <w:tr>
        <w:trPr>
          <w:trHeight w:val="424"/>
        </w:trPr>
        <w:tc>
          <w:tcPr>
            <w:tcW w:w="4640" w:type="dxa"/>
            <w:vAlign w:val="bottom"/>
            <w:gridSpan w:val="3"/>
          </w:tcPr>
          <w:p>
            <w:pPr>
              <w:spacing w:after="0"/>
              <w:rPr>
                <w:sz w:val="20"/>
                <w:szCs w:val="20"/>
                <w:color w:val="auto"/>
              </w:rPr>
            </w:pPr>
            <w:r>
              <w:rPr>
                <w:rFonts w:ascii="Arial" w:cs="Arial" w:eastAsia="Arial" w:hAnsi="Arial"/>
                <w:sz w:val="18"/>
                <w:szCs w:val="18"/>
                <w:color w:val="auto"/>
              </w:rPr>
              <w:t>Transfer of incentive distribution rights</w:t>
            </w:r>
          </w:p>
        </w:tc>
        <w:tc>
          <w:tcPr>
            <w:tcW w:w="132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Except for transfers to an affiliate or another person as part of a merger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consolidation with or into, or sale of all or substantially all of the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6"/>
              </w:rPr>
              <w:t>such person, the approval of a majority of the common units,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89"/>
              </w:rPr>
              <w:t>common units held by our general partner and its affiliates, voting separately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as a class, is required in most circumstances for a transfer of the 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2"/>
              </w:rPr>
              <w:t>distribution rights to a third party prior to March 31, 2019. See "—Transfer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of Incentive Distribution Rights".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ownership interests in our general partner</w:t>
            </w:r>
          </w:p>
        </w:tc>
        <w:tc>
          <w:tcPr>
            <w:tcW w:w="132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0"/>
              </w:rPr>
              <w:t>No approval required at any time. See "—Transfer of Ownership Interests 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780" w:type="dxa"/>
            <w:vAlign w:val="bottom"/>
            <w:gridSpan w:val="2"/>
          </w:tcPr>
          <w:p>
            <w:pPr>
              <w:ind w:left="900"/>
              <w:spacing w:after="0"/>
              <w:rPr>
                <w:sz w:val="20"/>
                <w:szCs w:val="20"/>
                <w:color w:val="auto"/>
              </w:rPr>
            </w:pPr>
            <w:r>
              <w:rPr>
                <w:rFonts w:ascii="Arial" w:cs="Arial" w:eastAsia="Arial" w:hAnsi="Arial"/>
                <w:sz w:val="18"/>
                <w:szCs w:val="18"/>
                <w:color w:val="auto"/>
              </w:rPr>
              <w:t>S-51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6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units plus his share of any undistributed profits and assets. If it were determined, however, that the right, or exercise of the right, by the limited partners as a group:</w:t>
      </w:r>
    </w:p>
    <w:p>
      <w:pPr>
        <w:spacing w:after="0" w:line="21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partner. While this does not mean that a limited partner could not seek legal recourse, we know of no precedent for this type of a claim in Marshall Islands case law.</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4"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Series B Preference Units and Series C Preference Units described under "Description of Series C Preference Units—Voting Rights".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9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intend to fund acquisitions through borrowings and the issuance of additional common units or other equity securities and the issuance of debt securities. Holders of any additional Series C Preference Units we issue will be entitled to share equally with the then-existing holders of Series C Preference Units in our distributions, holders of any additional Series A Preference Units we issue will be entitled to share equally with the then-existing holders of Series A Preference Units in our distributions, holders of any additional Series B Preference Units we issue will be entitled to share equally with the then-existing holders of Series B Preference Units in our distributions and holders of any additional common units we issue will be entitled to share equally with the then-existing holders of</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common units in our distributions. Additionally, we may issue other equity securities that may dilute the value of the interests of the then-existing holders of common units, Series A Preference Units, Series B Preference Units or Series C Preference Units in our net assets and such securities may have priority over common units, Series A Preference Units, Series B Preference Units or Series C Preference Units for receipt of distributions.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accordance with Marshall Islands law and the provisions of our Partnership Agreement, we may also issue additional partnership interests that, as determined by our board of directors, have special voting or other rights to which the common units, the Series A Preference Units, the Series B Preference Units and the Series C Preference Units are not entitled.</w:t>
      </w:r>
    </w:p>
    <w:p>
      <w:pPr>
        <w:spacing w:after="0" w:line="19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C Preference Units. Our general partner and its affiliates will have the right, which it may from time to time assign in whole or in part to any of its affiliates, to purchase common units, Series A Preference Units, Series B Preference Units, Series C Preference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duty or obligation to propose any amendment and may decline to do so free of any fiduciary duty or obligation whatsoever to us or the limited partners,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any duty to act in good faith or in the best interests of us or the limited partners. In order to adopt a proposed amendment, other than the amendments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discussed below, approval of our board of directors is required, as well as written approval of the holders of the number of common units required to approve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or call a meeting of the limited partners to consider and vote upon the proposed amendment. In addition, holders of Series A Preference Units,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Series B Preference Units and Series C Preference Units must approve certain amendments as described under "Description of Series C Preference Units—Voting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Rights". Except as we describe below, an amendment must be approved by a Unit Majority.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50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2" w:lineRule="exact"/>
        <w:rPr>
          <w:rFonts w:ascii="Arial" w:cs="Arial" w:eastAsia="Arial" w:hAnsi="Arial"/>
          <w:sz w:val="16"/>
          <w:szCs w:val="16"/>
          <w:color w:val="auto"/>
        </w:rPr>
      </w:pPr>
    </w:p>
    <w:p>
      <w:pPr>
        <w:ind w:left="1080" w:right="420" w:hanging="532"/>
        <w:spacing w:after="0" w:line="298"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80"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sz w:val="20"/>
          <w:szCs w:val="20"/>
          <w:color w:val="auto"/>
        </w:rPr>
      </w:pPr>
    </w:p>
    <w:p>
      <w:pPr>
        <w:spacing w:after="0" w:line="237" w:lineRule="exact"/>
        <w:rPr>
          <w:sz w:val="20"/>
          <w:szCs w:val="20"/>
          <w:color w:val="auto"/>
        </w:rPr>
      </w:pPr>
    </w:p>
    <w:p>
      <w:pPr>
        <w:ind w:left="1620" w:right="260" w:hanging="532"/>
        <w:spacing w:after="0" w:line="268"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sz w:val="20"/>
          <w:szCs w:val="20"/>
          <w:color w:val="auto"/>
        </w:rPr>
      </w:pPr>
    </w:p>
    <w:p>
      <w:pPr>
        <w:sectPr>
          <w:pgSz w:w="11900" w:h="16838" w:orient="portrait"/>
          <w:cols w:equalWidth="0" w:num="2">
            <w:col w:w="1260" w:space="360"/>
            <w:col w:w="9760"/>
          </w:cols>
          <w:pgMar w:left="240" w:top="131" w:right="279" w:bottom="1440" w:gutter="0" w:footer="0" w:header="0"/>
        </w:sectPr>
      </w:pPr>
    </w:p>
    <w:p>
      <w:pPr>
        <w:spacing w:after="0" w:line="255" w:lineRule="exact"/>
        <w:rPr>
          <w:sz w:val="20"/>
          <w:szCs w:val="20"/>
          <w:color w:val="auto"/>
        </w:rPr>
      </w:pPr>
    </w:p>
    <w:p>
      <w:pPr>
        <w:ind w:left="1080" w:right="8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21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 holders of the Series A Preference Units, the Series B Preference Units, the Series C Preference Units and the holders of other Parity Securities) if our board of directors determines that those amendments:</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privileges of any type or class or series of outstanding limited partner interests (other than Series A Preference Units, Series B Preference Units or Series C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Series B Preference Units or Series C Preference Units will require the approval of at least two-thirds of the outstanding Series A Preference Units, Series B Preference Units or Series C Preference Units, as applicable.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accordance with the Partnership Agreement or withdrawal or removal following approval and admission of a successor.</w:t>
      </w:r>
    </w:p>
    <w:p>
      <w:pPr>
        <w:spacing w:after="0" w:line="225"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liquidation rights of holders of Series C Preference Units and Parity Securities (including the Series A Preference Units and Series B Preference Units) are described under "Description of Series C Preference Units—Liquidation Rights". The liquidator may defer liquidation or distribution of our assets for a reasonable period or distribute assets to partners in kind if it determines that a sale would be impractical or would cause undue loss to our partners. A consolidation or merger of us with or into any other entity, individually or in a series of transactions, will not be deemed to be a liquidation, dissolution or winding up of our affairs.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"—Transfer of Incentive Distribution Rights".</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4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 liability. The</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7"/>
          <w:szCs w:val="17"/>
          <w:color w:val="auto"/>
        </w:rPr>
        <w:t>ownership of more than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2"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Series A Preference Units, Series B Preference Units or Series C Preference Units</w:t>
      </w:r>
    </w:p>
    <w:p>
      <w:pPr>
        <w:spacing w:after="0" w:line="231"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By transfer of common units, Series A Preference Units, Series B Preference Units or Series C Preference Units in accordance with the Partnership Agreement, each transferee of common units, Series A Preference Units, Series B Preference Units or Series C Preference Units automatically is admitted as a limited partner with respect to the common units, Series A Preference Units, Series B Preference Units or Series C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10"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are entitled to treat the nominee holder of a common unit, Series A Preference Unit, Series B Preference Units or a Series C Preference Unit as the absolute owner. In that case, the beneficial holder's rights are limited solely to those that it has against the nominee holder as a result of any agreement between the beneficial owner and the nominee holder.</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Common units, Series A Preference Units, Series B Preference Units and Series C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Until a common unit, Series A Preference Unit, Series B Preference Units or a Series C Preference Unit has been transferred on our books, we and our transfer agent may treat the record holder of the unit as the absolute owner of such unit for all purposes, except as otherwise required by law or stock exchange regulations.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 Series B Preference Units or Series C Preference Units.</w:t>
      </w:r>
    </w:p>
    <w:p>
      <w:pPr>
        <w:spacing w:after="0" w:line="19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Series B Preference Units and Series C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partnership interests to be repurchased by it upon the exercise of this limited call right and has no fiduciary duty in determining whether to exercise this limited call right.</w:t>
      </w:r>
    </w:p>
    <w:p>
      <w:pPr>
        <w:spacing w:after="0" w:line="172"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As a result of the general partner's right to purchase outstanding partnership interests, a holder of partnership interests may have the holder's partnership interests (except for the Series A Preference Units, Series B Preference Units and Series C Preference Units) purchased at an undesirable time or price. The tax consequences to a unitholder of the exercise of this call right are the same as a sale by that unitholder of units in the market. See "Material U.S. Federal Income Tax Considerations—U.S. Federal Income Taxation of U.S. Holders—Sale, Exchange or Other Disposition of Common Units" and "Material U.S. Federal Income Tax Considerations—U.S. Federal Income Taxation of Non-U.S. Holders—Disposition of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Immediately following this offering our board of directors will be comprised of seven persons. Our general partner has appointed four of our seven directors and the common unitholders elected the remaining three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Under certain limited circumstances, holders of our Series A Preference Units, Series B Preference Units and Series C Preference Units (voting together as a class with any other Parity Securities)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 Series B Preference Units, Series C Preference Units and any other Parity Securities.</w:t>
      </w:r>
    </w:p>
    <w:p>
      <w:pPr>
        <w:spacing w:after="0" w:line="16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percentage interest in us of all holders entitled to vote on such matter, although additional limited partners interests having special voting rights could be issued.</w:t>
      </w:r>
    </w:p>
    <w:p>
      <w:pPr>
        <w:spacing w:after="0" w:line="260"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Holders of the Series C Preference Units generally have no voting rights. However, holders of Series C Preference Units have limited voting rights as described under "Description of Series C Preference Units—Voting Rights".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right="20"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w:t>
      </w:r>
    </w:p>
    <w:p>
      <w:pPr>
        <w:spacing w:after="0" w:line="2"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person or 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Series B Preference Units and Series C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5" w:lineRule="exact"/>
        <w:rPr>
          <w:sz w:val="20"/>
          <w:szCs w:val="20"/>
          <w:color w:val="auto"/>
        </w:rPr>
      </w:pPr>
    </w:p>
    <w:p>
      <w:pPr>
        <w:jc w:val="both"/>
        <w:ind w:right="380" w:firstLine="341"/>
        <w:spacing w:after="0" w:line="259"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Series A Preference Units, Series B Preference Units or Series C Preference Units under the Partnership Agreement will be delivered to the record holder by us or by the transfer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Except as described above under "—Limited Liability", the common units, Series A Preference Units, Series B Preference Units and Series C Preference Units will be fully paid, and unitholders will not be required to make additional contributions. By transfer of common units, Series A Preference Units, Series B Preference Units or Series C Preference Units in accordance with our Partnership Agreement, each transferee of units will be admitted as a limited partner with respect to the units transferred when such transfer and admission is reflected in our books and records.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53"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This discussion is based upon provisions of the U.S. Internal Revenue Code of 1986, as amended, or the "Code", the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67"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following discussion applies only to beneficial owners of Series C Preference Units that own the Series C Preference Units as "capital assets" within the meaning of Section 1221 of the Code (i.e., generally, for investment purposes) and is not intended to be applicable to all categories of investors, such as 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persons subject to special tax accounting rules as a result of any item of gross income with respect to our Series C Preference Units being taken into account in an applicable financial statement or persons that have a functional currency other than the U.S. dollar, each of whom may be subject to tax rules that differ significantly from those summarized below. If a partnership or other entity classified as a partnership for U.S. federal income tax purposes holds our Series C Preference Units, the tax treatment of its partners generally will depend upon the status of the partner and the activities of the partnership. If you are a partner in a partnership holding our Series C Preference Units, you are encouraged to consult your own tax advisor regarding the tax consequences to you of the partnership's ownership of our Series C Preference Units.</w:t>
      </w:r>
    </w:p>
    <w:p>
      <w:pPr>
        <w:spacing w:after="0" w:line="17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Series C Preference Units. This discussion does not comment on all aspects of U.S. federal income taxation that may be important to particular holders in light of their individual circumstances, and each prospective holder is encouraged to consult its own tax advisor regarding the U.S. federal, state, local and other tax consequences of the ownership or disposition of Series C Preference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Corporation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Our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Subsidiaries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Shipping Income</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98"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2018 tax year, unless our general partner exercises the "GasLog option".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2017, our U.S. source gross transportation tax was $0.3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our U.S. Source International Transportation Income that is considered to be "effectively connected" with the conduct of a U.S. trade or business is subject to the 21% U.S. corporate income tax rate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right="4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Gain on Sale of Shipping Assets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Series C Preference Units that owns (actually or constructively) less than 10.0% of our equity and that is:</w:t>
      </w:r>
    </w:p>
    <w:p>
      <w:pPr>
        <w:spacing w:after="0" w:line="19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Series C Preference Units generally will constitute dividends to the extent of our current or accumulated earnings and profits, as determined under U.S. federal income tax</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principles. Distributions in excess of our earnings and profits will be treated first as a nontaxable return of capital to the extent of the U.S. Holder's tax basis in its Series C Preference Units and thereafter as capital gain. U.S. Holders that are corporations generally will not be entitled to claim dividends received deduction with respect to distributions they receive from us because we are not a U.S. corporation. Dividends received with respect to our Series C Preference Units generally will be treated as foreign source "passive category income" for purposes of computing allowable foreign tax credits for U.S. federal income tax purposes.</w:t>
      </w:r>
    </w:p>
    <w:p>
      <w:pPr>
        <w:spacing w:after="0" w:line="19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Dividends received with respect to our Series C Preference Units by a U.S. Holder that is an individual, trust or estate, or a "U.S. Individual Holder", generally will be treated as "qualified dividend income", which is taxable to such U.S. Individual Holder at preferential tax rates, provided that: (i) our Series C Preference Units are readily tradable on an established securities market in the United States (such as the New York Stock Exchange on which we expect our Series C Preference Units to be traded); (ii) we are not a PFIC for the taxable year during which the dividend is paid or the immediately preceding taxable year (which we do not believe we are, have been or will be, as discussed below under "—PFIC Status and Significant Tax Consequences"); (iii) the U.S. Individual Holder has owned the Series C Preference Units for more than 60 days during the 121-day period beginning 60 days before the date on which the Series C Preference Units become ex-dividend (and has not entered into certain risk limiting transactions with respect to such Series C Preference Units); and (iv) the U.S. Individual Holder is not under an obligation to make related payments with respect to positions in substantially similar or related property. There is no assurance that any dividends paid on our Series C Preference Units will be eligible for these preferential rates in the hands of a U.S. Individual Holder, and any dividends paid on our Series C Preference Units that are not eligible for these preferential rates will be taxed at ordinary income rates to a U.S. Individual Holder.</w:t>
      </w:r>
    </w:p>
    <w:p>
      <w:pPr>
        <w:spacing w:after="0" w:line="17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Special rules may apply to any amounts received in respect of our Series C Preference Units that are treated as "extraordinary dividends". In general, an extraordinary dividend is a dividend with respect to a Series C Preference Unit that is equal to or in excess of 5.0% of a holder's adjusted tax basis (or fair market value upon the holder's election) in such Series C Preference Unit. In addition, extraordinary dividends include dividends received within a one-year period that, in the aggregate, equal or exceed 20.0% of a holder's adjusted tax basis (or fair market value). If we pay an "extraordinary dividend" on our Series C Preference Units that is treated as "qualified dividend income", then any loss recognized by a U.S. Individual Holder from the sale or exchange of such Series C Preference Units will be treated as long-term capital loss to the extent of the amount of such dividend.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Series C Preference Units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 on Net Investment Income</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Holders are encouraged to consult their tax advisors regarding the implications of the additional Medicare tax resulting from their ownership and disposition of our Series C Preference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25" w:lineRule="exact"/>
        <w:rPr>
          <w:sz w:val="20"/>
          <w:szCs w:val="20"/>
          <w:color w:val="auto"/>
        </w:rPr>
      </w:pPr>
    </w:p>
    <w:p>
      <w:pPr>
        <w:jc w:val="both"/>
        <w:ind w:right="380" w:firstLine="341"/>
        <w:spacing w:after="0" w:line="259" w:lineRule="auto"/>
        <w:rPr>
          <w:sz w:val="20"/>
          <w:szCs w:val="20"/>
          <w:color w:val="auto"/>
        </w:rPr>
      </w:pPr>
      <w:r>
        <w:rPr>
          <w:rFonts w:ascii="Arial" w:cs="Arial" w:eastAsia="Arial" w:hAnsi="Arial"/>
          <w:sz w:val="18"/>
          <w:szCs w:val="18"/>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pacing w:after="0" w:line="208" w:lineRule="exact"/>
        <w:rPr>
          <w:sz w:val="20"/>
          <w:szCs w:val="20"/>
          <w:color w:val="auto"/>
        </w:rPr>
      </w:pPr>
    </w:p>
    <w:p>
      <w:pPr>
        <w:ind w:left="10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taxable year consists of passive income (e.g., dividends, interest, capital gains from the sale or exchange of investment property and rents derived other than in the active conduct of a rental business); or</w:t>
      </w:r>
    </w:p>
    <w:p>
      <w:pPr>
        <w:spacing w:after="0" w:line="221"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186"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Based on our past, current and projected methods of operation, and an opinion of counsel, we do not believe that we were, are or will be a PFIC for any of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any of our previous taxable years or for our current or any future taxable year.</w:t>
      </w:r>
    </w:p>
    <w:p>
      <w:pPr>
        <w:spacing w:after="0" w:line="174"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w:t>
      </w:r>
      <w:r>
        <w:rPr>
          <w:rFonts w:ascii="Arial" w:cs="Arial" w:eastAsia="Arial" w:hAnsi="Arial"/>
          <w:sz w:val="15"/>
          <w:szCs w:val="15"/>
          <w:i w:val="1"/>
          <w:iCs w:val="1"/>
          <w:color w:val="auto"/>
        </w:rPr>
        <w:t>Tidewater Inc. v. United States</w:t>
      </w:r>
      <w:r>
        <w:rPr>
          <w:rFonts w:ascii="Arial" w:cs="Arial" w:eastAsia="Arial" w:hAnsi="Arial"/>
          <w:sz w:val="15"/>
          <w:szCs w:val="15"/>
          <w:color w:val="auto"/>
        </w:rPr>
        <w:t>,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Arial" w:cs="Arial" w:eastAsia="Arial" w:hAnsi="Arial"/>
          <w:sz w:val="18"/>
          <w:szCs w:val="18"/>
          <w:i w:val="1"/>
          <w:iCs w:val="1"/>
          <w:color w:val="auto"/>
        </w:rPr>
        <w:t>Tidewater</w:t>
      </w:r>
      <w:r>
        <w:rPr>
          <w:rFonts w:ascii="Arial" w:cs="Arial" w:eastAsia="Arial" w:hAnsi="Arial"/>
          <w:sz w:val="18"/>
          <w:szCs w:val="18"/>
          <w:color w:val="auto"/>
        </w:rPr>
        <w:t xml:space="preserve"> case and, at the same time, announced the position of the IRS that the marine time charter agreements at issue in that case should be treated as service contracts.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holders that the nature of our operations will not change in the future and that we will not become a PFIC in any future taxable year.</w:t>
      </w:r>
    </w:p>
    <w:p>
      <w:pPr>
        <w:spacing w:after="0" w:line="172"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Series C Preference Units, as discussed below. In addition, if a U.S. Holder owns our Series C Preference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an annual report with the IRS.</w:t>
      </w:r>
    </w:p>
    <w:p>
      <w:pPr>
        <w:spacing w:after="0" w:line="174"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Series C Preference Units will be increased to reflect taxed but undistributed earnings and profits. Distributions of earnings and profits that were previously taxed will result in a corresponding reduction in the Electing Holder's adjusted tax basis in Series C Preference Units and will not be taxed again once distributed. An Electing Holder generally will recognize capital gain or loss on the sale, exchange or other disposition of our Series C Preference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If we were to be treated as a PFIC for any taxable year and, as we anticipate, our units were treated as "marketable stock", then, as an alternative to making a QEF election, a U.S. Holder would be allowed to make a "mark-to-market" election with respect to our Series C Preference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Series C Preference Units at the end of the taxable year over the holder's adjusted tax basis in the Series C Preference Units. The U.S. Holder also would be permitted an ordinary loss in respect of the excess, if any, of the U.S. Holder's adjusted tax basis in the Series C Preference Units over the fair market value thereof at the end of the taxable year, but only to the extent of the net amount previously included in income as a result of the mark-to-market election. A U.S. Holder's tax basis in its Series C Preference Units would be adjusted to reflect any such income or loss recognized. Gain recognized on the sale, exchange or other disposition of our Series C Preference Units would be treated as ordinary income, and any loss recognized on the sale, exchange or other disposition of the Series C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If we were to be treated as a PFIC for any taxable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Series C Preference Units in a taxable year in excess of 125.0% of the average annual distributions received by the Non-Electing Holder in the three preceding taxable years, or, if shorter, the portion of the Non- Electing Holder's holding period for the Series C Preference Units before the taxable year) and (2) any gain realized on the sale, exchange or other disposition of the units. Under these special rules:</w:t>
      </w:r>
    </w:p>
    <w:p>
      <w:pPr>
        <w:spacing w:after="0" w:line="212" w:lineRule="exact"/>
        <w:rPr>
          <w:sz w:val="20"/>
          <w:szCs w:val="20"/>
          <w:color w:val="auto"/>
        </w:rPr>
      </w:pPr>
    </w:p>
    <w:p>
      <w:pPr>
        <w:ind w:left="1080" w:right="3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Series C Preference Units;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taxable year we were first treated as a PFIC with respect to the Non-Electing Holder would be taxed as ordinary income; and</w:t>
      </w:r>
    </w:p>
    <w:p>
      <w:pPr>
        <w:spacing w:after="0" w:line="19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Series C Preference Units. If we were treated as a PFIC for any taxable year and a Non-Electing Holder who is an individual dies while owning our Series C Preference Units, such holder's successor generally would not receive a step-up in tax basis with respect to such units. A Non-Electing Holder may be required to report its ownership of our units by filing IRS Form 8621 with its U.S. federal income tax return.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 beneficial owner of our Series C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Series C Preference Units, you are encouraged to consult your own tax advisor regarding the tax consequences to you of the partnership's ownership of our Series C Preference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applicable income tax treaty if the income arising from the distribution is not attributable to a U.S. permanent establishment maintained by the Non-U.S. Holder.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general, a Non-U.S. Holder is not subject to U.S. federal income tax or withholding tax on any gain resulting from the disposition of our Series C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if required by such applicable income tax treaty). However, even if not engaged in a U.S. trade or business, individual Non-U.S. Holders may be subject to tax on gain resulting from the disposition of our Series C Preference Units if they are present in the United States for 183 days or more during the taxable year in which those units are disposed and meet certain other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general, payments to a U.S. Individual Holder of distributions or the proceeds of a disposition of Series C Preference Units will be subject to information reporting. These payments to a U.S. Individual Holder also may be subject to backup withholding if the U.S. Individual Holder:</w:t>
      </w:r>
    </w:p>
    <w:p>
      <w:pPr>
        <w:spacing w:after="0" w:line="153"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notified by the IRS that it has failed to report all interest or corporate distributions required to be reported on its U.S. federal income tax returns;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Backup withholding is not an additional tax. Rather, a holder may obtain a credit for any amount withheld against its liability for U.S. federal income tax (and obtain a refund of any amounts withheld in excess of such liability) by timely filing a U.S. federal income tax return with the IRS.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U.S. Holders purchasing more than $100,000 of our Series C Preference Units in this offering generally will be required to file IRS Form 926 reporting such payment. For purposes of determining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the total dollar value of Series C Preference Units purchased by a U.S. Holder in this offering, units 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Holders are encouraged to consult their tax advisors regarding their reporting obligations, if any, that would result from their purchase, ownership or disposition of our units.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in this section to "we", "our" or "us" are references to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holder (so long as you are not a citizen or resident of the Marshall Islands). In addition, you will not be subject to Marshall Islands stamp, capital gains or other taxes on the purchase, ownership or disposition of Series C Preference Units, and you will not be required by the Republic of the Marshall Islands to file a tax return relating to your ownership of Series C Preference Units (so long as you are not a citizen or resident of the Marshall Islands).</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EACH PROSPECTIVE HOLDER IS ENCOURAGED TO CONSULT ITS OWN TAX COUNSEL OR OTHER ADVISOR WITH REGARD TO THE LEGAL AND TAX CONSEQUENCES OF UNIT OWNERSHIP UNDER ITS PARTICULAR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UBS Securities LLC, Morgan Stanley &amp; Co. LLC, Stifel, Nicolaus &amp; Company, Incorporated, Citigroup Global Markets Inc. and Credit Suisse Securities (USA) LLC are acting as joint-book running managers in this offering. Subject to the terms and conditions stated in the underwriting agreement dated the date of this prospectus supplement, each underwriter named below has severally agreed to purchase, and we have agreed to sell to that underwriter, the number of Series C Preference Units set forth opposite the underwriter's name.</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Series 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Preference</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Series C Preference Units sold under the underwriting agreement if any of the Series C Preference Units are purchased.</w:t>
      </w:r>
    </w:p>
    <w:p>
      <w:pPr>
        <w:spacing w:after="0" w:line="13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underwriters have an option to buy up to 600,000 additional Series C Preference Units from us at the public offering price less the underwriting discount. The underwriters have 30 days from the date of this prospectus supplement to exercise this option. If any units are purchased with this option, the underwriters will purchase units in approximately the same proportion as shown in the table above. If any additional Series C Preference Units are purchased, the underwriters will offer the additional units on the same terms on which the units are being offered.</w:t>
      </w:r>
    </w:p>
    <w:p>
      <w:pPr>
        <w:spacing w:after="0" w:line="167"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underwriters are offering the Series C Preference Units, subject to prior sale, when, as and if issued to and accepted by them, subject to approval of legal matters by their counsel, including the validity of the Series C Preference Units, and satisfaction of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underwriters propose initially to offer the Series C Preference Units to the public at the public offering price set forth on the cover page of this prospectus supplement and to dealers at that price less a concession not in excess of $0.50 per unit. The underwriters may allow, and the dealers may reallow, a discount not in excess of $0.45 per unit to other dealers. After the initial offering, the public offering price, concession or any other term of this offering may be changed.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public offering price, underwriting discount and proceeds, before expenses, to us.</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21"/>
                <w:szCs w:val="21"/>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(1)</w:t>
            </w:r>
          </w:p>
        </w:tc>
      </w:tr>
      <w:tr>
        <w:trPr>
          <w:trHeight w:val="210"/>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$25.00</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$100,000,000</w:t>
            </w: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$0.7875</w:t>
            </w:r>
          </w:p>
        </w:tc>
        <w:tc>
          <w:tcPr>
            <w:tcW w:w="116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$3,150,000</w:t>
            </w: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$24.2125</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$96,850,000</w:t>
            </w:r>
          </w:p>
        </w:tc>
      </w:tr>
      <w:tr>
        <w:trPr>
          <w:trHeight w:val="108"/>
        </w:trPr>
        <w:tc>
          <w:tcPr>
            <w:tcW w:w="2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192" w:lineRule="exact"/>
        <w:rPr>
          <w:sz w:val="20"/>
          <w:szCs w:val="20"/>
          <w:color w:val="auto"/>
        </w:rPr>
      </w:pPr>
    </w:p>
    <w:p>
      <w:pPr>
        <w:ind w:left="2480" w:right="160" w:hanging="532"/>
        <w:spacing w:after="0" w:line="318" w:lineRule="auto"/>
        <w:tabs>
          <w:tab w:leader="none" w:pos="2480" w:val="left"/>
        </w:tabs>
        <w:numPr>
          <w:ilvl w:val="0"/>
          <w:numId w:val="51"/>
        </w:numPr>
        <w:rPr>
          <w:rFonts w:ascii="Arial" w:cs="Arial" w:eastAsia="Arial" w:hAnsi="Arial"/>
          <w:sz w:val="10"/>
          <w:szCs w:val="10"/>
          <w:color w:val="auto"/>
        </w:rPr>
      </w:pPr>
      <w:r>
        <w:rPr>
          <w:rFonts w:ascii="Arial" w:cs="Arial" w:eastAsia="Arial" w:hAnsi="Arial"/>
          <w:sz w:val="12"/>
          <w:szCs w:val="12"/>
          <w:color w:val="auto"/>
        </w:rPr>
        <w:t>We have granted the underwriters an option for a period of 30 days to purchase up to an additional 600,000 Series C Preference Units. If the underwriters exercise the option in full, the total underwriting discount will be $3,622,500, and total proceeds to us before expenses will be $111,377,500.</w:t>
      </w:r>
    </w:p>
    <w:p>
      <w:pPr>
        <w:spacing w:after="0" w:line="150"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underwriting discount to be paid by us represents 3.15% of this offering. The expenses of this offering, not including the underwriting discount, are estimated at $556,590 and are payable by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have agreed that, for a period of 30 days after the date of this prospectus and subject to certain exceptions, we will not, without the prior written consent of the underwriters, (i) directly or indirectly offer, pledge, sell, contract to sell, sell any option or contract to purchase, purchase any option or contract to sell, grant any option, right or warrant for the sale of, or lend or otherwise transfer or dispose of any Series C Preference Units or any securities that are substantially similar to the Series C Preference Units, whether owned as of the date hereof or hereafter acquired or with respect to which we have acquired or hereafter acquire the power of disposition, or file, or cause to be filed, any registration statement under the Securities Act with respect to any of the foregoing (collectively, the "Lock-Up Securities") or (ii) enter into any swap or any other agreement or any transaction that transfers, in whole or in part, directly or indirectly, the economic consequence of ownership of the Lock-Up Securities, whether any such swap, agreement or transaction is to be settled by delivery of Lock-Up Securities, in cash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Series C Preference Units are a new issue of securities with no established trading market. We intend to apply to list the Series C Preference Units on the NYSE under the symbol "GLOP PR C". If the application is approved, trading of the Series C Preference Units on the NYSE is expected to begin within 30 days after the date of initial delivery of the Series C Preference Units. The underwriters have advised us that they intend to make a market in the Series C Preference Units before commencement of trading on the NYSE. They will have no obligation to make a market in the Series C Preference Units, however, and may cease market-making activities, if commenced, at any time. Accordingly, an active trading market on the NYSE for the Series C Preference Units may not develop or, even if one develops, may not last, in which case the liquidity and market price of the Series C Preference Units could be adversely affected, the difference between bid and asked prices could be substantial and your ability to transfer Series C Preference Units at the time and price desired will be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Until the distribution of the Series C Preference Units is completed, SEC rules may limit underwriters and selling group members from bidding for and purchasing Series C Preference Units. However, the underwriters may engage in transactions that have the effect of stabilizing the price of the Series C Preference Units, such as bids or purchases and other activities that peg, fix or maintain that price.</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connection with this offering, the underwriters may bid for or purchase and sell Series C Preference Units in the open market. These transactions may include stabilizing transactions, short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sales and purchases on the open market to cover positions created by short sales. Stabilizing transactions consist of various activities such as purchases of</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Series C Preference Units made by the underwriters in the open market prior to the completion of the offering. Short sales involve the sale by the underwriters of a greater number of Series C Preference Units than they are required to purchase in this offering. Short sales may be "covered" shorts, which are short positions in an amount not greater than the underwriters' option to purchase additional units referred to above, or may be "naked" shorts, which are short positions in excess of that amount. The underwriters may close out any covered short position either by exercising their option to purchase additional Series C Preference Units, in whole or in part, or by purchasing our Series C Preference Units in the open market. In making this determination, the underwriters will consider, among other things, the price of our Series C Preference Units available for purchase in the open market compared to the price at which the underwriters may purchase our Series C Preference Units through the option. A naked short position is more likely to be created if the underwriters are concerned that there may be downward pressure on the price of the Series C Preference Units in the open market that could adversely affect investors who purchase in this offering. To the extent that the underwriters create a naked short position, they will purchase our Series C Preference Units in the open market to cover the position.</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and other activities may have the effect of raising or maintaining the market price of the Series C Preference Units or preventing or retarding a decline in the market price of Series C Preference Units. As a result, the price of the Series C Preference Units may be higher than the price that might otherwise exist in the open market. The underwriters may conduct these transactions on the NYSE, in the over-the-counter market or otherwise.</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Series C Preference Units. In addition, neither we nor any of the underwriters make any representation that the underwriters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Extended Settlement</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expect that delivery of the Series C Preference Units will be made to investors November 15, 2018, which will be the fifth business day following the date of pricing of the Series C Preference Units (such settlement being referred to as "T+5"). Under Rule 15c6-1 under the Exchange Act, trades in the secondary market are required to settle in two business days, unless the parties to any such trade expressly agree otherwise. Accordingly, purchasers who wish to trade their Series C Preference Units on the initial pricing date of the Series C Preference Units or the succeeding two business days will be required, by virtue of the fact that the Series C Preference Units initially will settle in T+5, to specify an alternate settlement arrangement at the time of any such trade to prevent a failed settlement and should consult their advisors.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and to persons and entities with relationships with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of our Series C Preference Units may not be made in that Relevant Member State, except that an offer to the public in that Relevant Member State of any of our Series C Preference Units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207"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our Series C Preference Units shall result in a requirement for the publication by us or any underwriter of a prospectus pursuant to Article 3 of the Prospectus Directive.</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Series C Preference Units in any Relevant Member State means the communication in any form and by any means of sufficient information on the terms of the offer and any of our Series C Preference Units to be offered so as to enable an investor to decide to purchase any of our Series C Preference Units,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is only being distributed to, and is only directed at, persons in the United Kingdom that are qualified investors within the meaning of Article 2(l)(e) of the Prospectus Directive that are also (i) investment professionals falling within Article 19(5) of the Financial Services and Markets Act 2000 (Financial Promotion) Order 2005, or the Order, or (ii) high net worth entitles,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reply on this document or any of its contents.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France</w:t>
      </w:r>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 xml:space="preserve">Neither this prospectus supplement nor any other offering material relating to our Series C Preference Units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Our Series C Preference Units have not been offered or sold and will not be offered or sold, directly or indirectly, to the public in France. Neither this prospectus supplement nor any other offering material relating to our Series C Preference Units have been or will be:</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released, issued, distributed or caused to be released, issued or distributed to the public in France; or used in connection with any other offer for subscription or sale of our Series C Preference Units to the public in France.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Such offers, sales and distributions will be made in France only: to qualified investors (</w:t>
      </w:r>
      <w:r>
        <w:rPr>
          <w:rFonts w:ascii="Arial" w:cs="Arial" w:eastAsia="Arial" w:hAnsi="Arial"/>
          <w:sz w:val="16"/>
          <w:szCs w:val="16"/>
          <w:i w:val="1"/>
          <w:iCs w:val="1"/>
          <w:color w:val="auto"/>
        </w:rPr>
        <w:t>investisseurs qualifiés</w:t>
      </w:r>
      <w:r>
        <w:rPr>
          <w:rFonts w:ascii="Arial" w:cs="Arial" w:eastAsia="Arial" w:hAnsi="Arial"/>
          <w:sz w:val="16"/>
          <w:szCs w:val="16"/>
          <w:color w:val="auto"/>
        </w:rPr>
        <w:t>) and/or to a restricted circle of investors (</w:t>
      </w:r>
      <w:r>
        <w:rPr>
          <w:rFonts w:ascii="Arial" w:cs="Arial" w:eastAsia="Arial" w:hAnsi="Arial"/>
          <w:sz w:val="16"/>
          <w:szCs w:val="16"/>
          <w:i w:val="1"/>
          <w:iCs w:val="1"/>
          <w:color w:val="auto"/>
        </w:rPr>
        <w:t>cercle</w:t>
      </w:r>
      <w:r>
        <w:rPr>
          <w:rFonts w:ascii="Arial" w:cs="Arial" w:eastAsia="Arial" w:hAnsi="Arial"/>
          <w:sz w:val="16"/>
          <w:szCs w:val="16"/>
          <w:color w:val="auto"/>
        </w:rPr>
        <w:t xml:space="preserve"> </w:t>
      </w:r>
      <w:r>
        <w:rPr>
          <w:rFonts w:ascii="Arial" w:cs="Arial" w:eastAsia="Arial" w:hAnsi="Arial"/>
          <w:sz w:val="16"/>
          <w:szCs w:val="16"/>
          <w:i w:val="1"/>
          <w:iCs w:val="1"/>
          <w:color w:val="auto"/>
        </w:rPr>
        <w:t>restreint d'investisseurs</w:t>
      </w:r>
      <w:r>
        <w:rPr>
          <w:rFonts w:ascii="Arial" w:cs="Arial" w:eastAsia="Arial" w:hAnsi="Arial"/>
          <w:sz w:val="16"/>
          <w:szCs w:val="16"/>
          <w:color w:val="auto"/>
        </w:rPr>
        <w:t>), in each case investing for their own account, all as defined in, and in accordance with articles L.411-2, D.411-1, D.411-2, D.734-1,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D.744-1, D.754-1 and D.764-1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to investment services providers authorized to engage in portfolio management on behalf of third parties; or in a transaction that, in accordance with article L.411-2-II-1-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Réglement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publicá l'épargne</w:t>
      </w:r>
      <w:r>
        <w:rPr>
          <w:rFonts w:ascii="Arial" w:cs="Arial" w:eastAsia="Arial" w:hAnsi="Arial"/>
          <w:sz w:val="16"/>
          <w:szCs w:val="16"/>
          <w:color w:val="auto"/>
        </w:rPr>
        <w:t>).</w:t>
      </w:r>
    </w:p>
    <w:p>
      <w:pPr>
        <w:spacing w:after="0" w:line="17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Our Series C Preference Units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Switzerland</w:t>
      </w:r>
    </w:p>
    <w:p>
      <w:pPr>
        <w:spacing w:after="0" w:line="225"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Our Series C Preference Units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our Series C Preference Units or the offering may be publicly distributed or otherwise made publicly available in Switzerland.</w:t>
      </w:r>
    </w:p>
    <w:p>
      <w:pPr>
        <w:spacing w:after="0" w:line="15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our Series C Preference Units have been or will be filed with or approved by any Swiss regulatory authority. In particular, this document will not be filed with, and the offer of our Series C Preference Units will not be supervised by, the Swiss Financial Market Supervisory Authority (FINMA), and the offer of our Series C Preference Units has not been and will not be authorized under the Swiss Federal Act on Collective Investment Schemes, or "SCISA". The investor protection afforded to acquirers of interests in collective investment schemes under the SCISA does not extend to acquirers of our Series C Preference Units.</w:t>
      </w:r>
    </w:p>
    <w:p>
      <w:pPr>
        <w:spacing w:after="0" w:line="170" w:lineRule="exact"/>
        <w:rPr>
          <w:sz w:val="20"/>
          <w:szCs w:val="20"/>
          <w:color w:val="auto"/>
        </w:rPr>
      </w:pPr>
    </w:p>
    <w:p>
      <w:pPr>
        <w:jc w:val="both"/>
        <w:ind w:right="300" w:firstLine="348"/>
        <w:spacing w:after="0" w:line="298" w:lineRule="auto"/>
        <w:rPr>
          <w:sz w:val="20"/>
          <w:szCs w:val="20"/>
          <w:color w:val="auto"/>
        </w:rPr>
      </w:pPr>
      <w:r>
        <w:rPr>
          <w:rFonts w:ascii="Arial" w:cs="Arial" w:eastAsia="Arial" w:hAnsi="Arial"/>
          <w:sz w:val="16"/>
          <w:szCs w:val="16"/>
          <w:color w:val="auto"/>
        </w:rPr>
        <w:t>This prospectus supplement as well as any other material relating to our Series C Preference Units is personal and confidential and does not constitute an offer to any other person. This prospectus supplement may only be used by those investors to whom it has been sent in connection with the offering described herein and may neither directly nor indirectly be distributed or made available to other persons without express consent of the Company. It may not be used in connection with any other offer and shall in particular not be copied and/or distributed to the public in (or from) Switzerland.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Our Series C Preference Units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our Series C Preference Units may not be circulated or distributed, nor may our Series C Preference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Where our Series C Preference Units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Solely for the purposes of its obligations pursuant to sections 309B(1)(a) and 309B(1)(c) of the SFA, the Partnership has determined, and hereby notifies all relevant persons (as defined in Section 309A of the SFA) that the Series C Preference Units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Series C Preference Units have not been and will not be registered under the Financial Instruments and Exchange Law of Japan (the Financial Instruments and Exchange Law) and no securities will be offered or sold, directly or indirectly, in Japan or to, or for the benefit of, any resident of Japan (which term as used herein means any person resident in Japan, including any corporation 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Bermuda</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Our Series C Preference Units may be offered or sold in Bermuda only in compliance with the provisions of the Investment Business Act 2003 of Bermuda (as amended). Additionally, non-Bermudian persons may not carry on or engage in any trade or business in Bermuda unless such persons are authorized to do so under applicable Bermuda legislation. Engaging in the activity of offering or marketing our Series C Preference Units in Bermuda to persons in Bermuda may be deemed to be carrying on business in Bermuda.</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document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Series C Preference Units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our Series C Preference Units has been, or will be, prepared.</w:t>
      </w:r>
    </w:p>
    <w:p>
      <w:pPr>
        <w:spacing w:after="0" w:line="161"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This document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supplement is not a wholesale client, no offer of, or invitation to apply for, our Series C Preference Units shall be deemed to be made to such recipient and no applications for our Series C Preference Units will be accepted from such recipient. Any offer to a recipient in Australia, and any agreement arising from acceptance of such offer, is personal and may only be accepted by the recipient. In addition, by applying for our Series C Preference Units you undertake to us that, for a period of 12 months from the date of issue of our Series C Preference Units, you will not transfer any interest in our Series C Preference Units to any person in Australia other than to a wholesale client.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Greece</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Series C Preference Units have not been approved by the Hellenic Capital Markets Commission for distribution and marketing in Greece. This document and the information contained therein do not and shall not be deemed to constitute an invitation to the public in Greece to purchase the securities. Our Series C Preference Units may not be advertised, distributed, offered or in any way sold in Greece except as permitted by Greek law.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validity of the Series C Preference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 by Latham &amp; Watkins LLP.</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The consolidated financial statements of GasLog Partners LP as of December 31, 2016 and 2017 and for each of the three years in the period ended December 31, 2017 incorporated in this prospectus supplement by reference from the Partnership's Annual Report on Form 20-F for the year ended December 31, 2017,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1 New Street Square, London, EC4A 3HQ, United Kingdom.</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 RELATED TO THIS OFFERING</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sets forth the main costs and expenses, other than the underwriting discounts and commissions, in connection with this offering, which we will be required to pay.</w:t>
      </w:r>
    </w:p>
    <w:p>
      <w:pPr>
        <w:spacing w:after="0" w:line="194"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NYSE listing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Transfer agent fees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556,590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4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480" w:hanging="532"/>
        <w:spacing w:after="0"/>
        <w:tabs>
          <w:tab w:leader="none" w:pos="2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http://www.sec.gov that contains reports, proxy and information statements and other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regarding registrants that file electronically with the SEC. For further information pertaining to the securities offered by this prospectus supplement and GasLog Partners, reference is made to the registration statement.</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will also be considered to be part of this prospectus supplement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 incorporates by reference certain documents, to the extent noted therein, including the following:</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Annual Report on Form 20-F for the year ended December 31, 2017, filed with the SEC on February 12, 2018;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Reports on Form 6-K filed with the SEC on March 21, 2018, March 23, 2018, April 27, 2018, June 19, 2018, July 26, 2018, July 27, 2018, September 26, 2018 and October 25, 2018.</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Series C Preference Units made by this prospectus supplement has been terminated. In all cases, you should rely on the later information over different information included in this prospectus supplement.</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provide, free of charge upon written or oral request, to each person to whom this prospectus supplement is delivered, including any beneficial owner of our preference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http://www.gaslogmlp.com.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Nicola Lloyd, General Counsel</w:t>
      </w:r>
    </w:p>
    <w:p>
      <w:pPr>
        <w:spacing w:after="0" w:line="219" w:lineRule="exact"/>
        <w:rPr>
          <w:sz w:val="20"/>
          <w:szCs w:val="20"/>
          <w:color w:val="auto"/>
        </w:rPr>
      </w:pPr>
    </w:p>
    <w:p>
      <w:pPr>
        <w:ind w:right="180"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$750,000,000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8.625% Series A Cumulative Redeemable Perpetual Fixed to Floating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Rate Preference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Other Classes of Units Representing Limited Partner Interests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Combination Units</w:t>
      </w:r>
    </w:p>
    <w:p>
      <w:pPr>
        <w:spacing w:after="0" w:line="21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Through this prospectus, we may offer common units representing limited partner interests (the "Common Units"), 8.625% Series A Cumulative Redeemable Perpetual Fixed to Floating Rate Preference Units representing limited partner interests (the "Series A Preference Units") and other classes of units representing limited partner interests (the "Other Units"), debt securities, warrants to purchase Common Units, Series A Preference Units, Other Units or other rights (the "Warrants"), rights to purchase Common Units, Series A Preference Units and Other Units (the "Rights"), and units consisting of any combination of the Common Units, Series A Preference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7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94"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traded on the New York Stock Exchange under the symbol "GLOP".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Preference Units are traded on the New York Stock Exchange under the symbol "GLOP PR A".</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principal executive offices are located at Gildo Pastor Center, 7 Rue du Gabian, MC 98000, Monaco. Our telephone number at such address is +377 97 97 51 15.</w:t>
      </w:r>
    </w:p>
    <w:p>
      <w:pPr>
        <w:spacing w:after="0" w:line="167" w:lineRule="exact"/>
        <w:rPr>
          <w:sz w:val="20"/>
          <w:szCs w:val="20"/>
          <w:color w:val="auto"/>
        </w:rPr>
      </w:pPr>
    </w:p>
    <w:p>
      <w:pPr>
        <w:ind w:right="50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6"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7960" w:type="dxa"/>
            <w:vAlign w:val="bottom"/>
            <w:gridSpan w:val="2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11"/>
          </w:tcPr>
          <w:p>
            <w:pPr>
              <w:jc w:val="center"/>
              <w:ind w:right="900"/>
              <w:spacing w:after="0"/>
              <w:rPr>
                <w:sz w:val="20"/>
                <w:szCs w:val="20"/>
                <w:color w:val="auto"/>
              </w:rPr>
            </w:pPr>
            <w:r>
              <w:rPr>
                <w:rFonts w:ascii="Arial" w:cs="Arial" w:eastAsia="Arial" w:hAnsi="Arial"/>
                <w:sz w:val="18"/>
                <w:szCs w:val="18"/>
                <w:b w:val="1"/>
                <w:bCs w:val="1"/>
                <w:color w:val="auto"/>
                <w:w w:val="96"/>
              </w:rPr>
              <w:t>TABLE OF CONTENTS</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FORWARD-LOOKING STATEMENTS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4">
              <w:r>
                <w:rPr>
                  <w:rFonts w:ascii="Arial" w:cs="Arial" w:eastAsia="Arial" w:hAnsi="Arial"/>
                  <w:sz w:val="18"/>
                  <w:szCs w:val="18"/>
                  <w:color w:val="0000EE"/>
                </w:rPr>
                <w:t>1</w:t>
              </w:r>
            </w:hyperlink>
          </w:p>
        </w:tc>
      </w:tr>
      <w:tr>
        <w:trPr>
          <w:trHeight w:val="412"/>
        </w:trPr>
        <w:tc>
          <w:tcPr>
            <w:tcW w:w="114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THE COMPANY</w:t>
              </w:r>
            </w:hyperlink>
          </w:p>
        </w:tc>
        <w:tc>
          <w:tcPr>
            <w:tcW w:w="1600" w:type="dxa"/>
            <w:vAlign w:val="bottom"/>
            <w:tcBorders>
              <w:top w:val="single" w:sz="8" w:color="0000EE"/>
            </w:tcBorders>
            <w:gridSpan w:val="8"/>
          </w:tcPr>
          <w:p>
            <w:pPr>
              <w:spacing w:after="0"/>
              <w:rPr>
                <w:sz w:val="24"/>
                <w:szCs w:val="24"/>
                <w:color w:val="auto"/>
              </w:rPr>
            </w:pPr>
          </w:p>
        </w:tc>
        <w:tc>
          <w:tcPr>
            <w:tcW w:w="3960" w:type="dxa"/>
            <w:vAlign w:val="bottom"/>
            <w:gridSpan w:val="1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RISK FACTORS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8">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SERVICE OF PROCESS AND ENFORCEMENT OF LIABILITIES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99">
              <w:r>
                <w:rPr>
                  <w:rFonts w:ascii="Arial" w:cs="Arial" w:eastAsia="Arial" w:hAnsi="Arial"/>
                  <w:sz w:val="18"/>
                  <w:szCs w:val="18"/>
                  <w:color w:val="0000EE"/>
                </w:rPr>
                <w:t>6</w:t>
              </w:r>
            </w:hyperlink>
          </w:p>
        </w:tc>
      </w:tr>
      <w:tr>
        <w:trPr>
          <w:trHeight w:val="412"/>
        </w:trPr>
        <w:tc>
          <w:tcPr>
            <w:tcW w:w="1140" w:type="dxa"/>
            <w:vAlign w:val="bottom"/>
          </w:tcPr>
          <w:p>
            <w:pPr>
              <w:spacing w:after="0"/>
              <w:rPr>
                <w:sz w:val="24"/>
                <w:szCs w:val="24"/>
                <w:color w:val="auto"/>
              </w:rPr>
            </w:pPr>
          </w:p>
        </w:tc>
        <w:tc>
          <w:tcPr>
            <w:tcW w:w="4880" w:type="dxa"/>
            <w:vAlign w:val="bottom"/>
            <w:tcBorders>
              <w:top w:val="single" w:sz="8" w:color="0000EE"/>
            </w:tcBorders>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ABOUT THIS PROSPECTUS</w:t>
              </w:r>
            </w:hyperlink>
          </w:p>
        </w:tc>
        <w:tc>
          <w:tcPr>
            <w:tcW w:w="1940" w:type="dxa"/>
            <w:vAlign w:val="bottom"/>
            <w:gridSpan w:val="3"/>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WHERE YOU CAN FIND ADDITIONAL INFORMATION</w:t>
              </w:r>
            </w:hyperlink>
          </w:p>
        </w:tc>
        <w:tc>
          <w:tcPr>
            <w:tcW w:w="2500" w:type="dxa"/>
            <w:vAlign w:val="bottom"/>
            <w:gridSpan w:val="5"/>
          </w:tcPr>
          <w:p>
            <w:pPr>
              <w:spacing w:after="0"/>
              <w:rPr>
                <w:sz w:val="24"/>
                <w:szCs w:val="24"/>
                <w:color w:val="auto"/>
              </w:rPr>
            </w:pPr>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0">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INCORPORATION OF CERTAIN INFORMATION BY REFERENCE</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01">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82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RATIO OF EARNINGS TO FIXED CHARGES AND PREFERENCE UNIT DISTRIBUTIONS</w:t>
              </w:r>
            </w:hyperlink>
          </w:p>
        </w:tc>
        <w:tc>
          <w:tcPr>
            <w:tcW w:w="2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9</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USE OF PROCEEDS</w:t>
              </w:r>
            </w:hyperlink>
          </w:p>
        </w:tc>
        <w:tc>
          <w:tcPr>
            <w:tcW w:w="5260" w:type="dxa"/>
            <w:vAlign w:val="bottom"/>
            <w:gridSpan w:val="1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CAPITALIZATION AND INDEBTEDNESS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03">
              <w:r>
                <w:rPr>
                  <w:rFonts w:ascii="Arial" w:cs="Arial" w:eastAsia="Arial" w:hAnsi="Arial"/>
                  <w:sz w:val="18"/>
                  <w:szCs w:val="18"/>
                  <w:color w:val="0000EE"/>
                </w:rPr>
                <w:t>10</w:t>
              </w:r>
            </w:hyperlink>
          </w:p>
        </w:tc>
      </w:tr>
      <w:tr>
        <w:trPr>
          <w:trHeight w:val="412"/>
        </w:trPr>
        <w:tc>
          <w:tcPr>
            <w:tcW w:w="1140" w:type="dxa"/>
            <w:vAlign w:val="bottom"/>
          </w:tcPr>
          <w:p>
            <w:pPr>
              <w:spacing w:after="0"/>
              <w:rPr>
                <w:sz w:val="24"/>
                <w:szCs w:val="24"/>
                <w:color w:val="auto"/>
              </w:rPr>
            </w:pPr>
          </w:p>
        </w:tc>
        <w:tc>
          <w:tcPr>
            <w:tcW w:w="28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DESCRIPTION OF COMMON UNITS</w:t>
              </w:r>
            </w:hyperlink>
          </w:p>
        </w:tc>
        <w:tc>
          <w:tcPr>
            <w:tcW w:w="360" w:type="dxa"/>
            <w:vAlign w:val="bottom"/>
            <w:tcBorders>
              <w:top w:val="single" w:sz="8" w:color="0000EE"/>
            </w:tcBorders>
            <w:gridSpan w:val="3"/>
          </w:tcPr>
          <w:p>
            <w:pPr>
              <w:spacing w:after="0"/>
              <w:rPr>
                <w:sz w:val="24"/>
                <w:szCs w:val="24"/>
                <w:color w:val="auto"/>
              </w:rPr>
            </w:pPr>
          </w:p>
        </w:tc>
        <w:tc>
          <w:tcPr>
            <w:tcW w:w="3620" w:type="dxa"/>
            <w:vAlign w:val="bottom"/>
            <w:gridSpan w:val="11"/>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DESCRIPTION OF SERIES A PREFERENCE UNITS</w:t>
              </w:r>
            </w:hyperlink>
          </w:p>
        </w:tc>
        <w:tc>
          <w:tcPr>
            <w:tcW w:w="2880" w:type="dxa"/>
            <w:vAlign w:val="bottom"/>
            <w:gridSpan w:val="7"/>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0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DESCRIPTION OF THE OTHER CLASSES OF UNITS</w:t>
              </w:r>
            </w:hyperlink>
          </w:p>
        </w:tc>
        <w:tc>
          <w:tcPr>
            <w:tcW w:w="2760" w:type="dxa"/>
            <w:vAlign w:val="bottom"/>
            <w:gridSpan w:val="6"/>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10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DESCRIPTION OF DEBT SECURITIES</w:t>
              </w:r>
            </w:hyperlink>
          </w:p>
        </w:tc>
        <w:tc>
          <w:tcPr>
            <w:tcW w:w="3860" w:type="dxa"/>
            <w:vAlign w:val="bottom"/>
            <w:gridSpan w:val="12"/>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12</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DESCRIPTION OF WARRANTS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12">
              <w:r>
                <w:rPr>
                  <w:rFonts w:ascii="Arial" w:cs="Arial" w:eastAsia="Arial" w:hAnsi="Arial"/>
                  <w:sz w:val="18"/>
                  <w:szCs w:val="18"/>
                  <w:color w:val="0000EE"/>
                </w:rPr>
                <w:t>19</w:t>
              </w:r>
            </w:hyperlink>
          </w:p>
        </w:tc>
      </w:tr>
      <w:tr>
        <w:trPr>
          <w:trHeight w:val="412"/>
        </w:trPr>
        <w:tc>
          <w:tcPr>
            <w:tcW w:w="11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DESCRIPTION OF RIGHTS</w:t>
              </w:r>
            </w:hyperlink>
          </w:p>
        </w:tc>
        <w:tc>
          <w:tcPr>
            <w:tcW w:w="320" w:type="dxa"/>
            <w:vAlign w:val="bottom"/>
            <w:tcBorders>
              <w:top w:val="single" w:sz="8" w:color="0000EE"/>
            </w:tcBorders>
            <w:gridSpan w:val="2"/>
          </w:tcPr>
          <w:p>
            <w:pPr>
              <w:spacing w:after="0"/>
              <w:rPr>
                <w:sz w:val="24"/>
                <w:szCs w:val="24"/>
                <w:color w:val="auto"/>
              </w:rPr>
            </w:pPr>
          </w:p>
        </w:tc>
        <w:tc>
          <w:tcPr>
            <w:tcW w:w="4400" w:type="dxa"/>
            <w:vAlign w:val="bottom"/>
            <w:gridSpan w:val="15"/>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6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DESCRIPTION OF THE COMBINATION UNITS</w:t>
              </w:r>
            </w:hyperlink>
          </w:p>
        </w:tc>
        <w:tc>
          <w:tcPr>
            <w:tcW w:w="3180" w:type="dxa"/>
            <w:vAlign w:val="bottom"/>
            <w:gridSpan w:val="1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3">
              <w:r>
                <w:rPr>
                  <w:rFonts w:ascii="Arial" w:cs="Arial" w:eastAsia="Arial" w:hAnsi="Arial"/>
                  <w:sz w:val="18"/>
                  <w:szCs w:val="18"/>
                  <w:color w:val="0000EE"/>
                  <w:w w:val="79"/>
                </w:rPr>
                <w:t>20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9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SUMMARY OF OUR PARTNERSHIP AGREEMENT</w:t>
              </w:r>
            </w:hyperlink>
          </w:p>
        </w:tc>
        <w:tc>
          <w:tcPr>
            <w:tcW w:w="2900" w:type="dxa"/>
            <w:vAlign w:val="bottom"/>
            <w:gridSpan w:val="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14">
              <w:r>
                <w:rPr>
                  <w:rFonts w:ascii="Arial" w:cs="Arial" w:eastAsia="Arial" w:hAnsi="Arial"/>
                  <w:sz w:val="18"/>
                  <w:szCs w:val="18"/>
                  <w:color w:val="0000EE"/>
                  <w:w w:val="79"/>
                </w:rPr>
                <w:t>21</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22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29">
              <w:r>
                <w:rPr>
                  <w:rFonts w:ascii="Arial" w:cs="Arial" w:eastAsia="Arial" w:hAnsi="Arial"/>
                  <w:sz w:val="18"/>
                  <w:szCs w:val="18"/>
                  <w:color w:val="0000EE"/>
                  <w:w w:val="94"/>
                </w:rPr>
                <w:t>OUR CASH DISTRIBUTION POLICY AND RESTRICTIONS ON DISTRIBUTIONS</w:t>
              </w:r>
            </w:hyperlink>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29">
              <w:r>
                <w:rPr>
                  <w:rFonts w:ascii="Arial" w:cs="Arial" w:eastAsia="Arial" w:hAnsi="Arial"/>
                  <w:sz w:val="18"/>
                  <w:szCs w:val="18"/>
                  <w:color w:val="0000EE"/>
                  <w:w w:val="79"/>
                </w:rPr>
                <w:t>36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476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MATERIAL U.S. FEDERAL INCOME TAX CONSIDERATIONS</w:t>
              </w:r>
            </w:hyperlink>
          </w:p>
        </w:tc>
        <w:tc>
          <w:tcPr>
            <w:tcW w:w="2060" w:type="dxa"/>
            <w:vAlign w:val="bottom"/>
            <w:gridSpan w:val="4"/>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370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141">
              <w:r>
                <w:rPr>
                  <w:rFonts w:ascii="Arial" w:cs="Arial" w:eastAsia="Arial" w:hAnsi="Arial"/>
                  <w:sz w:val="18"/>
                  <w:szCs w:val="18"/>
                  <w:color w:val="0000EE"/>
                  <w:w w:val="93"/>
                </w:rPr>
                <w:t>NON-UNITED STATES TAX CONSIDERATIONS</w:t>
              </w:r>
            </w:hyperlink>
          </w:p>
        </w:tc>
        <w:tc>
          <w:tcPr>
            <w:tcW w:w="3120" w:type="dxa"/>
            <w:vAlign w:val="bottom"/>
            <w:gridSpan w:val="9"/>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48</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PLAN OF DISTRIBUTION</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41">
              <w:r>
                <w:rPr>
                  <w:rFonts w:ascii="Arial" w:cs="Arial" w:eastAsia="Arial" w:hAnsi="Arial"/>
                  <w:sz w:val="18"/>
                  <w:szCs w:val="18"/>
                  <w:color w:val="0000EE"/>
                </w:rPr>
                <w:t>48</w:t>
              </w:r>
            </w:hyperlink>
          </w:p>
        </w:tc>
      </w:tr>
      <w:tr>
        <w:trPr>
          <w:trHeight w:val="412"/>
        </w:trPr>
        <w:tc>
          <w:tcPr>
            <w:tcW w:w="114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EXPENSES</w:t>
              </w:r>
            </w:hyperlink>
          </w:p>
        </w:tc>
        <w:tc>
          <w:tcPr>
            <w:tcW w:w="1120" w:type="dxa"/>
            <w:vAlign w:val="bottom"/>
            <w:tcBorders>
              <w:top w:val="single" w:sz="8" w:color="0000EE"/>
            </w:tcBorders>
            <w:gridSpan w:val="5"/>
          </w:tcPr>
          <w:p>
            <w:pPr>
              <w:spacing w:after="0"/>
              <w:rPr>
                <w:sz w:val="24"/>
                <w:szCs w:val="24"/>
                <w:color w:val="auto"/>
              </w:rPr>
            </w:pPr>
          </w:p>
        </w:tc>
        <w:tc>
          <w:tcPr>
            <w:tcW w:w="4820" w:type="dxa"/>
            <w:vAlign w:val="bottom"/>
            <w:gridSpan w:val="18"/>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43">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820" w:type="dxa"/>
            <w:vAlign w:val="bottom"/>
            <w:gridSpan w:val="26"/>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LEGAL MATTERS</w:t>
              </w:r>
            </w:hyperlink>
          </w:p>
        </w:tc>
        <w:tc>
          <w:tcPr>
            <w:tcW w:w="3460" w:type="dxa"/>
            <w:vAlign w:val="bottom"/>
            <w:gridSpan w:val="4"/>
          </w:tcPr>
          <w:p>
            <w:pPr>
              <w:jc w:val="right"/>
              <w:ind w:right="1300"/>
              <w:spacing w:after="0"/>
              <w:rPr>
                <w:rFonts w:ascii="Arial" w:cs="Arial" w:eastAsia="Arial" w:hAnsi="Arial"/>
                <w:sz w:val="18"/>
                <w:szCs w:val="18"/>
                <w:color w:val="0000EE"/>
              </w:rPr>
            </w:pPr>
            <w:hyperlink w:anchor="page143">
              <w:r>
                <w:rPr>
                  <w:rFonts w:ascii="Arial" w:cs="Arial" w:eastAsia="Arial" w:hAnsi="Arial"/>
                  <w:sz w:val="18"/>
                  <w:szCs w:val="18"/>
                  <w:color w:val="0000EE"/>
                </w:rPr>
                <w:t>50</w:t>
              </w:r>
            </w:hyperlink>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6"/>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EXPERTS</w:t>
              </w:r>
            </w:hyperlink>
          </w:p>
        </w:tc>
        <w:tc>
          <w:tcPr>
            <w:tcW w:w="5400" w:type="dxa"/>
            <w:vAlign w:val="bottom"/>
            <w:gridSpan w:val="20"/>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43">
              <w:r>
                <w:rPr>
                  <w:rFonts w:ascii="Arial" w:cs="Arial" w:eastAsia="Arial" w:hAnsi="Arial"/>
                  <w:sz w:val="18"/>
                  <w:szCs w:val="18"/>
                  <w:color w:val="0000EE"/>
                  <w:w w:val="79"/>
                </w:rPr>
                <w:t>50</w:t>
              </w:r>
            </w:hyperlink>
          </w:p>
        </w:tc>
        <w:tc>
          <w:tcPr>
            <w:tcW w:w="130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5"/>
          </w:tcPr>
          <w:p>
            <w:pPr>
              <w:jc w:val="center"/>
              <w:ind w:right="2000"/>
              <w:spacing w:after="0"/>
              <w:rPr>
                <w:sz w:val="20"/>
                <w:szCs w:val="20"/>
                <w:color w:val="auto"/>
              </w:rPr>
            </w:pPr>
            <w:r>
              <w:rPr>
                <w:rFonts w:ascii="Arial" w:cs="Arial" w:eastAsia="Arial" w:hAnsi="Arial"/>
                <w:sz w:val="18"/>
                <w:szCs w:val="18"/>
                <w:color w:val="auto"/>
              </w:rPr>
              <w:t>i</w:t>
            </w:r>
          </w:p>
        </w:tc>
        <w:tc>
          <w:tcPr>
            <w:tcW w:w="1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liquidity and cash available for dividends or distributions, plans, strategies, business prospects and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 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3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leverage GasLog Ltd.'s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purchase vessels from GasLog Ltd. in the future;</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Ltd. of the revolving credit facility with GasLog Ltd. entered into on April 3, 2017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5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GasLog Ltd.'s ability to retain key employees and provide services to us, and the availability of skilled labor, ship crews and management;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52"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February 13, 2017, available at http://www.sec.gov.</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references in this prospectus to:</w:t>
      </w:r>
    </w:p>
    <w:p>
      <w:pPr>
        <w:spacing w:after="0" w:line="239" w:lineRule="exact"/>
        <w:rPr>
          <w:sz w:val="20"/>
          <w:szCs w:val="20"/>
          <w:color w:val="auto"/>
        </w:rPr>
      </w:pPr>
    </w:p>
    <w:p>
      <w:pPr>
        <w:ind w:left="1080" w:right="1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general partner" refer to GasLog Partners GP LLC, the general partner of GasLog Partners and a wholly owned subsidiary of GasLog;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"GasLog LNG Services" refer to GasLog LNG Services Ltd., a wholly owned subsidiary of GasLog;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refers to Total Gas &amp; Power Chartering Limited, a wholly owned subsidiary of Total plc;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"Omnibus agreement" refers to the Omnibus Agreement dated May 12, 2014 by and among the Partnership, GasLog, our general partner and GasLog Partners Holdings LLC, as amended;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"cbm" refer to cubic meters.</w:t>
      </w:r>
    </w:p>
    <w:p>
      <w:pPr>
        <w:spacing w:after="0" w:line="225"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We are a growth-oriented limited partnership focused on owning, operating and acquiring LNG carriers engaged in LNG transportation under long-term charters, which we define as charters of five full years or more. Our fleet of eleven LNG carriers, which have fixed charter terms expiring between 2018 and 2026 that can be extended at the charterers' option, were contributed to us by, or acquired from, GasLog, which controls us through its ownership of our general partner.</w:t>
      </w:r>
    </w:p>
    <w:p>
      <w:pPr>
        <w:spacing w:after="0" w:line="161"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 xml:space="preserve">As of September 29, 2017, our fleet consisted of eleven LNG carriers, including six vessels with modern tri-fuel diesel electric ("TFDE") propulsion technology and five modern steam-powered ("Steam") vessels that all operate under long-term charters with subsidiaries of Shell. At that date, we also had options and other certain acquisition rights under which we may acquire additional LNG carriers from GasLog. Under the omnibus agreement entered into with GasLog in connection with our IPO (defined below), we have the option to purchase up to five LNG carriers from GasLog within 36 months after each such vessel's acceptance by its charterer (or, in the case of certain vessels, within 36 months after the completion of their acquisition by GasLog on March 31, 2015), in each case at fair market value as determined pursuant to the omnibus agreement. In addition, we previously had options to acquire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Rita Andrea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and</w:t>
      </w:r>
      <w:r>
        <w:rPr>
          <w:rFonts w:ascii="Arial" w:cs="Arial" w:eastAsia="Arial" w:hAnsi="Arial"/>
          <w:sz w:val="16"/>
          <w:szCs w:val="16"/>
          <w:i w:val="1"/>
          <w:iCs w:val="1"/>
          <w:color w:val="auto"/>
        </w:rPr>
        <w:t xml:space="preserve"> GasLog Geneva</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 have exercised, and these eight vessels are now part of our owned fleet. We also previously had the option to acquire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which option expired in May 2017.</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the notice from GasLog that the vessel has been acquired or has become a Five- Year Vessel. The five newbuildings that will be chartered to Shell, Total and Centrica in 2018 and 2019 will each qualify as a Five-Year Vessel upon commencement of each respective charter, and GasLog will be required to offer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to us an opportunity to purchase each vessel at fair market value within 30 days of the commencement of its charter. Following completion of the acquisition by GasLog of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from a subsidiary of BG Group, GasLog granted us the option, exercisable at any time within 36 months after March 31, 2015—the date that GasLog completed the acquisition to purchase both of the aforementioned vessels at their fair market value as determined under the omnibus agreement—under the same terms that apply to the three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201"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options, with the addition of the five future firm charters agreed with Shell, Total and Centrica, brings the current pipeline of vessels that we have, or may have, the right to acquire from GasLog to 10 LNG carriers. We believe that such options and acquisition rights provide us with significant built-in growth opportunities. We may also acquire vessels from shipyards or other owners.</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w:t>
      </w:r>
    </w:p>
    <w:p>
      <w:pPr>
        <w:spacing w:after="0" w:line="197"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September 29, 2017,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201"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On May 12, 2014, we completed an initial public offering of our Common Units (the "IPO"). We completed follow-on public offerings of our Common Units on September 29, 2014, June 26, 2015, August 5, 2016 and January 27, 2017.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May 15, 2017, we completed a public offering of our Series A Preference Units, liquidation preference $25.00 per unit. The Series A Preference Units are listed on the NYSE under the ticker symbol "GLOP PR A."</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May 16, 2017, we commenced an "at-the-market" offering program under which we may offer and sell Common Units having an aggregate offering price of up to $100 million from time to time through our sales agents.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97"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make cash distributions and lower the trading price of our securities. The risks referred to above are not the only ones that may exist. Additional risks not currently known by us or that we deem immaterial may also impair our business operations. You may lose all or a part of your investment.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9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Cozen O'Connor, our counsel as to Marshall Islands law, has advised us that there is uncertainty as to whether the courts of the Marshall Islands would</w:t>
      </w:r>
    </w:p>
    <w:p>
      <w:pPr>
        <w:spacing w:after="0" w:line="38" w:lineRule="exact"/>
        <w:rPr>
          <w:sz w:val="20"/>
          <w:szCs w:val="20"/>
          <w:color w:val="auto"/>
        </w:rPr>
      </w:pPr>
    </w:p>
    <w:p>
      <w:pPr>
        <w:ind w:right="100" w:firstLine="8"/>
        <w:spacing w:after="0" w:line="255"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Under this shelf registration process, we may, from time to time, sell up to an aggregate public offering price of $750,000,000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Partners, reference is made to the registration statement.</w:t>
      </w:r>
    </w:p>
    <w:p>
      <w:pPr>
        <w:spacing w:after="0" w:line="17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right="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Reports on Form 6-K, filed with the SEC on March 23, 2017, May 3, 2017, May 10, 2017, May 15, 2017, May 16, 2017, June 1, 2017, July 5, 2017, July 27, 2017, August 21, 2017, September 15, 2017 and September 29, 2017;</w:t>
      </w:r>
    </w:p>
    <w:p>
      <w:pPr>
        <w:spacing w:after="0" w:line="212" w:lineRule="exact"/>
        <w:rPr>
          <w:rFonts w:ascii="Arial" w:cs="Arial" w:eastAsia="Arial" w:hAnsi="Arial"/>
          <w:sz w:val="18"/>
          <w:szCs w:val="18"/>
          <w:color w:val="auto"/>
        </w:rPr>
      </w:pPr>
    </w:p>
    <w:p>
      <w:pPr>
        <w:ind w:left="1080" w:right="62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Annual Report on Form 20-F for the year ended December 31, 2016, filed with the SEC on February 13, 2017 (Items 3A, 5, 18 of this Form 20-F have been updated by the Current Report on Form 6-K filed with the SEC on September 29, 2017);</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description of our Common Units which is contained in our registration statement on Form 8-A (File No. 001-36433), filed with the SEC on April 30, 2014, including any amendment or report filed for the purpose of updating such description; and</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description of our Series A Preference Units which is contained in our registration statement on Form 8-A (File No. 001- 36433), filed with the SEC on May 15, 2017, including any amendment or report filed for the purpose of updating such description.</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7" w:lineRule="exact"/>
        <w:rPr>
          <w:sz w:val="20"/>
          <w:szCs w:val="20"/>
          <w:color w:val="auto"/>
        </w:rPr>
      </w:pPr>
    </w:p>
    <w:p>
      <w:pPr>
        <w:ind w:right="440" w:firstLine="348"/>
        <w:spacing w:after="0" w:line="298"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www.gaslogmlp.com.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Gildo Pastor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MC 98000, Monaco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+377 97 97 51 15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 AND PREFERENCE UNIT DISTRIBUTIONS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table sets forth our ratio of earnings to fixed charges for the periods indicated, computed using amounts derived from our financial statements for the years ended December 31, 2014, 2015 and 2016 included in the Form 6-K filed on September 29, 2017 and incorporated herein by reference. The amounts as of December 31, 2012 and 2013 and for each of the years ended December 31, 2012 and 2013 are a summary of and are derived from our audited consolidated financial statements after retroactive restatement for the transfer of vessels from GasLog to the Partnership, which are not incorporated by reference in this registration statement. Our financial statements are prepared in accordance with International Financial Reporting Standards as issued by the International Accounting Standards Board.</w:t>
      </w: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5"/>
          </w:tcPr>
          <w:p>
            <w:pPr>
              <w:ind w:left="400"/>
              <w:spacing w:after="0"/>
              <w:rPr>
                <w:sz w:val="20"/>
                <w:szCs w:val="20"/>
                <w:color w:val="auto"/>
              </w:rPr>
            </w:pPr>
            <w:r>
              <w:rPr>
                <w:rFonts w:ascii="Arial" w:cs="Arial" w:eastAsia="Arial" w:hAnsi="Arial"/>
                <w:sz w:val="14"/>
                <w:szCs w:val="14"/>
                <w:b w:val="1"/>
                <w:bCs w:val="1"/>
                <w:color w:val="auto"/>
                <w:w w:val="98"/>
              </w:rPr>
              <w:t>Year ended December 31,</w:t>
            </w:r>
            <w:r>
              <w:rPr>
                <w:rFonts w:ascii="Arial" w:cs="Arial" w:eastAsia="Arial" w:hAnsi="Arial"/>
                <w:sz w:val="22"/>
                <w:szCs w:val="22"/>
                <w:b w:val="1"/>
                <w:bCs w:val="1"/>
                <w:color w:val="auto"/>
                <w:w w:val="98"/>
                <w:vertAlign w:val="superscript"/>
              </w:rPr>
              <w:t>(1)</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0" w:type="dxa"/>
            <w:vAlign w:val="bottom"/>
            <w:gridSpan w:val="2"/>
            <w:vMerge w:val="restart"/>
          </w:tcPr>
          <w:p>
            <w:pPr>
              <w:jc w:val="center"/>
              <w:ind w:right="180"/>
              <w:spacing w:after="0" w:line="109" w:lineRule="exact"/>
              <w:rPr>
                <w:sz w:val="20"/>
                <w:szCs w:val="20"/>
                <w:color w:val="auto"/>
              </w:rPr>
            </w:pPr>
            <w:r>
              <w:rPr>
                <w:rFonts w:ascii="Arial" w:cs="Arial" w:eastAsia="Arial" w:hAnsi="Arial"/>
                <w:sz w:val="12"/>
                <w:szCs w:val="12"/>
                <w:b w:val="1"/>
                <w:bCs w:val="1"/>
                <w:color w:val="auto"/>
                <w:w w:val="99"/>
              </w:rPr>
              <w:t>ended June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7"/>
          </w:tcPr>
          <w:p>
            <w:pPr>
              <w:jc w:val="right"/>
              <w:ind w:right="36"/>
              <w:spacing w:after="0" w:line="142" w:lineRule="exact"/>
              <w:rPr>
                <w:sz w:val="20"/>
                <w:szCs w:val="20"/>
                <w:color w:val="auto"/>
              </w:rPr>
            </w:pPr>
            <w:r>
              <w:rPr>
                <w:rFonts w:ascii="Arial" w:cs="Arial" w:eastAsia="Arial" w:hAnsi="Arial"/>
                <w:sz w:val="14"/>
                <w:szCs w:val="14"/>
                <w:b w:val="1"/>
                <w:bCs w:val="1"/>
                <w:color w:val="auto"/>
              </w:rPr>
              <w:t>(in thousands of U.S. dollars, except ratios)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Pre-tax (loss)/income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tcPr>
          <w:p>
            <w:pPr>
              <w:jc w:val="right"/>
              <w:spacing w:after="0"/>
              <w:rPr>
                <w:sz w:val="20"/>
                <w:szCs w:val="20"/>
                <w:color w:val="auto"/>
              </w:rPr>
            </w:pPr>
            <w:r>
              <w:rPr>
                <w:rFonts w:ascii="Arial" w:cs="Arial" w:eastAsia="Arial" w:hAnsi="Arial"/>
                <w:sz w:val="18"/>
                <w:szCs w:val="18"/>
                <w:color w:val="auto"/>
              </w:rPr>
              <w:t>31,011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49,035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77,629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87,633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Amortization of capitalized expenses relating to</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indebtedness.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Fixed Charges before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Preference unit distributions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gridSpan w:val="3"/>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Combined Fixed Charges and preference unit</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line="27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9"/>
                <w:szCs w:val="29"/>
                <w:b w:val="1"/>
                <w:bCs w:val="1"/>
                <w:color w:val="auto"/>
                <w:vertAlign w:val="superscript"/>
              </w:rPr>
              <w:t>(2)</w:t>
            </w:r>
          </w:p>
        </w:tc>
        <w:tc>
          <w:tcPr>
            <w:tcW w:w="74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gridSpan w:val="3"/>
            <w:vMerge w:val="continue"/>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99"/>
              </w:rPr>
              <w:t>Ratio of Earnings to Combined Fixed Charges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920" w:type="dxa"/>
            <w:vAlign w:val="bottom"/>
            <w:gridSpan w:val="2"/>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and Preference Unit Distributions</w:t>
            </w:r>
            <w:r>
              <w:rPr>
                <w:rFonts w:ascii="Arial" w:cs="Arial" w:eastAsia="Arial" w:hAnsi="Arial"/>
                <w:sz w:val="29"/>
                <w:szCs w:val="29"/>
                <w:b w:val="1"/>
                <w:bCs w:val="1"/>
                <w:color w:val="auto"/>
                <w:vertAlign w:val="superscript"/>
              </w:rPr>
              <w:t>(2)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n/m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Dollar Amount of the Coverage Deficiency</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b w:val="1"/>
                <w:bCs w:val="1"/>
                <w:color w:val="auto"/>
                <w:w w:val="92"/>
              </w:rPr>
              <w:t>n/a</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30" w:lineRule="auto"/>
        <w:tabs>
          <w:tab w:leader="none" w:pos="1680" w:val="left"/>
        </w:tabs>
        <w:numPr>
          <w:ilvl w:val="0"/>
          <w:numId w:val="60"/>
        </w:numPr>
        <w:rPr>
          <w:rFonts w:ascii="Arial" w:cs="Arial" w:eastAsia="Arial" w:hAnsi="Arial"/>
          <w:sz w:val="11"/>
          <w:szCs w:val="11"/>
          <w:color w:val="auto"/>
        </w:rPr>
      </w:pPr>
      <w:r>
        <w:rPr>
          <w:rFonts w:ascii="Arial" w:cs="Arial" w:eastAsia="Arial" w:hAnsi="Arial"/>
          <w:sz w:val="14"/>
          <w:szCs w:val="14"/>
          <w:color w:val="auto"/>
        </w:rPr>
        <w:t>Restated so as to reflect the historical results of GAS-sixteen Ltd., GAS-seventeen Ltd., GAS-nineteen Ltd., GAS-twenty Ltd., GAS- twenty one Ltd., GAS-seven Ltd. and GAS-eleven Ltd. from their respective dates of incorporation by GasLog. See Note 1 to the audited consolidated financial statements for the year ended December 31, 2016 on our Current Report on Form 6-K filed on September 29, 2017, and Note 1 to the unaudited condensed consolidated financial statements for the three and six months ended June 30, 2016 and 2017 on Form 6-K incorporated herein by reference.</w:t>
      </w:r>
    </w:p>
    <w:p>
      <w:pPr>
        <w:spacing w:after="0" w:line="72" w:lineRule="exact"/>
        <w:rPr>
          <w:rFonts w:ascii="Arial" w:cs="Arial" w:eastAsia="Arial" w:hAnsi="Arial"/>
          <w:sz w:val="11"/>
          <w:szCs w:val="11"/>
          <w:color w:val="auto"/>
        </w:rPr>
      </w:pPr>
    </w:p>
    <w:p>
      <w:pPr>
        <w:ind w:left="1680" w:hanging="531"/>
        <w:spacing w:after="0"/>
        <w:tabs>
          <w:tab w:leader="none" w:pos="168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For purposes of calculating the ratios above:</w:t>
      </w:r>
    </w:p>
    <w:p>
      <w:pPr>
        <w:spacing w:after="0" w:line="200" w:lineRule="exact"/>
        <w:rPr>
          <w:rFonts w:ascii="Arial" w:cs="Arial" w:eastAsia="Arial" w:hAnsi="Arial"/>
          <w:sz w:val="22"/>
          <w:szCs w:val="22"/>
          <w:color w:val="auto"/>
          <w:vertAlign w:val="superscript"/>
        </w:rPr>
      </w:pPr>
    </w:p>
    <w:p>
      <w:pPr>
        <w:spacing w:after="0" w:line="248" w:lineRule="exact"/>
        <w:rPr>
          <w:rFonts w:ascii="Arial" w:cs="Arial" w:eastAsia="Arial" w:hAnsi="Arial"/>
          <w:sz w:val="22"/>
          <w:szCs w:val="22"/>
          <w:color w:val="auto"/>
          <w:vertAlign w:val="superscript"/>
        </w:rPr>
      </w:pPr>
    </w:p>
    <w:p>
      <w:pPr>
        <w:ind w:left="2220" w:right="360" w:hanging="531"/>
        <w:spacing w:after="0" w:line="209" w:lineRule="auto"/>
        <w:tabs>
          <w:tab w:leader="none" w:pos="2220" w:val="left"/>
        </w:tabs>
        <w:numPr>
          <w:ilvl w:val="1"/>
          <w:numId w:val="60"/>
        </w:numPr>
        <w:rPr>
          <w:rFonts w:ascii="Arial" w:cs="Arial" w:eastAsia="Arial" w:hAnsi="Arial"/>
          <w:sz w:val="18"/>
          <w:szCs w:val="18"/>
          <w:color w:val="auto"/>
        </w:rPr>
      </w:pPr>
      <w:r>
        <w:rPr>
          <w:rFonts w:ascii="Arial" w:cs="Arial" w:eastAsia="Arial" w:hAnsi="Arial"/>
          <w:sz w:val="14"/>
          <w:szCs w:val="14"/>
          <w:color w:val="auto"/>
        </w:rPr>
        <w:t>"earnings" is the result of adding (a) pre-tax (loss)/income from continuing operations (which includes non-cash unrealized gains and losses on derivative financial instruments) and (b) fixed charges;</w:t>
      </w:r>
    </w:p>
    <w:p>
      <w:pPr>
        <w:spacing w:after="0" w:line="208" w:lineRule="exact"/>
        <w:rPr>
          <w:rFonts w:ascii="Arial" w:cs="Arial" w:eastAsia="Arial" w:hAnsi="Arial"/>
          <w:sz w:val="18"/>
          <w:szCs w:val="18"/>
          <w:color w:val="auto"/>
        </w:rPr>
      </w:pPr>
    </w:p>
    <w:p>
      <w:pPr>
        <w:ind w:left="2220" w:hanging="531"/>
        <w:spacing w:after="0"/>
        <w:tabs>
          <w:tab w:leader="none" w:pos="2220" w:val="left"/>
        </w:tabs>
        <w:numPr>
          <w:ilvl w:val="1"/>
          <w:numId w:val="60"/>
        </w:numPr>
        <w:rPr>
          <w:rFonts w:ascii="Arial" w:cs="Arial" w:eastAsia="Arial" w:hAnsi="Arial"/>
          <w:sz w:val="16"/>
          <w:szCs w:val="16"/>
          <w:color w:val="auto"/>
        </w:rPr>
      </w:pPr>
      <w:r>
        <w:rPr>
          <w:rFonts w:ascii="Arial" w:cs="Arial" w:eastAsia="Arial" w:hAnsi="Arial"/>
          <w:sz w:val="13"/>
          <w:szCs w:val="13"/>
          <w:color w:val="auto"/>
        </w:rPr>
        <w:t>"fixed charges" represent (i) interest incurred (including realized loss on cash flow hedges) and (ii) amortization of capitalized expenses related to indebtedness;</w:t>
      </w:r>
    </w:p>
    <w:p>
      <w:pPr>
        <w:spacing w:after="0" w:line="205" w:lineRule="exact"/>
        <w:rPr>
          <w:rFonts w:ascii="Arial" w:cs="Arial" w:eastAsia="Arial" w:hAnsi="Arial"/>
          <w:sz w:val="16"/>
          <w:szCs w:val="16"/>
          <w:color w:val="auto"/>
        </w:rPr>
      </w:pPr>
    </w:p>
    <w:p>
      <w:pPr>
        <w:ind w:left="2220" w:hanging="531"/>
        <w:spacing w:after="0" w:line="256" w:lineRule="auto"/>
        <w:tabs>
          <w:tab w:leader="none" w:pos="2220" w:val="left"/>
        </w:tabs>
        <w:numPr>
          <w:ilvl w:val="1"/>
          <w:numId w:val="60"/>
        </w:numPr>
        <w:rPr>
          <w:rFonts w:ascii="Arial" w:cs="Arial" w:eastAsia="Arial" w:hAnsi="Arial"/>
          <w:sz w:val="15"/>
          <w:szCs w:val="15"/>
          <w:color w:val="auto"/>
        </w:rPr>
      </w:pPr>
      <w:r>
        <w:rPr>
          <w:rFonts w:ascii="Arial" w:cs="Arial" w:eastAsia="Arial" w:hAnsi="Arial"/>
          <w:sz w:val="12"/>
          <w:szCs w:val="12"/>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during the years from 2012 to 2016, and the ratio of earnings to combined fixed charges and preference units is equivalent to the ratio of earnings to fixed charges for these years. As of June 30, 2017, we had 5,750,000 outstanding Series A Preference Units. The Series A Preference Units were issued on May 15,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Unless otherwise set forth in the applicable prospectus, we intend to use the net proceeds received from the sale of the securities we offer by this prospectus for general corporate purposes.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COMMON UNITS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description of our Common Units can be found in our registration statement on Form 8-A (File No. 001-36433), filed with the SEC on April 30, 2014,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SERIES A PREFERENCE UNITS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description of our Series A Preference Units can be found in our registration statement on Form 8-A (File No. 001-36433), filed with the SEC on May 15, 2017, including any amendment or report filed for the purpose of updating such description.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OTHER CLASSES OF UNITS</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other than the limited approval rights of the holders of the Series A Preference Units.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As of September 29, 2017, no classes of limited partnership interests were outstanding other than the Common Units and Series A Preference Units. 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176"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 to share in partnership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rights upon our dissolution and liquidation;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whether, and the terms and conditions upon which, we may or shall be required to redeem the Other Units (including sinking fund provisions);</w:t>
      </w:r>
    </w:p>
    <w:p>
      <w:pPr>
        <w:spacing w:after="0" w:line="261"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Other Units are issued with the privilege of conversion or exchange and, if so, the terms and conditions of such conversion or exchange;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conditions upon which Other Units will be issued, evidenced by certificates and assigned or transferred;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method for determining the Percentage Interest (as defined in our partnership agreement) as to such Other Units;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right, if any, of each Other Unit to vote on partnership matters, including matters relating to the relative rights, preferences and privileges of such Other Units.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170"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70"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6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specific designation;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their purchase price and denomination;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of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interest payment dates,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8"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agents for the debt securities, including trustees, depositaries, authenticating or paying agents, transfer agents or registrars;</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whether certain payments on the debt securities will be guaranteed under a financial insurance guarantee policy and the terms of that guarantee;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debt securities will be secured;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applicable selling restrictions;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97"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208"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bankruptcy, insolvency or reorganization under any applicable bankruptcy, insolvency or insolvency related reorganization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39" w:lineRule="exact"/>
        <w:rPr>
          <w:sz w:val="20"/>
          <w:szCs w:val="20"/>
          <w:color w:val="auto"/>
        </w:rPr>
      </w:pPr>
    </w:p>
    <w:p>
      <w:pPr>
        <w:ind w:left="1080" w:right="20" w:hanging="532"/>
        <w:spacing w:after="0" w:line="291"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0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21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 must have previously given written notice to the trustee of the continuing default;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requested the trustee to institute that action;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offered the trustee indemnity satisfactory to 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pacing w:after="0" w:line="23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delivered to the trustee for cancellation all of the outstanding debt securities; or</w:t>
      </w:r>
    </w:p>
    <w:p>
      <w:pPr>
        <w:spacing w:after="0" w:line="238"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39" w:lineRule="exact"/>
        <w:rPr>
          <w:sz w:val="20"/>
          <w:szCs w:val="20"/>
          <w:color w:val="auto"/>
        </w:rPr>
      </w:pPr>
    </w:p>
    <w:p>
      <w:pPr>
        <w:ind w:left="1080" w:right="300" w:hanging="532"/>
        <w:spacing w:after="0" w:line="306"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irrevocably deposit with the trustee cash or, in the case of debt securities payable only in U.S.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deliver to the trustee an opinion of counsel to the effect that:</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under the indenture to:</w:t>
      </w:r>
    </w:p>
    <w:p>
      <w:pPr>
        <w:spacing w:after="0" w:line="19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cure any ambiguity or correct any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evidence the acceptance of appointment by a successor trustee; or</w:t>
      </w:r>
    </w:p>
    <w:p>
      <w:pPr>
        <w:spacing w:after="0" w:line="252"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1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Modification with Consent of Holders. </w:t>
      </w:r>
      <w:r>
        <w:rPr>
          <w:rFonts w:ascii="Arial" w:cs="Arial" w:eastAsia="Arial" w:hAnsi="Arial"/>
          <w:sz w:val="16"/>
          <w:szCs w:val="16"/>
          <w:color w:val="auto"/>
        </w:rPr>
        <w:t>We and the trustee, with the consent of the holders of not less than a majority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180"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extend the final maturity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 the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modify or amend the provisions for conversion of any currency into another currency;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53"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registered form, where our obligation runs to the holder of the security named on the face of the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bearer form, where our obligation runs to the bearer of the security.</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 deposited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or its nominee identified in the applicable prospectus supplement and registered in the name of that depositary or nominee. In those cases, one or more registered global securities will be issued in a denomination or aggregate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7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2" w:lineRule="exact"/>
        <w:rPr>
          <w:sz w:val="20"/>
          <w:szCs w:val="20"/>
          <w:color w:val="auto"/>
        </w:rPr>
      </w:pPr>
    </w:p>
    <w:p>
      <w:pPr>
        <w:jc w:val="both"/>
        <w:ind w:right="3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62"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2"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Warrants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pacing w:after="0" w:line="275"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number of Rights issued to each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of Rights outstanding;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Rights offering.</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COMBINATION UNITS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may issue Combination Units consisting of any combination of Common Units, Series A Preference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applicable prospectus supplement relating to any series of units will describe the terms of the Combination Units, including, where applicable, the following:</w:t>
      </w:r>
    </w:p>
    <w:p>
      <w:pPr>
        <w:spacing w:after="0" w:line="199" w:lineRule="exact"/>
        <w:rPr>
          <w:sz w:val="20"/>
          <w:szCs w:val="20"/>
          <w:color w:val="auto"/>
        </w:rPr>
      </w:pPr>
    </w:p>
    <w:p>
      <w:pPr>
        <w:ind w:left="1080" w:right="2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designation and terms of the Combination Units and of the securities comprising the Combination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provisions of the governing unit agreement; and</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Combination Units or of the securities comprising the Combination Units.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Please read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 Please see "Our Cash Distribution Policy and Restrictions on Distributions" on page 36 of this prospectus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 holder of Common Units or Series A Preference Units is obligated to make additional capital contributions, except as described below under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Common Units voting as a single class.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74"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w:t>
      </w:r>
    </w:p>
    <w:p>
      <w:pPr>
        <w:sectPr>
          <w:pgSz w:w="11900" w:h="16838" w:orient="portrait"/>
          <w:cols w:equalWidth="0" w:num="1">
            <w:col w:w="11380"/>
          </w:cols>
          <w:pgMar w:left="240" w:top="131" w:right="279" w:bottom="1440" w:gutter="0" w:footer="0" w:header="0"/>
        </w:sectPr>
      </w:pP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Action</w:t>
      </w:r>
    </w:p>
    <w:p>
      <w:pPr>
        <w:spacing w:after="0" w:line="13" w:lineRule="exact"/>
        <w:rPr>
          <w:sz w:val="20"/>
          <w:szCs w:val="20"/>
          <w:color w:val="auto"/>
        </w:rPr>
      </w:pPr>
    </w:p>
    <w:p>
      <w:pPr>
        <w:ind w:left="1320" w:hanging="179"/>
        <w:spacing w:after="0" w:line="259" w:lineRule="auto"/>
        <w:rPr>
          <w:sz w:val="20"/>
          <w:szCs w:val="20"/>
          <w:color w:val="auto"/>
        </w:rPr>
      </w:pPr>
      <w:r>
        <w:rPr>
          <w:rFonts w:ascii="Arial" w:cs="Arial" w:eastAsia="Arial" w:hAnsi="Arial"/>
          <w:sz w:val="18"/>
          <w:szCs w:val="18"/>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20" w:hanging="179"/>
        <w:spacing w:after="0" w:line="268" w:lineRule="auto"/>
        <w:rPr>
          <w:sz w:val="20"/>
          <w:szCs w:val="20"/>
          <w:color w:val="auto"/>
        </w:rPr>
      </w:pPr>
      <w:r>
        <w:rPr>
          <w:rFonts w:ascii="Arial" w:cs="Arial" w:eastAsia="Arial" w:hAnsi="Arial"/>
          <w:sz w:val="18"/>
          <w:szCs w:val="18"/>
          <w:color w:val="auto"/>
        </w:rPr>
        <w:t>Merger of our partnership or the sale of all or substantially all of our assets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Dissolution of our partnership</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Reconstitution of our partnership upon dissolution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0</wp:posOffset>
            </wp:positionV>
            <wp:extent cx="27787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Subject to the following paragraph with respect to the</w:t>
      </w:r>
    </w:p>
    <w:p>
      <w:pPr>
        <w:spacing w:after="0" w:line="8" w:lineRule="exact"/>
        <w:rPr>
          <w:sz w:val="20"/>
          <w:szCs w:val="20"/>
          <w:color w:val="auto"/>
        </w:rPr>
      </w:pPr>
    </w:p>
    <w:p>
      <w:pPr>
        <w:ind w:left="280" w:right="1140"/>
        <w:spacing w:after="0" w:line="281" w:lineRule="auto"/>
        <w:rPr>
          <w:sz w:val="20"/>
          <w:szCs w:val="20"/>
          <w:color w:val="auto"/>
        </w:rPr>
      </w:pPr>
      <w:r>
        <w:rPr>
          <w:rFonts w:ascii="Arial" w:cs="Arial" w:eastAsia="Arial" w:hAnsi="Arial"/>
          <w:sz w:val="16"/>
          <w:szCs w:val="16"/>
          <w:color w:val="auto"/>
        </w:rPr>
        <w:t>Series A Preference Units, 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3" w:lineRule="exact"/>
        <w:rPr>
          <w:sz w:val="20"/>
          <w:szCs w:val="20"/>
          <w:color w:val="auto"/>
        </w:rPr>
      </w:pPr>
    </w:p>
    <w:p>
      <w:pPr>
        <w:ind w:left="280" w:right="1260"/>
        <w:spacing w:after="0" w:line="300" w:lineRule="auto"/>
        <w:rPr>
          <w:sz w:val="20"/>
          <w:szCs w:val="20"/>
          <w:color w:val="auto"/>
        </w:rPr>
      </w:pPr>
      <w:r>
        <w:rPr>
          <w:rFonts w:ascii="Arial" w:cs="Arial" w:eastAsia="Arial" w:hAnsi="Arial"/>
          <w:sz w:val="15"/>
          <w:szCs w:val="15"/>
          <w:color w:val="auto"/>
        </w:rPr>
        <w:t>Certain amendments may be made by our board of directors without the approval of the unitholders. Other amendments generally require the approval of a Unit Majority. See "— Amendment of the Partnership Agreement".</w:t>
      </w:r>
    </w:p>
    <w:p>
      <w:pPr>
        <w:spacing w:after="0" w:line="2" w:lineRule="exact"/>
        <w:rPr>
          <w:sz w:val="20"/>
          <w:szCs w:val="20"/>
          <w:color w:val="auto"/>
        </w:rPr>
      </w:pPr>
    </w:p>
    <w:p>
      <w:pPr>
        <w:ind w:left="280" w:right="1160"/>
        <w:spacing w:after="0" w:line="250" w:lineRule="auto"/>
        <w:rPr>
          <w:sz w:val="20"/>
          <w:szCs w:val="20"/>
          <w:color w:val="auto"/>
        </w:rPr>
      </w:pPr>
      <w:r>
        <w:rPr>
          <w:rFonts w:ascii="Arial" w:cs="Arial" w:eastAsia="Arial" w:hAnsi="Arial"/>
          <w:sz w:val="18"/>
          <w:szCs w:val="18"/>
          <w:color w:val="auto"/>
        </w:rPr>
        <w:t>Unit Majority and approval of our general partner and our board of directors. See "—Merger, Sale, Conversion or Other Disposition of Assets".</w:t>
      </w:r>
    </w:p>
    <w:p>
      <w:pPr>
        <w:spacing w:after="0" w:line="1" w:lineRule="exact"/>
        <w:rPr>
          <w:sz w:val="20"/>
          <w:szCs w:val="20"/>
          <w:color w:val="auto"/>
        </w:rPr>
      </w:pPr>
    </w:p>
    <w:p>
      <w:pPr>
        <w:jc w:val="both"/>
        <w:ind w:left="280" w:right="1400"/>
        <w:spacing w:after="0" w:line="302" w:lineRule="auto"/>
        <w:rPr>
          <w:sz w:val="20"/>
          <w:szCs w:val="20"/>
          <w:color w:val="auto"/>
        </w:rPr>
      </w:pPr>
      <w:r>
        <w:rPr>
          <w:rFonts w:ascii="Arial" w:cs="Arial" w:eastAsia="Arial" w:hAnsi="Arial"/>
          <w:sz w:val="16"/>
          <w:szCs w:val="16"/>
          <w:color w:val="auto"/>
        </w:rPr>
        <w:t>Unit Majority and approval of our general partner and our board of directors. See "—Termination and Dissolution". Unit Majority. See "—Termination and Dissolution".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80" w:space="140"/>
            <w:col w:w="5760"/>
          </w:cols>
          <w:pgMar w:left="240" w:top="131" w:right="27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Action</w:t>
            </w:r>
          </w:p>
        </w:tc>
        <w:tc>
          <w:tcPr>
            <w:tcW w:w="500" w:type="dxa"/>
            <w:vAlign w:val="bottom"/>
          </w:tcPr>
          <w:p>
            <w:pPr>
              <w:spacing w:after="0"/>
              <w:rPr>
                <w:sz w:val="14"/>
                <w:szCs w:val="14"/>
                <w:color w:val="auto"/>
              </w:rPr>
            </w:pPr>
          </w:p>
        </w:tc>
        <w:tc>
          <w:tcPr>
            <w:tcW w:w="4380" w:type="dxa"/>
            <w:vAlign w:val="bottom"/>
          </w:tcPr>
          <w:p>
            <w:pPr>
              <w:ind w:left="760"/>
              <w:spacing w:after="0"/>
              <w:rPr>
                <w:sz w:val="20"/>
                <w:szCs w:val="20"/>
                <w:color w:val="auto"/>
              </w:rPr>
            </w:pPr>
            <w:r>
              <w:rPr>
                <w:rFonts w:ascii="Arial" w:cs="Arial" w:eastAsia="Arial" w:hAnsi="Arial"/>
                <w:sz w:val="14"/>
                <w:szCs w:val="14"/>
                <w:b w:val="1"/>
                <w:bCs w:val="1"/>
                <w:color w:val="auto"/>
              </w:rPr>
              <w:t>Unitholder Approval Required and Voting Rights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Withdrawal of our general partner</w:t>
            </w:r>
          </w:p>
        </w:tc>
        <w:tc>
          <w:tcPr>
            <w:tcW w:w="500" w:type="dxa"/>
            <w:vAlign w:val="bottom"/>
            <w:vMerge w:val="continue"/>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w w:val="91"/>
              </w:rPr>
              <w:t>Under most circumstances, the approval of a majority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Common Units, excluding Common Units held by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general partner and its affiliates, is required 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withdrawal of our general partner prior to March 31, 2024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a manner that would cause a dissolution of our partnership.</w:t>
            </w:r>
          </w:p>
        </w:tc>
        <w:tc>
          <w:tcPr>
            <w:tcW w:w="0" w:type="dxa"/>
            <w:vAlign w:val="bottom"/>
          </w:tcPr>
          <w:p>
            <w:pPr>
              <w:spacing w:after="0"/>
              <w:rPr>
                <w:sz w:val="1"/>
                <w:szCs w:val="1"/>
                <w:color w:val="auto"/>
              </w:rPr>
            </w:pPr>
          </w:p>
        </w:tc>
      </w:tr>
      <w:tr>
        <w:trPr>
          <w:trHeight w:val="217"/>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Removal of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See "—Withdrawal or Removal of our General Partner".</w:t>
            </w:r>
          </w:p>
        </w:tc>
        <w:tc>
          <w:tcPr>
            <w:tcW w:w="0" w:type="dxa"/>
            <w:vAlign w:val="bottom"/>
          </w:tcPr>
          <w:p>
            <w:pPr>
              <w:spacing w:after="0"/>
              <w:rPr>
                <w:sz w:val="1"/>
                <w:szCs w:val="1"/>
                <w:color w:val="auto"/>
              </w:rPr>
            </w:pPr>
          </w:p>
        </w:tc>
      </w:tr>
      <w:tr>
        <w:trPr>
          <w:trHeight w:val="255"/>
        </w:trPr>
        <w:tc>
          <w:tcPr>
            <w:tcW w:w="4260" w:type="dxa"/>
            <w:vAlign w:val="bottom"/>
            <w:gridSpan w:val="3"/>
            <w:vMerge w:val="continue"/>
          </w:tcPr>
          <w:p>
            <w:pPr>
              <w:spacing w:after="0"/>
              <w:rPr>
                <w:sz w:val="22"/>
                <w:szCs w:val="22"/>
                <w:color w:val="auto"/>
              </w:rPr>
            </w:pPr>
          </w:p>
        </w:tc>
        <w:tc>
          <w:tcPr>
            <w:tcW w:w="4880" w:type="dxa"/>
            <w:vAlign w:val="bottom"/>
            <w:gridSpan w:val="2"/>
          </w:tcPr>
          <w:p>
            <w:pPr>
              <w:ind w:left="500"/>
              <w:spacing w:after="0" w:line="255" w:lineRule="exact"/>
              <w:rPr>
                <w:sz w:val="20"/>
                <w:szCs w:val="20"/>
                <w:color w:val="auto"/>
              </w:rPr>
            </w:pPr>
            <w:r>
              <w:rPr>
                <w:rFonts w:ascii="Arial" w:cs="Arial" w:eastAsia="Arial" w:hAnsi="Arial"/>
                <w:sz w:val="18"/>
                <w:szCs w:val="18"/>
                <w:color w:val="auto"/>
                <w:w w:val="98"/>
              </w:rPr>
              <w:t>Not less than 66</w:t>
            </w:r>
            <w:r>
              <w:rPr>
                <w:rFonts w:ascii="Arial" w:cs="Arial" w:eastAsia="Arial" w:hAnsi="Arial"/>
                <w:sz w:val="29"/>
                <w:szCs w:val="29"/>
                <w:color w:val="auto"/>
                <w:w w:val="98"/>
                <w:vertAlign w:val="superscript"/>
              </w:rPr>
              <w:t>2</w:t>
            </w:r>
            <w:r>
              <w:rPr>
                <w:rFonts w:ascii="Arial" w:cs="Arial" w:eastAsia="Arial" w:hAnsi="Arial"/>
                <w:sz w:val="18"/>
                <w:szCs w:val="18"/>
                <w:color w:val="auto"/>
                <w:w w:val="98"/>
              </w:rPr>
              <w:t>/</w:t>
            </w:r>
            <w:r>
              <w:rPr>
                <w:rFonts w:ascii="Arial" w:cs="Arial" w:eastAsia="Arial" w:hAnsi="Arial"/>
                <w:sz w:val="14"/>
                <w:szCs w:val="14"/>
                <w:color w:val="auto"/>
                <w:w w:val="98"/>
              </w:rPr>
              <w:t>3</w:t>
            </w:r>
            <w:r>
              <w:rPr>
                <w:rFonts w:ascii="Arial" w:cs="Arial" w:eastAsia="Arial" w:hAnsi="Arial"/>
                <w:sz w:val="18"/>
                <w:szCs w:val="18"/>
                <w:color w:val="auto"/>
                <w:w w:val="98"/>
              </w:rPr>
              <w:t>% of the outstanding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9"/>
              </w:rPr>
              <w:t>voting together as a single class. See "—Withdrawal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Removal of our General Partner".</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our general partner interest in us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1"/>
              </w:rPr>
              <w:t>Our general partner may transfer all, but not less than all,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its general partner interest in us without a vote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common unitholders or other limited partners to an affiliate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another person in connection with its merger or consolidation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3"/>
              </w:rPr>
              <w:t>with or into, or sale of all or substantially all of its assets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such person. The approval of a majority of the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2"/>
              </w:rPr>
              <w:t>Units, excluding Common Units held by our general partner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8"/>
              </w:rPr>
              <w:t>and its affiliates, is required in other circumstances for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transfer of the general partner interest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March 31, 2024. See "—Transfer of General Partner Interest".</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Transfer of incentive distribution rights</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Except for transfers to an affiliate or another person as part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a merger or consolidation with or into, or sale of all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9"/>
              </w:rPr>
              <w:t>substantially all of the assets to, such person, the approval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4"/>
              </w:rPr>
              <w:t>a majority of the Common Units, excluding Common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88"/>
              </w:rPr>
              <w:t>held by our general partner and its affiliates, voting separately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0"/>
              </w:rPr>
              <w:t>as a class, is required in most circumstances for a transfer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the incentive distribution rights to a third party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w w:val="95"/>
              </w:rPr>
              <w:t>March 31, 2019. See "—Transfer of Incentive Distribution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Rights".</w:t>
            </w: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w w:val="99"/>
              </w:rPr>
              <w:t>Transfer of ownership interests in our general partner</w:t>
            </w: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No approval required at any time. See "—Transfer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880" w:type="dxa"/>
            <w:vAlign w:val="bottom"/>
            <w:gridSpan w:val="2"/>
          </w:tcPr>
          <w:p>
            <w:pPr>
              <w:ind w:left="500"/>
              <w:spacing w:after="0"/>
              <w:rPr>
                <w:sz w:val="20"/>
                <w:szCs w:val="20"/>
                <w:color w:val="auto"/>
              </w:rPr>
            </w:pPr>
            <w:r>
              <w:rPr>
                <w:rFonts w:ascii="Arial" w:cs="Arial" w:eastAsia="Arial" w:hAnsi="Arial"/>
                <w:sz w:val="18"/>
                <w:szCs w:val="18"/>
                <w:color w:val="auto"/>
              </w:rPr>
              <w:t>Ownership Interests in General Partner".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(as defined in the partnership agreement) (if applicable), we may not (i) issue any Parity Securities if the cumulative distributions on Series A Preference Units are in arrears or (ii) create or issue any Senior Securities (as defined in the partnership agreement).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elect one director to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14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jc w:val="both"/>
        <w:ind w:right="10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211"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elect three (or, following the general partner's exercise of its right to transfer the power to elect a majority of our directors to the common unitholders, four) of our seven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Series A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 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170"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that existed immediately prior to each issuance. Other holders of Common Units will not have similar pre-emptive rights to acquire additional Common Units or other partnership interests.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Series A Preference Units must approve certain amendments as described under "—Voting Rights." Except as we describe below, an amendment must be approved by a Unit Majority.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3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90% of the outstanding units voting together as a single class (including units owned by our general partner and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1080" w:right="600" w:hanging="532"/>
        <w:spacing w:after="0" w:line="33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2" w:lineRule="exact"/>
        <w:rPr>
          <w:rFonts w:ascii="Arial" w:cs="Arial" w:eastAsia="Arial" w:hAnsi="Arial"/>
          <w:sz w:val="16"/>
          <w:szCs w:val="16"/>
          <w:color w:val="auto"/>
        </w:rPr>
      </w:pPr>
    </w:p>
    <w:p>
      <w:pPr>
        <w:ind w:left="1080" w:right="44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93"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adjustments of the minimum quarterly distribution, first target distribution, second target distribution and third target distribution in connection with the reset of our incentive distribution rights;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implementation of the provisions relating to GasLog's right to reset the incentive distribution rights in exchange for Common Units;</w:t>
      </w:r>
    </w:p>
    <w:p>
      <w:pPr>
        <w:spacing w:after="0" w:line="275" w:lineRule="exact"/>
        <w:rPr>
          <w:rFonts w:ascii="Arial" w:cs="Arial" w:eastAsia="Arial" w:hAnsi="Arial"/>
          <w:sz w:val="16"/>
          <w:szCs w:val="16"/>
          <w:color w:val="auto"/>
        </w:rPr>
      </w:pPr>
    </w:p>
    <w:p>
      <w:pPr>
        <w:ind w:left="1620" w:right="60" w:hanging="532"/>
        <w:spacing w:after="0" w:line="259" w:lineRule="auto"/>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amendment expressly permitted in the partnership agreement to be made by our board of directors acting alone;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the partnership agreement;</w:t>
      </w:r>
    </w:p>
    <w:p>
      <w:pPr>
        <w:spacing w:after="0" w:line="286" w:lineRule="exact"/>
        <w:rPr>
          <w:rFonts w:ascii="Arial" w:cs="Arial" w:eastAsia="Arial" w:hAnsi="Arial"/>
          <w:sz w:val="15"/>
          <w:szCs w:val="15"/>
          <w:color w:val="auto"/>
        </w:rPr>
      </w:pPr>
    </w:p>
    <w:p>
      <w:pPr>
        <w:ind w:left="1080" w:right="66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Series A Preference Units and the holders of other Parity Securities (if applicable)) if our board of directors determines that those amendments:</w:t>
      </w:r>
    </w:p>
    <w:p>
      <w:pPr>
        <w:spacing w:after="0" w:line="262"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do not adversely affect the rights of our limited partners (or any particular class of limited partners) or our general partner in any material respect;</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In the event of any liquidation, dissolution or winding up of our affairs, whether voluntary or involuntary, holders of the Series A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 A consolidation or merger of us with or into any other entity, individually or in a series of transactions, will not be deemed to be a liquidation, dissolution or winding up of our affairs.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some instances to sell or otherwise transfer all of its general partner interest in us without the approval of the unitholders. See "—Transfer of General Partner Interest" and "—Transfer of Incentive Distribution Rights".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198" w:lineRule="exact"/>
        <w:rPr>
          <w:sz w:val="20"/>
          <w:szCs w:val="20"/>
          <w:color w:val="auto"/>
        </w:rPr>
      </w:pPr>
    </w:p>
    <w:p>
      <w:pPr>
        <w:ind w:right="42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liability. The ownership of more than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0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72"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14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Incentive Distribution Rights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and Series A Preference Units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By transfer of Common Units or Series A Preference Units in accordance with the partnership agreement, each transferee of Common Units or Series A Preference Units automatically is admitted as a limited partner with respect to the Common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11"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grants power of attorney to officers of our general partner and any liquidator of us as specified in the partnership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are entitled to treat the nominee holder of a Common Unit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Common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Until a Common Unit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16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existing arrearages in payment of the minimum quarterly distribution on the Common Units will be extinguished;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172" w:lineRule="exact"/>
        <w:rPr>
          <w:sz w:val="20"/>
          <w:szCs w:val="20"/>
          <w:color w:val="auto"/>
        </w:rPr>
      </w:pPr>
    </w:p>
    <w:p>
      <w:pPr>
        <w:jc w:val="both"/>
        <w:ind w:right="340" w:firstLine="341"/>
        <w:spacing w:after="0" w:line="259"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September 29, 2017, our board of directors is comprised of seven persons. Our general partner has appointed four of our seven directors and the common unitholders elected the remaining three directors. Four of our directors meet the independence standards of the NYSE, and three of the four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Under certain limited circumstances, holders of our Series A Preference Units may elect one additional director to serve on our board of directors, at which point our general partner would similarly be entitled, at its election, to appoint one additional director to serve for only as long a period of time as the director elected by the holders of Series A Preference Units.</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2"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 Holders of the Series A Preference Units generally have no voting rights. However, holders of the Series A Preference Units have limited voting rights as described under "—Voting Rights".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w:t>
      </w:r>
    </w:p>
    <w:p>
      <w:pPr>
        <w:spacing w:after="0" w:line="2"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person or by proxy at meetings. The holders of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0"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Series A Preference Units under the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Except as described above under "—Limited Liability", the Common Units and Series A Preference Units will be fully paid, and unitholders will not be required to make additional contributions. By transfer of Common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66"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jc w:val="both"/>
        <w:ind w:left="1080" w:right="44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21"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210"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187" w:lineRule="exact"/>
        <w:rPr>
          <w:rFonts w:ascii="Arial" w:cs="Arial" w:eastAsia="Arial" w:hAnsi="Arial"/>
          <w:sz w:val="16"/>
          <w:szCs w:val="16"/>
          <w:color w:val="auto"/>
        </w:rPr>
      </w:pPr>
    </w:p>
    <w:p>
      <w:pPr>
        <w:jc w:val="both"/>
        <w:ind w:left="1080" w:right="16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approximately 26.1% of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Common Units and indirectly 2.0% of our general partnership units outstanding as of September 29, 2017.</w:t>
      </w:r>
    </w:p>
    <w:p>
      <w:pPr>
        <w:spacing w:after="0" w:line="239" w:lineRule="exact"/>
        <w:rPr>
          <w:sz w:val="20"/>
          <w:szCs w:val="20"/>
          <w:color w:val="auto"/>
        </w:rPr>
      </w:pPr>
    </w:p>
    <w:p>
      <w:pPr>
        <w:ind w:left="1080" w:right="440" w:hanging="532"/>
        <w:spacing w:after="0" w:line="33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199" w:lineRule="exact"/>
        <w:rPr>
          <w:rFonts w:ascii="Arial" w:cs="Arial" w:eastAsia="Arial" w:hAnsi="Arial"/>
          <w:sz w:val="18"/>
          <w:szCs w:val="18"/>
          <w:color w:val="auto"/>
        </w:rPr>
      </w:pPr>
    </w:p>
    <w:p>
      <w:pPr>
        <w:ind w:left="1080" w:right="40" w:hanging="532"/>
        <w:spacing w:after="0" w:line="335" w:lineRule="auto"/>
        <w:tabs>
          <w:tab w:leader="none" w:pos="10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14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Distributions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issued 5,750,000 of our Series A Preference Units on May 15, 2017. 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(equal to $2.15625 per annum per unit). From and including June 15, 2027, the distribution rate will be a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 when, as and if declared by our board of directors out of legally available funds for such purpose. No distribution may be declared or paid or set apart for payment on any Common Units or general partner units unless full cumulative distributions have been or contemporaneously are being paid or provided for on all outstanding Series A Preference Units through the most recent distribution payment date. Holders of the Series A Preference Units will not be entitled to any distribution, whether payable in cash, property or units, in excess of full cumulative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Within 45 days after the end of each quarter we will distribute all of our available cash (defined below) to unitholders of record on the applicable record date, subject to distributions with respect to Series A Preference Units as described under "—Series A Preference Unit Distributions".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Available cash generally means, for each fiscal quarter, all cash on hand at the end of the quarter (including our proportionate share of cash on hand of any subsidiaries we do not wholly own):</w:t>
      </w:r>
    </w:p>
    <w:p>
      <w:pPr>
        <w:spacing w:after="0" w:line="199" w:lineRule="exact"/>
        <w:rPr>
          <w:sz w:val="20"/>
          <w:szCs w:val="20"/>
          <w:color w:val="auto"/>
        </w:rPr>
      </w:pPr>
    </w:p>
    <w:p>
      <w:pPr>
        <w:ind w:left="1080" w:right="6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the amount of cash reserves (including our proportionate share of cash reserves of any subsidiaries we do not wholly own) established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our subsidiaries to: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93">
        <w:r>
          <w:rPr>
            <w:rFonts w:ascii="Arial" w:cs="Arial" w:eastAsia="Arial" w:hAnsi="Arial"/>
            <w:sz w:val="15"/>
            <w:szCs w:val="15"/>
            <w:u w:val="single" w:color="auto"/>
            <w:color w:val="0000EE"/>
          </w:rPr>
          <w:t>Table of Contents</w:t>
        </w:r>
      </w:hyperlink>
    </w:p>
    <w:p>
      <w:pPr>
        <w:spacing w:after="0" w:line="2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provide funds for Series A Preference Unit distributions and Series A Preference Unit redemption payments; and/or</w:t>
      </w:r>
    </w:p>
    <w:p>
      <w:pPr>
        <w:spacing w:after="0" w:line="25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200" w:lineRule="exact"/>
        <w:rPr>
          <w:sz w:val="20"/>
          <w:szCs w:val="20"/>
          <w:color w:val="auto"/>
        </w:rPr>
      </w:pPr>
    </w:p>
    <w:p>
      <w:pPr>
        <w:sectPr>
          <w:pgSz w:w="11900" w:h="16838" w:orient="portrait"/>
          <w:cols w:equalWidth="0" w:num="2">
            <w:col w:w="1260" w:space="360"/>
            <w:col w:w="9780"/>
          </w:cols>
          <w:pgMar w:left="240" w:top="131" w:right="259" w:bottom="1440" w:gutter="0" w:footer="0" w:header="0"/>
        </w:sectPr>
      </w:pPr>
    </w:p>
    <w:p>
      <w:pPr>
        <w:spacing w:after="0" w:line="224" w:lineRule="exact"/>
        <w:rPr>
          <w:sz w:val="20"/>
          <w:szCs w:val="20"/>
          <w:color w:val="auto"/>
        </w:rPr>
      </w:pPr>
    </w:p>
    <w:p>
      <w:pPr>
        <w:ind w:left="1080" w:hanging="532"/>
        <w:spacing w:after="0" w:line="294"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plus</w:t>
      </w:r>
      <w:r>
        <w:rPr>
          <w:rFonts w:ascii="Arial" w:cs="Arial" w:eastAsia="Arial" w:hAnsi="Arial"/>
          <w:sz w:val="16"/>
          <w:szCs w:val="16"/>
          <w:color w:val="auto"/>
        </w:rPr>
        <w:t>, all cash on hand (including our proportionate share of cash on hand of any subsidiaries we do not wholly own) on the date of determination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Intent to Distribute the Minimum Quarterly Distribution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intend to distribute to the holders of Common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139"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There is no guarantee that we will pay the minimum quarterly distribution on the Common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Operating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surplus for any period generally means:</w:t>
      </w:r>
    </w:p>
    <w:p>
      <w:pPr>
        <w:spacing w:after="0" w:line="23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$19.0 million; </w:t>
      </w:r>
      <w:r>
        <w:rPr>
          <w:rFonts w:ascii="Arial" w:cs="Arial" w:eastAsia="Arial" w:hAnsi="Arial"/>
          <w:sz w:val="18"/>
          <w:szCs w:val="18"/>
          <w:i w:val="1"/>
          <w:iCs w:val="1"/>
          <w:color w:val="auto"/>
        </w:rPr>
        <w:t>plus</w:t>
      </w:r>
    </w:p>
    <w:p>
      <w:pPr>
        <w:spacing w:after="0" w:line="252" w:lineRule="exact"/>
        <w:rPr>
          <w:rFonts w:ascii="Arial" w:cs="Arial" w:eastAsia="Arial" w:hAnsi="Arial"/>
          <w:sz w:val="18"/>
          <w:szCs w:val="18"/>
          <w:color w:val="auto"/>
        </w:rPr>
      </w:pPr>
    </w:p>
    <w:p>
      <w:pPr>
        <w:ind w:left="1080" w:right="40" w:hanging="532"/>
        <w:spacing w:after="0" w:line="302" w:lineRule="auto"/>
        <w:tabs>
          <w:tab w:leader="none" w:pos="10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 (1) borrowings, other than working capital borrowings, (2) sales of equity and debt securities, (3) sales or other dispositions of assets outside the ordinary course of business,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 xml:space="preserve">(4) capital contributions or (5) corporate reorganizations or restructurings; </w:t>
      </w:r>
      <w:r>
        <w:rPr>
          <w:rFonts w:ascii="Arial" w:cs="Arial" w:eastAsia="Arial" w:hAnsi="Arial"/>
          <w:sz w:val="18"/>
          <w:szCs w:val="18"/>
          <w:i w:val="1"/>
          <w:iCs w:val="1"/>
          <w:color w:val="auto"/>
        </w:rPr>
        <w:t>plus</w:t>
      </w:r>
    </w:p>
    <w:p>
      <w:pPr>
        <w:spacing w:after="0" w:line="232"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20"/>
        <w:spacing w:after="0" w:line="370" w:lineRule="auto"/>
        <w:rPr>
          <w:sz w:val="20"/>
          <w:szCs w:val="20"/>
          <w:color w:val="auto"/>
        </w:rPr>
      </w:pPr>
      <w:r>
        <w:rPr>
          <w:rFonts w:ascii="Arial" w:cs="Arial" w:eastAsia="Arial" w:hAnsi="Arial"/>
          <w:sz w:val="15"/>
          <w:szCs w:val="15"/>
          <w:color w:val="auto"/>
        </w:rPr>
        <w:t xml:space="preserve">case, to finance all or any portion of the construction, replacement or 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5"/>
          <w:szCs w:val="15"/>
          <w:i w:val="1"/>
          <w:iCs w:val="1"/>
          <w:color w:val="auto"/>
        </w:rPr>
        <w:t>plus</w:t>
      </w:r>
    </w:p>
    <w:p>
      <w:pPr>
        <w:spacing w:after="0" w:line="130" w:lineRule="exact"/>
        <w:rPr>
          <w:sz w:val="20"/>
          <w:szCs w:val="20"/>
          <w:color w:val="auto"/>
        </w:rPr>
      </w:pPr>
    </w:p>
    <w:p>
      <w:pPr>
        <w:ind w:left="1080" w:hanging="532"/>
        <w:spacing w:after="0" w:line="294"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6"/>
          <w:szCs w:val="16"/>
          <w:i w:val="1"/>
          <w:iCs w:val="1"/>
          <w:color w:val="auto"/>
        </w:rPr>
        <w:t>less</w:t>
      </w:r>
    </w:p>
    <w:p>
      <w:pPr>
        <w:spacing w:after="0" w:line="196"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any cash loss realized on dispositions of assets acquired using investment capital expenditures; </w:t>
      </w:r>
      <w:r>
        <w:rPr>
          <w:rFonts w:ascii="Arial" w:cs="Arial" w:eastAsia="Arial" w:hAnsi="Arial"/>
          <w:sz w:val="18"/>
          <w:szCs w:val="18"/>
          <w:i w:val="1"/>
          <w:iCs w:val="1"/>
          <w:color w:val="auto"/>
        </w:rPr>
        <w:t>less</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working capital borrowings (including our proportionate share of working capital borrowings by any subsidiaries we do not wholly own) not repaid within twelve months after having been incurred.</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16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and Series A Preference Unit distributions, provided that operating expenditures will not include:</w:t>
      </w:r>
    </w:p>
    <w:p>
      <w:pPr>
        <w:spacing w:after="0" w:line="183" w:lineRule="exact"/>
        <w:rPr>
          <w:sz w:val="20"/>
          <w:szCs w:val="20"/>
          <w:color w:val="auto"/>
        </w:rPr>
      </w:pPr>
    </w:p>
    <w:p>
      <w:pPr>
        <w:ind w:left="1080" w:right="12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deemed repayments of working capital borrowings deducted from operating surplus pursuant to the last bullet point of the definition of operating surplus above when such repayment actually occurs;</w:t>
      </w:r>
    </w:p>
    <w:p>
      <w:pPr>
        <w:spacing w:after="0" w:line="199" w:lineRule="exact"/>
        <w:rPr>
          <w:rFonts w:ascii="Arial" w:cs="Arial" w:eastAsia="Arial" w:hAnsi="Arial"/>
          <w:sz w:val="18"/>
          <w:szCs w:val="18"/>
          <w:color w:val="auto"/>
        </w:rPr>
      </w:pPr>
    </w:p>
    <w:p>
      <w:pPr>
        <w:ind w:left="5620" w:right="240" w:hanging="5072"/>
        <w:spacing w:after="0" w:line="519" w:lineRule="auto"/>
        <w:tabs>
          <w:tab w:leader="none" w:pos="10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payments (including prepayments and payment penalties) of principal of and premium on indebtedness, other than working capital borrowings;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expansion capital expenditures, investment capital expenditures or actual maintenance and replacement capital expenditures (which are discussed in further detail under "—Capital Expenditures" below);</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 of transaction expenses (including taxes) relating to interim capital transactions;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Series A Preference Unit redemption payments and payments made to holders of Series A Preference Units to purchase or otherwise acquire preference units;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distributions to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Adjusted Operating Surplus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operating surplus for any period generally means:</w:t>
      </w:r>
    </w:p>
    <w:p>
      <w:pPr>
        <w:spacing w:after="0" w:line="252" w:lineRule="exact"/>
        <w:rPr>
          <w:sz w:val="20"/>
          <w:szCs w:val="20"/>
          <w:color w:val="auto"/>
        </w:rPr>
      </w:pPr>
    </w:p>
    <w:p>
      <w:pPr>
        <w:ind w:left="1080" w:right="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operating surplus generated with respect to that period (excluding any amounts attributable to the item described in the first bullet point under "— Operating Surplus and Capital Surplus—Definition of Operating Surplus" above);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less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1080" w:right="200" w:hanging="532"/>
        <w:spacing w:after="0" w:line="33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139"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194"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 equity securities, as well as other capital expenditures that might be made in lieu of such traditional investment capital expenditures, such as the acquisition of a capital asset for investment purposes.</w:t>
      </w:r>
    </w:p>
    <w:p>
      <w:pPr>
        <w:spacing w:after="0" w:line="186" w:lineRule="exact"/>
        <w:rPr>
          <w:sz w:val="20"/>
          <w:szCs w:val="20"/>
          <w:color w:val="auto"/>
        </w:rPr>
      </w:pPr>
    </w:p>
    <w:p>
      <w:pPr>
        <w:ind w:right="100" w:firstLine="351"/>
        <w:spacing w:after="0" w:line="310" w:lineRule="auto"/>
        <w:rPr>
          <w:sz w:val="20"/>
          <w:szCs w:val="20"/>
          <w:color w:val="auto"/>
        </w:rPr>
      </w:pPr>
      <w:r>
        <w:rPr>
          <w:rFonts w:ascii="Arial" w:cs="Arial" w:eastAsia="Arial" w:hAnsi="Arial"/>
          <w:sz w:val="15"/>
          <w:szCs w:val="15"/>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16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 discussion of the amounts we have allocated toward estimated maintenance and replacement capital expenditures, see "Our Cash Distribution Policy and Restrictions on Distributions".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239" w:lineRule="exact"/>
        <w:rPr>
          <w:sz w:val="20"/>
          <w:szCs w:val="20"/>
          <w:color w:val="auto"/>
        </w:rPr>
      </w:pPr>
    </w:p>
    <w:p>
      <w:pPr>
        <w:ind w:left="1080" w:right="360" w:hanging="532"/>
        <w:spacing w:after="0" w:line="33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may reduce the need for us to borrow to pay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it will be more difficult for us to raise our distribution above the minimum quarterly distribution and pay incentive distributions to GasLog; and</w:t>
      </w:r>
    </w:p>
    <w:p>
      <w:pPr>
        <w:spacing w:after="0" w:line="261" w:lineRule="exact"/>
        <w:rPr>
          <w:rFonts w:ascii="Arial" w:cs="Arial" w:eastAsia="Arial" w:hAnsi="Arial"/>
          <w:sz w:val="16"/>
          <w:szCs w:val="16"/>
          <w:color w:val="auto"/>
        </w:rPr>
      </w:pPr>
    </w:p>
    <w:p>
      <w:pPr>
        <w:jc w:val="both"/>
        <w:ind w:left="1080" w:right="380" w:hanging="532"/>
        <w:spacing w:after="0" w:line="306"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Capital Surplus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 surplus generally will be generated only by:</w:t>
      </w:r>
    </w:p>
    <w:p>
      <w:pPr>
        <w:spacing w:after="0" w:line="252"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Characterization of Cash Distributions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 From Operating Surplus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will make distributions of available cash from operating surplus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0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unit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minimum quarterly distribution for that quarter;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"—General Partner Interest" and "—Incentive Distribution Rights" below.</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for any quarter: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to the common unitholders in an amount equal to the minimum quarterly distribution; and</w:t>
      </w:r>
    </w:p>
    <w:p>
      <w:pPr>
        <w:spacing w:after="0" w:line="21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have distributed available cash from operating surplus on outstanding Common Units in an amount necessary to eliminate any cumulative arrearages in payment of the minimum quarterly distribution; then, we will distribute any additional available cash from operating surplus for that quarter among the unitholders and our general partner in the following manner:</w:t>
      </w:r>
    </w:p>
    <w:p>
      <w:pPr>
        <w:spacing w:after="0" w:line="207"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 total of $0.43125 per unit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quarter (the "first target distribution");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$0.46875 per unit for that quarter (the "second target distribution");</w:t>
      </w:r>
    </w:p>
    <w:p>
      <w:pPr>
        <w:spacing w:after="0" w:line="166"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 total of $0.5625 per unit for that quarter (the "third target distribution");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Allocations of Available Cash From Operating Surplus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common unitholders, our general partner and the holders of the incentive distribution rights up to the various target distribution levels. The amounts set forth under "Marginal Percentage Interest in Distributions" are the percentage interests of the common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common unitholders, our general partner and the holders of the incentive distribution rights for the minimum quarterly distribution are also applicable to quarterly distribution amounts that are less than the minimum quarterly distribution. The percentage interests shown for our general partner include its 2.0% general partner interest only and assume that our general partner has contributed any capital necessary to maintain its 2.0% general partner interest.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Marginal Percentage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Interest in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Total Quarterly</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Distributions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General</w:t>
            </w:r>
          </w:p>
        </w:tc>
        <w:tc>
          <w:tcPr>
            <w:tcW w:w="206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Holders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Unitholders</w:t>
            </w:r>
          </w:p>
        </w:tc>
        <w:tc>
          <w:tcPr>
            <w:tcW w:w="18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IDRs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2860" w:type="dxa"/>
            <w:vAlign w:val="bottom"/>
            <w:gridSpan w:val="3"/>
            <w:shd w:val="clear" w:color="auto" w:fill="CCEEFF"/>
          </w:tcPr>
          <w:p>
            <w:pPr>
              <w:jc w:val="center"/>
              <w:ind w:left="1572"/>
              <w:spacing w:after="0"/>
              <w:rPr>
                <w:sz w:val="20"/>
                <w:szCs w:val="20"/>
                <w:color w:val="auto"/>
              </w:rPr>
            </w:pPr>
            <w:r>
              <w:rPr>
                <w:rFonts w:ascii="Arial" w:cs="Arial" w:eastAsia="Arial" w:hAnsi="Arial"/>
                <w:sz w:val="18"/>
                <w:szCs w:val="18"/>
                <w:color w:val="auto"/>
                <w:w w:val="87"/>
              </w:rPr>
              <w:t>$0.375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$0.43125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above $0.43125</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up to $0.46875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above $0.46875</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up to $0.5625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above $0.5625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GasLog's Right to Reset Incentive Distribution Levels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17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 Common Units by the national securities exchange on which the Common Units are then listed or admitted for trading.</w:t>
      </w:r>
    </w:p>
    <w:p>
      <w:pPr>
        <w:spacing w:after="0" w:line="170"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211" w:lineRule="exact"/>
        <w:rPr>
          <w:sz w:val="20"/>
          <w:szCs w:val="20"/>
          <w:color w:val="auto"/>
        </w:rPr>
      </w:pPr>
    </w:p>
    <w:p>
      <w:pPr>
        <w:ind w:left="1080" w:right="8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each unitholder receives an amount equal to 115.0%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reset minimum quarterly distribution for that quarter;</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85.0% to the common unitholders, pro rata, 2.0% to our general partner and 13.0%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125.0% of the reset minimum quarterly distribution for that quarter;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33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75.0% to the common unitholders, pro rata, 2.0% to our general partner and 23.0% to the holders of the incentive distribution rights,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until each unitholder receives an amount per unit equal to 150.0% of the reset minimum quarterly distribution for that quarter; and</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50.0% to the common unitholders, pro rata, 2.0% to our general partner and 48.0% to the holders of the incentive distribution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Distributions From Capital Surplus Will Be Made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make distributions of available cash from capital surplus, if any, in the following manner, subject to distributions with respect to Series A Preference Units as described under "—Series A Preference Unit Distributions":</w:t>
      </w:r>
    </w:p>
    <w:p>
      <w:pPr>
        <w:spacing w:after="0" w:line="199" w:lineRule="exact"/>
        <w:rPr>
          <w:sz w:val="20"/>
          <w:szCs w:val="20"/>
          <w:color w:val="auto"/>
        </w:rPr>
      </w:pPr>
    </w:p>
    <w:p>
      <w:pPr>
        <w:ind w:left="1080" w:right="14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the minimum quarterly distribution is reduced to zero,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98.0% to the common unitholders, pro rata, and 2.0% to our general partner, until we distribute for each Common Unit an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cash from capital surplus equal to any unpaid arrearages in payment of the minimum quarterly distribution on the Common Units;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 Distribution from Capital Surplus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However, any distribution of capital surplus before the minimum quarterly distribution is reduced to zero cannot be applied to the payment of the minimum quarterly distribution or any arrearages.</w:t>
      </w:r>
    </w:p>
    <w:p>
      <w:pPr>
        <w:spacing w:after="0" w:line="19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Once we reduce the minimum quarterly distribution and the cash target distribution levels to zero, we will then make all future distributions 50.0% to the common unitholders, 2.0% to our general partner and 48.0% to the holders of the incentive distribution rights (currently, GasLog). The 2.0% interest shown for our general partner assumes that our general partner maintains its 2.0% general partner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199"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cash target distribution levels;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initial unit price.</w:t>
      </w:r>
    </w:p>
    <w:p>
      <w:pPr>
        <w:spacing w:after="0" w:line="225" w:lineRule="exact"/>
        <w:rPr>
          <w:sz w:val="20"/>
          <w:szCs w:val="20"/>
          <w:color w:val="auto"/>
        </w:rPr>
      </w:pPr>
    </w:p>
    <w:p>
      <w:pPr>
        <w:jc w:val="both"/>
        <w:ind w:right="80" w:firstLine="351"/>
        <w:spacing w:after="0" w:line="332" w:lineRule="auto"/>
        <w:rPr>
          <w:sz w:val="20"/>
          <w:szCs w:val="20"/>
          <w:color w:val="auto"/>
        </w:rPr>
      </w:pPr>
      <w:r>
        <w:rPr>
          <w:rFonts w:ascii="Arial" w:cs="Arial" w:eastAsia="Arial" w:hAnsi="Arial"/>
          <w:sz w:val="16"/>
          <w:szCs w:val="16"/>
          <w:color w:val="auto"/>
        </w:rPr>
        <w:t>For example, if a two-for-one split of the Common Units should occur, the minimum quarterly distribution, the cash target distribution levels and the initial unit price would each be reduced to 50.0% of its initial level. We will not make any adjustment by reason of the issuance of additional units for cash or property.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 subject to distributions with respect to Series A Preference Units as described under "—Series A Preference Unit Liquidation Rights".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199" w:lineRule="exact"/>
        <w:rPr>
          <w:sz w:val="20"/>
          <w:szCs w:val="20"/>
          <w:color w:val="auto"/>
        </w:rPr>
      </w:pPr>
    </w:p>
    <w:p>
      <w:pPr>
        <w:ind w:left="1080" w:right="30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current market price of our common units;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as of the date three trading days prior to the announcement of the proposed liquidation, the current market price of our Common Units is equal to or less than the sum of:</w:t>
      </w:r>
    </w:p>
    <w:p>
      <w:pPr>
        <w:spacing w:after="0" w:line="213" w:lineRule="exact"/>
        <w:rPr>
          <w:sz w:val="20"/>
          <w:szCs w:val="20"/>
          <w:color w:val="auto"/>
        </w:rPr>
      </w:pPr>
    </w:p>
    <w:p>
      <w:pPr>
        <w:ind w:left="1080" w:right="30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any arrearages in payment of the minimum quarterly distribution on the Common Units for any prior quarters during the subordination period;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right="340" w:firstLine="548"/>
        <w:spacing w:after="0" w:line="501"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initial unit price (less any prior capital surplus distributions and any prior cash distributions made in connection with a partial liquidation); then the proceeds of the liquidation will be applied as follows:</w:t>
      </w:r>
    </w:p>
    <w:p>
      <w:pPr>
        <w:spacing w:after="0" w:line="13"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initial unit price (less any prior capital surplus distributions and any prior cash distributions made in connection with a partial liquidation);</w:t>
      </w:r>
    </w:p>
    <w:p>
      <w:pPr>
        <w:spacing w:after="0" w:line="221"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98.0% to the common unitholders, pro rata, and 2.0% to our general partner, until we distribute for each outstanding Common Unit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any arrearages in payment of the minimum quarterly distribution on the Common Units for any prior quarters during the subordination period;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thereafter</w:t>
      </w:r>
      <w:r>
        <w:rPr>
          <w:rFonts w:ascii="Arial" w:cs="Arial" w:eastAsia="Arial" w:hAnsi="Arial"/>
          <w:sz w:val="16"/>
          <w:szCs w:val="16"/>
          <w:color w:val="auto"/>
        </w:rPr>
        <w:t>, 50.0% to the common unitholders, pro rata, 48.0% to holders of incentive distribution rights and 2.0% to our general partner.</w:t>
      </w:r>
    </w:p>
    <w:p>
      <w:pPr>
        <w:spacing w:after="0" w:line="24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immediately preceding paragraph is based on the assumption that our general partner maintains its 2.0% general partner interest and that we do not issue additional classes of equity securities (other than the Series A Preference Units, which are discussed in the following section).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Preference Unit Liquidation Rights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holders of Series A Preference Units will be entitled, in the event of a dissolution,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(as defined in the partnership agreement). In the event that our assets available for distribution to holders of the outstanding Series A Preference Units and any other Parity Securities (if applicable) are insufficient to permit payment of all required amounts, our assets then remaining will be distributed among the Series A Preference Units and any Parity Securities, as applicable, ratably 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basis of their relative aggregate liquidation preferences. After payment of all required amounts to the holders of the outstanding Series A Preference Units and other Parity Securities (if applicable), our remaining assets and funds will be distributed among the holders of the common units and any other Junior Securities then outstanding according to their respective rights.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208" w:lineRule="exact"/>
        <w:rPr>
          <w:sz w:val="20"/>
          <w:szCs w:val="20"/>
          <w:color w:val="auto"/>
        </w:rPr>
      </w:pPr>
    </w:p>
    <w:p>
      <w:pPr>
        <w:ind w:left="1080" w:right="36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Units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pacing w:after="0" w:line="262" w:lineRule="exact"/>
        <w:rPr>
          <w:sz w:val="20"/>
          <w:szCs w:val="20"/>
          <w:color w:val="auto"/>
        </w:rPr>
      </w:pPr>
    </w:p>
    <w:p>
      <w:pPr>
        <w:ind w:left="1080" w:right="64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ectPr>
          <w:pgSz w:w="11900" w:h="16838" w:orient="portrait"/>
          <w:cols w:equalWidth="0" w:num="1">
            <w:col w:w="11380"/>
          </w:cols>
          <w:pgMar w:left="240" w:top="131" w:right="27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74"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2"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7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1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86,925</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221" w:lineRule="exact"/>
        <w:rPr>
          <w:sz w:val="20"/>
          <w:szCs w:val="20"/>
          <w:color w:val="auto"/>
        </w:rPr>
      </w:pPr>
    </w:p>
    <w:p>
      <w:pPr>
        <w:ind w:left="2260" w:right="260" w:hanging="540"/>
        <w:spacing w:after="0" w:line="268" w:lineRule="auto"/>
        <w:tabs>
          <w:tab w:leader="none" w:pos="2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consolidated financial statements as of December 31, 2015 and December 31, 2016 and for each of the three years in the period ended December 31, 2016 incorporated in this prospectus by reference from the Company's Current Report on Form 6-K filed on September 29, 2017 have been audited by Deloitte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39"/>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24"/>
          <w:szCs w:val="24"/>
          <w:b w:val="1"/>
          <w:bCs w:val="1"/>
          <w:color w:val="auto"/>
        </w:rPr>
        <w:t>4,000,000 8.500% Series C Cumulative Redeemable Perpetual</w:t>
      </w:r>
    </w:p>
    <w:p>
      <w:pPr>
        <w:spacing w:after="0" w:line="36" w:lineRule="exact"/>
        <w:rPr>
          <w:sz w:val="20"/>
          <w:szCs w:val="20"/>
          <w:color w:val="auto"/>
        </w:rPr>
      </w:pPr>
    </w:p>
    <w:p>
      <w:pPr>
        <w:ind w:left="3660"/>
        <w:spacing w:after="0"/>
        <w:rPr>
          <w:sz w:val="20"/>
          <w:szCs w:val="20"/>
          <w:color w:val="auto"/>
        </w:rPr>
      </w:pPr>
      <w:r>
        <w:rPr>
          <w:rFonts w:ascii="Arial" w:cs="Arial" w:eastAsia="Arial" w:hAnsi="Arial"/>
          <w:sz w:val="24"/>
          <w:szCs w:val="24"/>
          <w:b w:val="1"/>
          <w:bCs w:val="1"/>
          <w:color w:val="auto"/>
        </w:rPr>
        <w:t>Fixed to Floating Rate Preference Units</w:t>
      </w:r>
    </w:p>
    <w:p>
      <w:pPr>
        <w:spacing w:after="0" w:line="8" w:lineRule="exact"/>
        <w:rPr>
          <w:sz w:val="20"/>
          <w:szCs w:val="20"/>
          <w:color w:val="auto"/>
        </w:rPr>
      </w:pPr>
    </w:p>
    <w:p>
      <w:pPr>
        <w:ind w:left="3660"/>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905510</wp:posOffset>
            </wp:positionV>
            <wp:extent cx="18954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142240</wp:posOffset>
            </wp:positionV>
            <wp:extent cx="1337945" cy="6261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39"/>
        <w:spacing w:after="0"/>
        <w:tabs>
          <w:tab w:leader="none" w:pos="200" w:val="left"/>
        </w:tabs>
        <w:rPr>
          <w:sz w:val="20"/>
          <w:szCs w:val="20"/>
          <w:color w:val="auto"/>
        </w:rPr>
      </w:pPr>
      <w:r>
        <w:rPr>
          <w:rFonts w:ascii="Arial" w:cs="Arial" w:eastAsia="Arial" w:hAnsi="Arial"/>
          <w:sz w:val="22"/>
          <w:szCs w:val="22"/>
          <w:b w:val="1"/>
          <w:bCs w:val="1"/>
          <w:color w:val="auto"/>
        </w:rPr>
        <w:t>P R O S P E C T U S</w:t>
      </w:r>
      <w:r>
        <w:rPr>
          <w:sz w:val="20"/>
          <w:szCs w:val="20"/>
          <w:color w:val="auto"/>
        </w:rPr>
        <w:tab/>
      </w:r>
      <w:r>
        <w:rPr>
          <w:rFonts w:ascii="Arial" w:cs="Arial" w:eastAsia="Arial" w:hAnsi="Arial"/>
          <w:sz w:val="19"/>
          <w:szCs w:val="19"/>
          <w:b w:val="1"/>
          <w:bCs w:val="1"/>
          <w:color w:val="auto"/>
        </w:rPr>
        <w:t>S U P P L E M E N T</w:t>
      </w:r>
    </w:p>
    <w:p>
      <w:pPr>
        <w:spacing w:after="0" w:line="21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November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Joint Bookrunners</w:t>
      </w:r>
    </w:p>
    <w:p>
      <w:pPr>
        <w:spacing w:after="0" w:line="206" w:lineRule="exact"/>
        <w:rPr>
          <w:sz w:val="20"/>
          <w:szCs w:val="20"/>
          <w:color w:val="auto"/>
        </w:rPr>
      </w:pPr>
    </w:p>
    <w:p>
      <w:pPr>
        <w:jc w:val="right"/>
        <w:spacing w:after="0"/>
        <w:tabs>
          <w:tab w:leader="none" w:pos="6520" w:val="left"/>
          <w:tab w:leader="none" w:pos="4260" w:val="left"/>
          <w:tab w:leader="none" w:pos="3200" w:val="left"/>
          <w:tab w:leader="none" w:pos="1200" w:val="left"/>
        </w:tabs>
        <w:rPr>
          <w:sz w:val="20"/>
          <w:szCs w:val="20"/>
          <w:color w:val="auto"/>
        </w:rPr>
      </w:pP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Stifel</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19"/>
          <w:szCs w:val="19"/>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decimal"/>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decimal"/>
      <w:start w:val="1"/>
    </w:lvl>
  </w:abstractNum>
  <w:abstractNum w:abstractNumId="3">
    <w:nsid w:val="15B5AF5C"/>
    <w:multiLevelType w:val="hybridMultilevel"/>
    <w:lvl w:ilvl="0">
      <w:lvlJc w:val="left"/>
      <w:lvlText w:val="(%1)"/>
      <w:numFmt w:val="decimal"/>
      <w:start w:val="1"/>
    </w:lvl>
  </w:abstractNum>
  <w:abstractNum w:abstractNumId="4">
    <w:nsid w:val="741226BB"/>
    <w:multiLevelType w:val="hybridMultilevel"/>
    <w:lvl w:ilvl="0">
      <w:lvlJc w:val="left"/>
      <w:lvlText w:val="(%1)"/>
      <w:numFmt w:val="decimal"/>
      <w:start w:val="1"/>
    </w:lvl>
  </w:abstractNum>
  <w:abstractNum w:abstractNumId="5">
    <w:nsid w:val="D34B6A8"/>
    <w:multiLevelType w:val="hybridMultilevel"/>
    <w:lvl w:ilvl="0">
      <w:lvlJc w:val="left"/>
      <w:lvlText w:val="(%1)"/>
      <w:numFmt w:val="decimal"/>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1)"/>
      <w:numFmt w:val="decimal"/>
      <w:start w:val="3"/>
    </w:lvl>
  </w:abstractNum>
  <w:abstractNum w:abstractNumId="10">
    <w:nsid w:val="77AE35EB"/>
    <w:multiLevelType w:val="hybridMultilevel"/>
    <w:lvl w:ilvl="0">
      <w:lvlJc w:val="left"/>
      <w:lvlText w:val="(%1)"/>
      <w:numFmt w:val="lowerRoman"/>
      <w:start w:val="2"/>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1"/>
      <w:numFmt w:val="decimal"/>
      <w:start w:val="1"/>
    </w:lvl>
    <w:lvl w:ilvl="1">
      <w:lvlJc w:val="left"/>
      <w:lvlText w:val="**"/>
      <w:numFmt w:val="bullet"/>
      <w:start w:val="1"/>
    </w:lvl>
  </w:abstractNum>
  <w:abstractNum w:abstractNumId="13">
    <w:nsid w:val="5FF87E05"/>
    <w:multiLevelType w:val="hybridMultilevel"/>
    <w:lvl w:ilvl="0">
      <w:lvlJc w:val="left"/>
      <w:lvlText w:val="(%1)"/>
      <w:numFmt w:val="decimal"/>
      <w:start w:val="5"/>
    </w:lvl>
    <w:lvl w:ilvl="1">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lvl w:ilvl="1">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1)"/>
      <w:numFmt w:val="decimal"/>
      <w:start w:val="1"/>
    </w:lvl>
    <w:lvl w:ilvl="1">
      <w:lvlJc w:val="left"/>
      <w:lvlText w:val="•"/>
      <w:numFmt w:val="bullet"/>
      <w:start w:val="1"/>
    </w:lvl>
  </w:abstractNum>
  <w:abstractNum w:abstractNumId="23">
    <w:nsid w:val="15014ACB"/>
    <w:multiLevelType w:val="hybridMultilevel"/>
    <w:lvl w:ilvl="0">
      <w:lvlJc w:val="left"/>
      <w:lvlText w:val="•"/>
      <w:numFmt w:val="bullet"/>
      <w:start w:val="1"/>
    </w:lvl>
    <w:lvl w:ilvl="1">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1)"/>
      <w:numFmt w:val="decimal"/>
      <w:start w:val="4"/>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1)"/>
      <w:numFmt w:val="decimal"/>
      <w:start w:val="1"/>
    </w:lvl>
  </w:abstractNum>
  <w:abstractNum w:abstractNumId="32">
    <w:nsid w:val="5DC79EA8"/>
    <w:multiLevelType w:val="hybridMultilevel"/>
    <w:lvl w:ilvl="0">
      <w:lvlJc w:val="left"/>
      <w:lvlText w:val="(%1)"/>
      <w:numFmt w:val="decimal"/>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1)"/>
      <w:numFmt w:val="decimal"/>
      <w:start w:val="6"/>
    </w:lvl>
  </w:abstractNum>
  <w:abstractNum w:abstractNumId="35">
    <w:nsid w:val="51D9C564"/>
    <w:multiLevelType w:val="hybridMultilevel"/>
    <w:lvl w:ilvl="0">
      <w:lvlJc w:val="left"/>
      <w:lvlText w:val="(%1)"/>
      <w:numFmt w:val="decimal"/>
      <w:start w:val="1"/>
    </w:lvl>
  </w:abstractNum>
  <w:abstractNum w:abstractNumId="36">
    <w:nsid w:val="613EFDC5"/>
    <w:multiLevelType w:val="hybridMultilevel"/>
    <w:lvl w:ilvl="0">
      <w:lvlJc w:val="left"/>
      <w:lvlText w:val="(%1)"/>
      <w:numFmt w:val="decimal"/>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1)"/>
      <w:numFmt w:val="decimal"/>
      <w:start w:val="1"/>
    </w:lvl>
  </w:abstractNum>
  <w:abstractNum w:abstractNumId="44">
    <w:nsid w:val="68EB2F63"/>
    <w:multiLevelType w:val="hybridMultilevel"/>
    <w:lvl w:ilvl="0">
      <w:lvlJc w:val="left"/>
      <w:lvlText w:val="(%1)"/>
      <w:numFmt w:val="lowerRoman"/>
      <w:start w:val="1"/>
    </w:lvl>
  </w:abstractNum>
  <w:abstractNum w:abstractNumId="45">
    <w:nsid w:val="4962813B"/>
    <w:multiLevelType w:val="hybridMultilevel"/>
    <w:lvl w:ilvl="0">
      <w:lvlJc w:val="left"/>
      <w:lvlText w:val="(%1)"/>
      <w:numFmt w:val="lowerRoman"/>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lowerLetter"/>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1)"/>
      <w:numFmt w:val="decimal"/>
      <w:start w:val="1"/>
    </w:lvl>
    <w:lvl w:ilvl="1">
      <w:lvlJc w:val="left"/>
      <w:lvlText w:val="•"/>
      <w:numFmt w:val="bullet"/>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1)"/>
      <w:numFmt w:val="decimal"/>
      <w:start w:val="1"/>
    </w:lvl>
  </w:abstractNum>
  <w:abstractNum w:abstractNumId="80">
    <w:nsid w:val="5FB8011C"/>
    <w:multiLevelType w:val="hybridMultilevel"/>
    <w:lvl w:ilvl="0">
      <w:lvlJc w:val="left"/>
      <w:lvlText w:val="(%1)"/>
      <w:numFmt w:val="decimal"/>
      <w:start w:val="1"/>
    </w:lvl>
    <w:lvl w:ilvl="1">
      <w:lvlJc w:val="left"/>
      <w:lvlText w:val="•"/>
      <w:numFmt w:val="bullet"/>
      <w:start w:val="1"/>
    </w:lvl>
  </w:abstractNum>
  <w:abstractNum w:abstractNumId="81">
    <w:nsid w:val="6AA78F7F"/>
    <w:multiLevelType w:val="hybridMultilevel"/>
    <w:lvl w:ilvl="0">
      <w:lvlJc w:val="left"/>
      <w:lvlText w:val="(%1)"/>
      <w:numFmt w:val="decimal"/>
      <w:start w:val="1"/>
    </w:lvl>
  </w:abstractNum>
  <w:abstractNum w:abstractNumId="82">
    <w:nsid w:val="7672BD23"/>
    <w:multiLevelType w:val="hybridMultilevel"/>
    <w:lvl w:ilvl="0">
      <w:lvlJc w:val="left"/>
      <w:lvlText w:val="(%1)"/>
      <w:numFmt w:val="decimal"/>
      <w:start w:val="1"/>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
      <w:numFmt w:val="bullet"/>
      <w:start w:val="1"/>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1)"/>
      <w:numFmt w:val="decimal"/>
      <w:start w:val="1"/>
    </w:lvl>
  </w:abstractNum>
  <w:abstractNum w:abstractNumId="89">
    <w:nsid w:val="555C55B5"/>
    <w:multiLevelType w:val="hybridMultilevel"/>
    <w:lvl w:ilvl="0">
      <w:lvlJc w:val="left"/>
      <w:lvlText w:val="(%1)"/>
      <w:numFmt w:val="decimal"/>
      <w:start w:val="2"/>
    </w:lvl>
  </w:abstractNum>
  <w:abstractNum w:abstractNumId="90">
    <w:nsid w:val="3FA62ACA"/>
    <w:multiLevelType w:val="hybridMultilevel"/>
    <w:lvl w:ilvl="0">
      <w:lvlJc w:val="left"/>
      <w:lvlText w:val="(%1)"/>
      <w:numFmt w:val="decimal"/>
      <w:start w:val="1"/>
    </w:lvl>
  </w:abstractNum>
  <w:abstractNum w:abstractNumId="91">
    <w:nsid w:val="14FCE74E"/>
    <w:multiLevelType w:val="hybridMultilevel"/>
    <w:lvl w:ilvl="0">
      <w:lvlJc w:val="left"/>
      <w:lvlText w:val="•"/>
      <w:numFmt w:val="bullet"/>
      <w:start w:val="1"/>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
      <w:numFmt w:val="bullet"/>
      <w:start w:val="1"/>
    </w:lvl>
    <w:lvl w:ilvl="1">
      <w:lvlJc w:val="left"/>
      <w:lvlText w:val="•"/>
      <w:numFmt w:val="bullet"/>
      <w:start w:val="1"/>
    </w:lvl>
  </w:abstractNum>
  <w:abstractNum w:abstractNumId="94">
    <w:nsid w:val="9DAF632"/>
    <w:multiLevelType w:val="hybridMultilevel"/>
    <w:lvl w:ilvl="0">
      <w:lvlJc w:val="left"/>
      <w:lvlText w:val="•"/>
      <w:numFmt w:val="bullet"/>
      <w:start w:val="1"/>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
      <w:numFmt w:val="bullet"/>
      <w:start w:val="1"/>
    </w:lvl>
  </w:abstractNum>
  <w:abstractNum w:abstractNumId="97">
    <w:nsid w:val="5092CA79"/>
    <w:multiLevelType w:val="hybridMultilevel"/>
    <w:lvl w:ilvl="0">
      <w:lvlJc w:val="left"/>
      <w:lvlText w:val="•"/>
      <w:numFmt w:val="bullet"/>
      <w:start w:val="1"/>
    </w:lvl>
  </w:abstractNum>
  <w:abstractNum w:abstractNumId="98">
    <w:nsid w:val="1D545C4D"/>
    <w:multiLevelType w:val="hybridMultilevel"/>
    <w:lvl w:ilvl="0">
      <w:lvlJc w:val="left"/>
      <w:lvlText w:val="•"/>
      <w:numFmt w:val="bullet"/>
      <w:start w:val="1"/>
    </w:lvl>
  </w:abstractNum>
  <w:abstractNum w:abstractNumId="99">
    <w:nsid w:val="59ADEA3D"/>
    <w:multiLevelType w:val="hybridMultilevel"/>
    <w:lvl w:ilvl="0">
      <w:lvlJc w:val="left"/>
      <w:lvlText w:val="•"/>
      <w:numFmt w:val="bullet"/>
      <w:start w:val="1"/>
    </w:lvl>
  </w:abstractNum>
  <w:abstractNum w:abstractNumId="100">
    <w:nsid w:val="288F1A34"/>
    <w:multiLevelType w:val="hybridMultilevel"/>
    <w:lvl w:ilvl="0">
      <w:lvlJc w:val="left"/>
      <w:lvlText w:val="•"/>
      <w:numFmt w:val="bullet"/>
      <w:start w:val="1"/>
    </w:lvl>
  </w:abstractNum>
  <w:abstractNum w:abstractNumId="101">
    <w:nsid w:val="2A155DBC"/>
    <w:multiLevelType w:val="hybridMultilevel"/>
    <w:lvl w:ilvl="0">
      <w:lvlJc w:val="left"/>
      <w:lvlText w:val="•"/>
      <w:numFmt w:val="bullet"/>
      <w:start w:val="1"/>
    </w:lvl>
  </w:abstractNum>
  <w:abstractNum w:abstractNumId="102">
    <w:nsid w:val="1D9F6E5F"/>
    <w:multiLevelType w:val="hybridMultilevel"/>
    <w:lvl w:ilvl="0">
      <w:lvlJc w:val="left"/>
      <w:lvlText w:val="•"/>
      <w:numFmt w:val="bullet"/>
      <w:start w:val="1"/>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
      <w:numFmt w:val="bullet"/>
      <w:start w:val="1"/>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
      <w:numFmt w:val="bullet"/>
      <w:start w:val="1"/>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
      <w:numFmt w:val="bullet"/>
      <w:start w:val="1"/>
    </w:lvl>
  </w:abstractNum>
  <w:abstractNum w:abstractNumId="112">
    <w:nsid w:val="E7FFA2B"/>
    <w:multiLevelType w:val="hybridMultilevel"/>
    <w:lvl w:ilvl="0">
      <w:lvlJc w:val="left"/>
      <w:lvlText w:val="•"/>
      <w:numFmt w:val="bullet"/>
      <w:start w:val="1"/>
    </w:lvl>
  </w:abstractNum>
  <w:abstractNum w:abstractNumId="113">
    <w:nsid w:val="3C5991AA"/>
    <w:multiLevelType w:val="hybridMultilevel"/>
    <w:lvl w:ilvl="0">
      <w:lvlJc w:val="left"/>
      <w:lvlText w:val="•"/>
      <w:numFmt w:val="bullet"/>
      <w:start w:val="1"/>
    </w:lvl>
  </w:abstractNum>
  <w:abstractNum w:abstractNumId="114">
    <w:nsid w:val="4BD859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2019-12-08T10:02:14Z</dcterms:created>
  <dcterms:modified xsi:type="dcterms:W3CDTF">2019-12-08T10:02:14Z</dcterms:modified>
</cp:coreProperties>
</file>