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September 2018</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2260" w:type="dxa"/>
            <w:vAlign w:val="bottom"/>
          </w:tcPr>
          <w:p>
            <w:pPr>
              <w:spacing w:after="0"/>
              <w:rPr>
                <w:sz w:val="24"/>
                <w:szCs w:val="24"/>
                <w:color w:val="auto"/>
              </w:rPr>
            </w:pPr>
          </w:p>
        </w:tc>
      </w:tr>
      <w:tr>
        <w:trPr>
          <w:trHeight w:val="414"/>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GasLog Partners LP</w:t>
            </w:r>
          </w:p>
        </w:tc>
        <w:tc>
          <w:tcPr>
            <w:tcW w:w="2260" w:type="dxa"/>
            <w:vAlign w:val="bottom"/>
          </w:tcPr>
          <w:p>
            <w:pPr>
              <w:spacing w:after="0"/>
              <w:rPr>
                <w:sz w:val="24"/>
                <w:szCs w:val="24"/>
                <w:color w:val="auto"/>
              </w:rPr>
            </w:pPr>
          </w:p>
        </w:tc>
      </w:tr>
      <w:tr>
        <w:trPr>
          <w:trHeight w:val="234"/>
        </w:trPr>
        <w:tc>
          <w:tcPr>
            <w:tcW w:w="920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2260" w:type="dxa"/>
            <w:vAlign w:val="bottom"/>
          </w:tcPr>
          <w:p>
            <w:pPr>
              <w:spacing w:after="0"/>
              <w:rPr>
                <w:sz w:val="20"/>
                <w:szCs w:val="20"/>
                <w:color w:val="auto"/>
              </w:rPr>
            </w:pPr>
          </w:p>
        </w:tc>
      </w:tr>
      <w:tr>
        <w:trPr>
          <w:trHeight w:val="414"/>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Gildo Pastor Center</w:t>
            </w:r>
          </w:p>
        </w:tc>
        <w:tc>
          <w:tcPr>
            <w:tcW w:w="2260" w:type="dxa"/>
            <w:vAlign w:val="bottom"/>
          </w:tcPr>
          <w:p>
            <w:pPr>
              <w:spacing w:after="0"/>
              <w:rPr>
                <w:sz w:val="24"/>
                <w:szCs w:val="24"/>
                <w:color w:val="auto"/>
              </w:rPr>
            </w:pPr>
          </w:p>
        </w:tc>
      </w:tr>
      <w:tr>
        <w:trPr>
          <w:trHeight w:val="216"/>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7 Rue du Gabian</w:t>
            </w:r>
          </w:p>
        </w:tc>
        <w:tc>
          <w:tcPr>
            <w:tcW w:w="2260" w:type="dxa"/>
            <w:vAlign w:val="bottom"/>
          </w:tcPr>
          <w:p>
            <w:pPr>
              <w:spacing w:after="0"/>
              <w:rPr>
                <w:sz w:val="18"/>
                <w:szCs w:val="18"/>
                <w:color w:val="auto"/>
              </w:rPr>
            </w:pPr>
          </w:p>
        </w:tc>
      </w:tr>
      <w:tr>
        <w:trPr>
          <w:trHeight w:val="216"/>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MC 98000, Monaco</w:t>
            </w:r>
          </w:p>
        </w:tc>
        <w:tc>
          <w:tcPr>
            <w:tcW w:w="2260" w:type="dxa"/>
            <w:vAlign w:val="bottom"/>
          </w:tcPr>
          <w:p>
            <w:pPr>
              <w:spacing w:after="0"/>
              <w:rPr>
                <w:sz w:val="18"/>
                <w:szCs w:val="18"/>
                <w:color w:val="auto"/>
              </w:rPr>
            </w:pPr>
          </w:p>
        </w:tc>
      </w:tr>
      <w:tr>
        <w:trPr>
          <w:trHeight w:val="234"/>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2260" w:type="dxa"/>
            <w:vAlign w:val="bottom"/>
          </w:tcPr>
          <w:p>
            <w:pPr>
              <w:spacing w:after="0"/>
              <w:rPr>
                <w:sz w:val="24"/>
                <w:szCs w:val="24"/>
                <w:color w:val="auto"/>
              </w:rPr>
            </w:pPr>
          </w:p>
        </w:tc>
      </w:tr>
      <w:tr>
        <w:trPr>
          <w:trHeight w:val="452"/>
        </w:trPr>
        <w:tc>
          <w:tcPr>
            <w:tcW w:w="92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o</w:t>
            </w:r>
          </w:p>
        </w:tc>
        <w:tc>
          <w:tcPr>
            <w:tcW w:w="2260" w:type="dxa"/>
            <w:vAlign w:val="bottom"/>
          </w:tcPr>
          <w:p>
            <w:pPr>
              <w:spacing w:after="0"/>
              <w:rPr>
                <w:sz w:val="24"/>
                <w:szCs w:val="24"/>
                <w:color w:val="auto"/>
              </w:rPr>
            </w:pPr>
          </w:p>
        </w:tc>
      </w:tr>
      <w:tr>
        <w:trPr>
          <w:trHeight w:val="41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t>
            </w:r>
          </w:p>
        </w:tc>
      </w:tr>
      <w:tr>
        <w:trPr>
          <w:trHeight w:val="43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t>
            </w:r>
          </w:p>
        </w:tc>
      </w:tr>
      <w:tr>
        <w:trPr>
          <w:trHeight w:val="348"/>
        </w:trPr>
        <w:tc>
          <w:tcPr>
            <w:tcW w:w="9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both"/>
        <w:ind w:right="40" w:firstLine="383"/>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September 26, 2018 announcing that it has agreed to sell 2,250,000 common units to funds managed by Tortoise Capital Advisors, L.L.C. for gross proceeds of approximately $53 million attached hereto as Exhibit 99.1.</w:t>
      </w:r>
    </w:p>
    <w:p>
      <w:pPr>
        <w:spacing w:after="0" w:line="2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0" w:lineRule="exact"/>
        <w:rPr>
          <w:sz w:val="24"/>
          <w:szCs w:val="24"/>
          <w:color w:val="auto"/>
        </w:rPr>
      </w:pPr>
    </w:p>
    <w:p>
      <w:pPr>
        <w:jc w:val="both"/>
        <w:ind w:right="40" w:firstLine="376"/>
        <w:spacing w:after="0" w:line="261"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 on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4"/>
          <w:szCs w:val="24"/>
          <w:color w:val="auto"/>
        </w:rPr>
      </w:pP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EXHIBIT LIST</w:t>
      </w:r>
    </w:p>
    <w:p>
      <w:pPr>
        <w:spacing w:after="0" w:line="230" w:lineRule="exact"/>
        <w:rPr>
          <w:sz w:val="24"/>
          <w:szCs w:val="24"/>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4"/>
          <w:szCs w:val="24"/>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September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4"/>
          <w:szCs w:val="24"/>
          <w:color w:val="auto"/>
        </w:rPr>
      </w:pPr>
    </w:p>
    <w:p>
      <w:pPr>
        <w:ind w:right="800"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2018</w:t>
      </w:r>
    </w:p>
    <w:p>
      <w:pPr>
        <w:spacing w:after="0" w:line="225" w:lineRule="exact"/>
        <w:rPr>
          <w:sz w:val="24"/>
          <w:szCs w:val="24"/>
          <w:color w:val="auto"/>
        </w:rPr>
      </w:pPr>
    </w:p>
    <w:p>
      <w:pPr>
        <w:ind w:left="582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3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Orekar</w:t>
            </w:r>
          </w:p>
        </w:tc>
        <w:tc>
          <w:tcPr>
            <w:tcW w:w="40" w:type="dxa"/>
            <w:vAlign w:val="bottom"/>
          </w:tcPr>
          <w:p>
            <w:pPr>
              <w:spacing w:after="0"/>
              <w:rPr>
                <w:sz w:val="20"/>
                <w:szCs w:val="20"/>
                <w:color w:val="auto"/>
              </w:rPr>
            </w:pPr>
          </w:p>
        </w:tc>
      </w:tr>
      <w:tr>
        <w:trPr>
          <w:trHeight w:val="191"/>
        </w:trPr>
        <w:tc>
          <w:tcPr>
            <w:tcW w:w="67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Andrew Orekar</w:t>
            </w:r>
          </w:p>
        </w:tc>
        <w:tc>
          <w:tcPr>
            <w:tcW w:w="40" w:type="dxa"/>
            <w:vAlign w:val="bottom"/>
          </w:tcPr>
          <w:p>
            <w:pPr>
              <w:spacing w:after="0"/>
              <w:rPr>
                <w:sz w:val="16"/>
                <w:szCs w:val="16"/>
                <w:color w:val="auto"/>
              </w:rPr>
            </w:pPr>
          </w:p>
        </w:tc>
      </w:tr>
      <w:tr>
        <w:trPr>
          <w:trHeight w:val="234"/>
        </w:trPr>
        <w:tc>
          <w:tcPr>
            <w:tcW w:w="67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1" w:right="199" w:bottom="1440" w:gutter="0" w:footer="0" w:header="0"/>
        </w:sectPr>
      </w:pPr>
    </w:p>
    <w:bookmarkStart w:id="1" w:name="page2"/>
    <w:bookmarkEnd w:id="1"/>
    <w:p>
      <w:pPr>
        <w:ind w:left="105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MONACO — September 26, 2018 — </w:t>
      </w:r>
      <w:r>
        <w:rPr>
          <w:rFonts w:ascii="Times New Roman" w:cs="Times New Roman" w:eastAsia="Times New Roman" w:hAnsi="Times New Roman"/>
          <w:sz w:val="18"/>
          <w:szCs w:val="18"/>
          <w:color w:val="auto"/>
        </w:rPr>
        <w:t>GasLog Partners LP (NYSE:GLOP) (“GasLog Partners”, the “Partnership” or “we”) today announced 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sell 2,250,000 common units to funds managed by Tortoise Capital Advisors, L.L.C. (“Tortoise”) for gross proceeds of approximately $53 million. The common units are being sold at a price of $23.60 per common unit through the Partnership’s at-the-market common equity offering programme.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plans to use the net proceeds from the sale for general partnership purposes, which may include future acquisitions, debt repayment, capital expenditures and additions to working capital. We currently expect that this will include future acquisitions from GasLog Ltd.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Andy Orekar, Chief Executive Officer of GasLog Partners, stated: “I am very pleased to welcome Tortoise, a leading energy infrastructure investor, as a significant unitholder in the Partnership. This equity issuance and execution format demonstrates our access to diverse and competitive capital sources and fulfills our expected equity requirements for growth in 2018.”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 The offering was made only by means of a prospectus. A copy of the prospectus relating to the offering may be obtained on the “Investor Relations” section of our website at www.gaslogmlp.com. Requests for such information should be made to us at the following address: GasLog Partners LP, Gildo Pastor Center, 7 Rue du Gabian, MC 98000, Monaco, Attention: Nicola Lloyd, General Counsel.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GasLog Partners is a growth-oriented master limited partnership focused on owning, operating and acquiring LNG carriers under multi-year charters. GasLog Partners’ fleet consists of 13 LNG carriers with an average carrying capacity of approximately 156,000 cubic metres. GasLog Partners’ principal executive office is located at Gildo Pastor Center, 7 Rue du Gabian, MC 98000, Monaco.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+44-203-388-3105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Corbett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+44-203-388-3116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2019-12-08T09:52:30Z</dcterms:created>
  <dcterms:modified xsi:type="dcterms:W3CDTF">2019-12-08T09:52:30Z</dcterms:modified>
</cp:coreProperties>
</file>