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29"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Washington, D.C. 20549</w:t>
      </w:r>
    </w:p>
    <w:p>
      <w:pPr>
        <w:spacing w:after="0" w:line="209" w:lineRule="exact"/>
        <w:rPr>
          <w:sz w:val="24"/>
          <w:szCs w:val="24"/>
          <w:color w:val="auto"/>
        </w:rPr>
      </w:pPr>
    </w:p>
    <w:p>
      <w:pPr>
        <w:jc w:val="center"/>
        <w:ind w:right="-1319"/>
        <w:spacing w:after="0"/>
        <w:rPr>
          <w:sz w:val="20"/>
          <w:szCs w:val="20"/>
          <w:color w:val="auto"/>
        </w:rPr>
      </w:pPr>
      <w:r>
        <w:rPr>
          <w:rFonts w:ascii="Arial" w:cs="Arial" w:eastAsia="Arial" w:hAnsi="Arial"/>
          <w:sz w:val="29"/>
          <w:szCs w:val="29"/>
          <w:b w:val="1"/>
          <w:bCs w:val="1"/>
          <w:color w:val="auto"/>
        </w:rPr>
        <w:t>FORM 6-K</w:t>
      </w:r>
    </w:p>
    <w:p>
      <w:pPr>
        <w:spacing w:after="0" w:line="232" w:lineRule="exact"/>
        <w:rPr>
          <w:sz w:val="24"/>
          <w:szCs w:val="24"/>
          <w:color w:val="auto"/>
        </w:rPr>
      </w:pPr>
    </w:p>
    <w:p>
      <w:pPr>
        <w:jc w:val="center"/>
        <w:ind w:right="-1319"/>
        <w:spacing w:after="0"/>
        <w:rPr>
          <w:sz w:val="20"/>
          <w:szCs w:val="20"/>
          <w:color w:val="auto"/>
        </w:rPr>
      </w:pPr>
      <w:r>
        <w:rPr>
          <w:rFonts w:ascii="Arial" w:cs="Arial" w:eastAsia="Arial" w:hAnsi="Arial"/>
          <w:sz w:val="18"/>
          <w:szCs w:val="18"/>
          <w:b w:val="1"/>
          <w:bCs w:val="1"/>
          <w:color w:val="auto"/>
        </w:rPr>
        <w:t>REPORT OF FOREIGN PRIVATE ISSUER PURSUANT TO RULE 13a-16 OR 15d-16 UNDER</w:t>
      </w:r>
    </w:p>
    <w:p>
      <w:pPr>
        <w:spacing w:after="0" w:line="40" w:lineRule="exact"/>
        <w:rPr>
          <w:sz w:val="24"/>
          <w:szCs w:val="24"/>
          <w:color w:val="auto"/>
        </w:rPr>
      </w:pPr>
    </w:p>
    <w:p>
      <w:pPr>
        <w:jc w:val="center"/>
        <w:ind w:right="-1319"/>
        <w:spacing w:after="0"/>
        <w:rPr>
          <w:sz w:val="20"/>
          <w:szCs w:val="20"/>
          <w:color w:val="auto"/>
        </w:rPr>
      </w:pPr>
      <w:r>
        <w:rPr>
          <w:rFonts w:ascii="Arial" w:cs="Arial" w:eastAsia="Arial" w:hAnsi="Arial"/>
          <w:sz w:val="19"/>
          <w:szCs w:val="19"/>
          <w:b w:val="1"/>
          <w:bCs w:val="1"/>
          <w:color w:val="auto"/>
        </w:rPr>
        <w:t>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For the month of February, 2019</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Commission File Number: 001-36433</w:t>
      </w:r>
    </w:p>
    <w:p>
      <w:pPr>
        <w:spacing w:after="0" w:line="218" w:lineRule="exact"/>
        <w:rPr>
          <w:sz w:val="24"/>
          <w:szCs w:val="24"/>
          <w:color w:val="auto"/>
        </w:rPr>
      </w:pPr>
    </w:p>
    <w:p>
      <w:pPr>
        <w:jc w:val="center"/>
        <w:ind w:right="-1319"/>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(Translation of registrant’s name into English)</w:t>
      </w:r>
    </w:p>
    <w:p>
      <w:pPr>
        <w:spacing w:after="0" w:line="222"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c/o GasLog Monaco S.A.M.</w:t>
      </w:r>
    </w:p>
    <w:p>
      <w:pPr>
        <w:spacing w:after="0" w:line="23"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Gildo Pastor Center</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7 Rue du Gabian</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MC 98000, Monaco</w:t>
      </w:r>
    </w:p>
    <w:p>
      <w:pPr>
        <w:spacing w:after="0" w:line="10" w:lineRule="exact"/>
        <w:rPr>
          <w:sz w:val="24"/>
          <w:szCs w:val="24"/>
          <w:color w:val="auto"/>
        </w:rPr>
      </w:pPr>
    </w:p>
    <w:p>
      <w:pPr>
        <w:jc w:val="center"/>
        <w:ind w:right="-1319"/>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p>
      <w:pPr>
        <w:ind w:right="1720"/>
        <w:spacing w:after="0" w:line="501" w:lineRule="auto"/>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 Form 20-F x Form 40-F o</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357505</wp:posOffset>
            </wp:positionV>
            <wp:extent cx="762508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609600</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678"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9"/>
          <w:szCs w:val="19"/>
          <w:b w:val="1"/>
          <w:bCs w:val="1"/>
          <w:color w:val="auto"/>
        </w:rPr>
        <w:t>INFORMATION CONTAINED IN THIS FORM 6-K REPORT</w:t>
      </w:r>
    </w:p>
    <w:p>
      <w:pPr>
        <w:spacing w:after="0" w:line="244" w:lineRule="exact"/>
        <w:rPr>
          <w:sz w:val="20"/>
          <w:szCs w:val="20"/>
          <w:color w:val="auto"/>
        </w:rPr>
      </w:pPr>
    </w:p>
    <w:p>
      <w:pPr>
        <w:jc w:val="both"/>
        <w:ind w:right="140" w:firstLine="685"/>
        <w:spacing w:after="0" w:line="284" w:lineRule="auto"/>
        <w:rPr>
          <w:sz w:val="20"/>
          <w:szCs w:val="20"/>
          <w:color w:val="auto"/>
        </w:rPr>
      </w:pPr>
      <w:r>
        <w:rPr>
          <w:rFonts w:ascii="Arial" w:cs="Arial" w:eastAsia="Arial" w:hAnsi="Arial"/>
          <w:sz w:val="18"/>
          <w:szCs w:val="18"/>
          <w:color w:val="auto"/>
        </w:rPr>
        <w:t>This Report on Form 6-K shall be incorporated by reference into our registration statement on Form F-3, as declared effective by the Securities and Exchange Commission on October 10, 2017 (Registration No. 333-220736), as amended, to the extent not superseded by documents or reports subsequently filed by us under the Securities Act of 1933 or the Securities Exchange of 1934, in each case as amended.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19"/>
                <w:szCs w:val="19"/>
                <w:b w:val="1"/>
                <w:bCs w:val="1"/>
                <w:color w:val="auto"/>
              </w:rPr>
              <w:t>Exhibit</w:t>
            </w:r>
          </w:p>
        </w:tc>
        <w:tc>
          <w:tcPr>
            <w:tcW w:w="9180" w:type="dxa"/>
            <w:vAlign w:val="bottom"/>
          </w:tcPr>
          <w:p>
            <w:pPr>
              <w:spacing w:after="0"/>
              <w:rPr>
                <w:sz w:val="20"/>
                <w:szCs w:val="20"/>
                <w:color w:val="auto"/>
              </w:rPr>
            </w:pPr>
            <w:r>
              <w:rPr>
                <w:rFonts w:ascii="Arial" w:cs="Arial" w:eastAsia="Arial" w:hAnsi="Arial"/>
                <w:sz w:val="19"/>
                <w:szCs w:val="19"/>
                <w:b w:val="1"/>
                <w:bCs w:val="1"/>
                <w:color w:val="auto"/>
              </w:rPr>
              <w:t>Description</w:t>
            </w:r>
          </w:p>
        </w:tc>
        <w:tc>
          <w:tcPr>
            <w:tcW w:w="1300" w:type="dxa"/>
            <w:vAlign w:val="bottom"/>
          </w:tcPr>
          <w:p>
            <w:pPr>
              <w:spacing w:after="0"/>
              <w:rPr>
                <w:sz w:val="21"/>
                <w:szCs w:val="21"/>
                <w:color w:val="auto"/>
              </w:rPr>
            </w:pPr>
          </w:p>
        </w:tc>
      </w:tr>
      <w:tr>
        <w:trPr>
          <w:trHeight w:val="309"/>
        </w:trPr>
        <w:tc>
          <w:tcPr>
            <w:tcW w:w="200" w:type="dxa"/>
            <w:vAlign w:val="bottom"/>
          </w:tcPr>
          <w:p>
            <w:pPr>
              <w:spacing w:after="0"/>
              <w:rPr>
                <w:sz w:val="24"/>
                <w:szCs w:val="24"/>
                <w:color w:val="auto"/>
              </w:rPr>
            </w:pPr>
          </w:p>
        </w:tc>
        <w:tc>
          <w:tcPr>
            <w:tcW w:w="1100" w:type="dxa"/>
            <w:vAlign w:val="bottom"/>
            <w:tcBorders>
              <w:top w:val="single" w:sz="8" w:color="auto"/>
            </w:tcBorders>
          </w:tcPr>
          <w:p>
            <w:pPr>
              <w:jc w:val="right"/>
              <w:ind w:right="345"/>
              <w:spacing w:after="0"/>
              <w:rPr>
                <w:sz w:val="20"/>
                <w:szCs w:val="20"/>
                <w:color w:val="auto"/>
              </w:rPr>
            </w:pPr>
            <w:r>
              <w:rPr>
                <w:rFonts w:ascii="Arial" w:cs="Arial" w:eastAsia="Arial" w:hAnsi="Arial"/>
                <w:sz w:val="19"/>
                <w:szCs w:val="19"/>
                <w:color w:val="auto"/>
              </w:rPr>
              <w:t>1.1</w:t>
            </w:r>
          </w:p>
        </w:tc>
        <w:tc>
          <w:tcPr>
            <w:tcW w:w="260" w:type="dxa"/>
            <w:vAlign w:val="bottom"/>
          </w:tcPr>
          <w:p>
            <w:pPr>
              <w:spacing w:after="0"/>
              <w:rPr>
                <w:sz w:val="24"/>
                <w:szCs w:val="24"/>
                <w:color w:val="auto"/>
              </w:rPr>
            </w:pPr>
          </w:p>
        </w:tc>
        <w:tc>
          <w:tcPr>
            <w:tcW w:w="9180" w:type="dxa"/>
            <w:vAlign w:val="bottom"/>
            <w:tcBorders>
              <w:top w:val="single" w:sz="8" w:color="auto"/>
            </w:tcBorders>
          </w:tcPr>
          <w:p>
            <w:pPr>
              <w:spacing w:after="0"/>
              <w:rPr>
                <w:sz w:val="20"/>
                <w:szCs w:val="20"/>
                <w:color w:val="auto"/>
              </w:rPr>
            </w:pPr>
            <w:r>
              <w:rPr>
                <w:rFonts w:ascii="Arial" w:cs="Arial" w:eastAsia="Arial" w:hAnsi="Arial"/>
                <w:sz w:val="19"/>
                <w:szCs w:val="19"/>
                <w:color w:val="auto"/>
                <w:w w:val="91"/>
              </w:rPr>
              <w:t>Third Amended and Restated Equity Distribution Agreement, dated February 26, 2019, by and among GasLog Partners</w:t>
            </w:r>
          </w:p>
        </w:tc>
        <w:tc>
          <w:tcPr>
            <w:tcW w:w="1300" w:type="dxa"/>
            <w:vAlign w:val="bottom"/>
          </w:tcPr>
          <w:p>
            <w:pPr>
              <w:spacing w:after="0"/>
              <w:rPr>
                <w:sz w:val="24"/>
                <w:szCs w:val="24"/>
                <w:color w:val="auto"/>
              </w:rPr>
            </w:pPr>
          </w:p>
        </w:tc>
      </w:tr>
      <w:tr>
        <w:trPr>
          <w:trHeight w:val="228"/>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9"/>
                <w:szCs w:val="19"/>
                <w:color w:val="auto"/>
                <w:w w:val="94"/>
              </w:rPr>
              <w:t>GP LLC, GasLog Partners LP and GasLog Partners Holdings LLC and Citigroup Global Markets Inc., Credit Suisse</w:t>
            </w:r>
          </w:p>
        </w:tc>
        <w:tc>
          <w:tcPr>
            <w:tcW w:w="1300" w:type="dxa"/>
            <w:vAlign w:val="bottom"/>
          </w:tcPr>
          <w:p>
            <w:pPr>
              <w:spacing w:after="0"/>
              <w:rPr>
                <w:sz w:val="19"/>
                <w:szCs w:val="19"/>
                <w:color w:val="auto"/>
              </w:rPr>
            </w:pPr>
          </w:p>
        </w:tc>
      </w:tr>
      <w:tr>
        <w:trPr>
          <w:trHeight w:val="228"/>
        </w:trPr>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9"/>
                <w:szCs w:val="19"/>
                <w:color w:val="auto"/>
                <w:w w:val="97"/>
              </w:rPr>
              <w:t>Securities (USA) LLC, Morgan Stanley &amp; Co. LLC, Merrill Lynch, Pierce, Fenner &amp; Smith Incorporated and UBS</w:t>
            </w:r>
          </w:p>
        </w:tc>
        <w:tc>
          <w:tcPr>
            <w:tcW w:w="1300" w:type="dxa"/>
            <w:vAlign w:val="bottom"/>
          </w:tcPr>
          <w:p>
            <w:pPr>
              <w:spacing w:after="0"/>
              <w:rPr>
                <w:sz w:val="19"/>
                <w:szCs w:val="19"/>
                <w:color w:val="auto"/>
              </w:rPr>
            </w:pPr>
          </w:p>
        </w:tc>
      </w:tr>
      <w:tr>
        <w:trPr>
          <w:trHeight w:val="241"/>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Arial" w:cs="Arial" w:eastAsia="Arial" w:hAnsi="Arial"/>
                <w:sz w:val="19"/>
                <w:szCs w:val="19"/>
                <w:color w:val="auto"/>
              </w:rPr>
              <w:t>Securities LLC as Managers</w:t>
            </w:r>
          </w:p>
        </w:tc>
        <w:tc>
          <w:tcPr>
            <w:tcW w:w="1300" w:type="dxa"/>
            <w:vAlign w:val="bottom"/>
          </w:tcPr>
          <w:p>
            <w:pPr>
              <w:spacing w:after="0"/>
              <w:rPr>
                <w:sz w:val="20"/>
                <w:szCs w:val="20"/>
                <w:color w:val="auto"/>
              </w:rPr>
            </w:pPr>
          </w:p>
        </w:tc>
      </w:tr>
      <w:tr>
        <w:trPr>
          <w:trHeight w:val="358"/>
        </w:trPr>
        <w:tc>
          <w:tcPr>
            <w:tcW w:w="200" w:type="dxa"/>
            <w:vAlign w:val="bottom"/>
          </w:tcPr>
          <w:p>
            <w:pPr>
              <w:spacing w:after="0"/>
              <w:rPr>
                <w:sz w:val="24"/>
                <w:szCs w:val="24"/>
                <w:color w:val="auto"/>
              </w:rPr>
            </w:pPr>
          </w:p>
        </w:tc>
        <w:tc>
          <w:tcPr>
            <w:tcW w:w="1100" w:type="dxa"/>
            <w:vAlign w:val="bottom"/>
          </w:tcPr>
          <w:p>
            <w:pPr>
              <w:jc w:val="right"/>
              <w:ind w:right="345"/>
              <w:spacing w:after="0"/>
              <w:rPr>
                <w:sz w:val="20"/>
                <w:szCs w:val="20"/>
                <w:color w:val="auto"/>
              </w:rPr>
            </w:pPr>
            <w:r>
              <w:rPr>
                <w:rFonts w:ascii="Arial" w:cs="Arial" w:eastAsia="Arial" w:hAnsi="Arial"/>
                <w:sz w:val="19"/>
                <w:szCs w:val="19"/>
                <w:color w:val="auto"/>
              </w:rPr>
              <w:t>5.1</w:t>
            </w:r>
          </w:p>
        </w:tc>
        <w:tc>
          <w:tcPr>
            <w:tcW w:w="26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Arial" w:cs="Arial" w:eastAsia="Arial" w:hAnsi="Arial"/>
                <w:sz w:val="19"/>
                <w:szCs w:val="19"/>
                <w:color w:val="auto"/>
                <w:w w:val="93"/>
              </w:rPr>
              <w:t>Opinion of Cozen O’Connor, special counsel on matters of the law of the Republic of the Marshall Islands to GasLog</w:t>
            </w:r>
          </w:p>
        </w:tc>
        <w:tc>
          <w:tcPr>
            <w:tcW w:w="1300" w:type="dxa"/>
            <w:vAlign w:val="bottom"/>
          </w:tcPr>
          <w:p>
            <w:pPr>
              <w:spacing w:after="0"/>
              <w:rPr>
                <w:sz w:val="24"/>
                <w:szCs w:val="24"/>
                <w:color w:val="auto"/>
              </w:rPr>
            </w:pPr>
          </w:p>
        </w:tc>
      </w:tr>
      <w:tr>
        <w:trPr>
          <w:trHeight w:val="241"/>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Arial" w:cs="Arial" w:eastAsia="Arial" w:hAnsi="Arial"/>
                <w:sz w:val="19"/>
                <w:szCs w:val="19"/>
                <w:color w:val="auto"/>
              </w:rPr>
              <w:t>Partners LP, dated February 26, 2019</w:t>
            </w:r>
          </w:p>
        </w:tc>
        <w:tc>
          <w:tcPr>
            <w:tcW w:w="1300" w:type="dxa"/>
            <w:vAlign w:val="bottom"/>
          </w:tcPr>
          <w:p>
            <w:pPr>
              <w:spacing w:after="0"/>
              <w:rPr>
                <w:sz w:val="20"/>
                <w:szCs w:val="20"/>
                <w:color w:val="auto"/>
              </w:rPr>
            </w:pPr>
          </w:p>
        </w:tc>
      </w:tr>
      <w:tr>
        <w:trPr>
          <w:trHeight w:val="371"/>
        </w:trPr>
        <w:tc>
          <w:tcPr>
            <w:tcW w:w="200" w:type="dxa"/>
            <w:vAlign w:val="bottom"/>
          </w:tcPr>
          <w:p>
            <w:pPr>
              <w:spacing w:after="0"/>
              <w:rPr>
                <w:sz w:val="24"/>
                <w:szCs w:val="24"/>
                <w:color w:val="auto"/>
              </w:rPr>
            </w:pPr>
          </w:p>
        </w:tc>
        <w:tc>
          <w:tcPr>
            <w:tcW w:w="1100" w:type="dxa"/>
            <w:vAlign w:val="bottom"/>
          </w:tcPr>
          <w:p>
            <w:pPr>
              <w:jc w:val="right"/>
              <w:ind w:right="345"/>
              <w:spacing w:after="0"/>
              <w:rPr>
                <w:sz w:val="20"/>
                <w:szCs w:val="20"/>
                <w:color w:val="auto"/>
              </w:rPr>
            </w:pPr>
            <w:r>
              <w:rPr>
                <w:rFonts w:ascii="Arial" w:cs="Arial" w:eastAsia="Arial" w:hAnsi="Arial"/>
                <w:sz w:val="19"/>
                <w:szCs w:val="19"/>
                <w:color w:val="auto"/>
              </w:rPr>
              <w:t>8.1</w:t>
            </w:r>
          </w:p>
        </w:tc>
        <w:tc>
          <w:tcPr>
            <w:tcW w:w="26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Arial" w:cs="Arial" w:eastAsia="Arial" w:hAnsi="Arial"/>
                <w:sz w:val="19"/>
                <w:szCs w:val="19"/>
                <w:color w:val="auto"/>
                <w:w w:val="92"/>
              </w:rPr>
              <w:t>Opinion of Cravath, Swaine &amp; Moore LLP, United States tax counsel to GasLog Partners LP, dated February 26, 2019</w:t>
            </w:r>
          </w:p>
        </w:tc>
        <w:tc>
          <w:tcPr>
            <w:tcW w:w="1300" w:type="dxa"/>
            <w:vAlign w:val="bottom"/>
          </w:tcPr>
          <w:p>
            <w:pPr>
              <w:spacing w:after="0"/>
              <w:rPr>
                <w:sz w:val="24"/>
                <w:szCs w:val="24"/>
                <w:color w:val="auto"/>
              </w:rPr>
            </w:pPr>
          </w:p>
        </w:tc>
      </w:tr>
      <w:tr>
        <w:trPr>
          <w:trHeight w:val="369"/>
        </w:trPr>
        <w:tc>
          <w:tcPr>
            <w:tcW w:w="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1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February 26, 2019</w:t>
      </w:r>
    </w:p>
    <w:p>
      <w:pPr>
        <w:spacing w:after="0" w:line="232" w:lineRule="exact"/>
        <w:rPr>
          <w:sz w:val="20"/>
          <w:szCs w:val="20"/>
          <w:color w:val="auto"/>
        </w:rPr>
      </w:pPr>
    </w:p>
    <w:p>
      <w:pPr>
        <w:ind w:left="4780"/>
        <w:spacing w:after="0"/>
        <w:rPr>
          <w:sz w:val="20"/>
          <w:szCs w:val="20"/>
          <w:color w:val="auto"/>
        </w:rPr>
      </w:pPr>
      <w:r>
        <w:rPr>
          <w:rFonts w:ascii="Arial" w:cs="Arial" w:eastAsia="Arial" w:hAnsi="Arial"/>
          <w:sz w:val="19"/>
          <w:szCs w:val="19"/>
          <w:b w:val="1"/>
          <w:bCs w:val="1"/>
          <w:color w:val="auto"/>
        </w:rPr>
        <w:t>GASLOG PARTNERS LP</w:t>
      </w:r>
    </w:p>
    <w:p>
      <w:pPr>
        <w:spacing w:after="0" w:line="244" w:lineRule="exact"/>
        <w:rPr>
          <w:sz w:val="20"/>
          <w:szCs w:val="20"/>
          <w:color w:val="auto"/>
        </w:rPr>
      </w:pPr>
    </w:p>
    <w:p>
      <w:pPr>
        <w:ind w:left="4780"/>
        <w:spacing w:after="0"/>
        <w:tabs>
          <w:tab w:leader="none" w:pos="5220" w:val="left"/>
        </w:tabs>
        <w:rPr>
          <w:sz w:val="20"/>
          <w:szCs w:val="20"/>
          <w:color w:val="auto"/>
        </w:rPr>
      </w:pPr>
      <w:r>
        <w:rPr>
          <w:rFonts w:ascii="Arial" w:cs="Arial" w:eastAsia="Arial" w:hAnsi="Arial"/>
          <w:sz w:val="19"/>
          <w:szCs w:val="19"/>
          <w:color w:val="auto"/>
        </w:rPr>
        <w:t>by:</w:t>
        <w:tab/>
        <w:t>/s/ Andrew J. Orekar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40" w:type="dxa"/>
            <w:vAlign w:val="bottom"/>
          </w:tcPr>
          <w:p>
            <w:pPr>
              <w:spacing w:after="0"/>
              <w:rPr>
                <w:sz w:val="18"/>
                <w:szCs w:val="18"/>
                <w:color w:val="auto"/>
              </w:rPr>
            </w:pPr>
          </w:p>
        </w:tc>
        <w:tc>
          <w:tcPr>
            <w:tcW w:w="68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3980" w:type="dxa"/>
            <w:vAlign w:val="bottom"/>
            <w:tcBorders>
              <w:top w:val="single" w:sz="8" w:color="auto"/>
            </w:tcBorders>
          </w:tcPr>
          <w:p>
            <w:pPr>
              <w:ind w:left="180"/>
              <w:spacing w:after="0" w:line="209" w:lineRule="exact"/>
              <w:rPr>
                <w:sz w:val="20"/>
                <w:szCs w:val="20"/>
                <w:color w:val="auto"/>
              </w:rPr>
            </w:pPr>
            <w:r>
              <w:rPr>
                <w:rFonts w:ascii="Arial" w:cs="Arial" w:eastAsia="Arial" w:hAnsi="Arial"/>
                <w:sz w:val="19"/>
                <w:szCs w:val="19"/>
                <w:color w:val="auto"/>
              </w:rPr>
              <w:t>Andrew J. Orekar</w:t>
            </w:r>
          </w:p>
        </w:tc>
        <w:tc>
          <w:tcPr>
            <w:tcW w:w="2140" w:type="dxa"/>
            <w:vAlign w:val="bottom"/>
          </w:tcPr>
          <w:p>
            <w:pPr>
              <w:spacing w:after="0"/>
              <w:rPr>
                <w:sz w:val="18"/>
                <w:szCs w:val="18"/>
                <w:color w:val="auto"/>
              </w:rPr>
            </w:pPr>
          </w:p>
        </w:tc>
      </w:tr>
      <w:tr>
        <w:trPr>
          <w:trHeight w:val="241"/>
        </w:trPr>
        <w:tc>
          <w:tcPr>
            <w:tcW w:w="52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9"/>
                <w:szCs w:val="19"/>
                <w:color w:val="auto"/>
              </w:rPr>
              <w:t>Title:</w:t>
            </w:r>
          </w:p>
        </w:tc>
        <w:tc>
          <w:tcPr>
            <w:tcW w:w="3980" w:type="dxa"/>
            <w:vAlign w:val="bottom"/>
          </w:tcPr>
          <w:p>
            <w:pPr>
              <w:ind w:left="180"/>
              <w:spacing w:after="0"/>
              <w:rPr>
                <w:sz w:val="20"/>
                <w:szCs w:val="20"/>
                <w:color w:val="auto"/>
              </w:rPr>
            </w:pPr>
            <w:r>
              <w:rPr>
                <w:rFonts w:ascii="Arial" w:cs="Arial" w:eastAsia="Arial" w:hAnsi="Arial"/>
                <w:sz w:val="19"/>
                <w:szCs w:val="19"/>
                <w:color w:val="auto"/>
              </w:rPr>
              <w:t>Chief Executive Officer</w:t>
            </w:r>
          </w:p>
        </w:tc>
        <w:tc>
          <w:tcPr>
            <w:tcW w:w="2140" w:type="dxa"/>
            <w:vAlign w:val="bottom"/>
          </w:tcPr>
          <w:p>
            <w:pPr>
              <w:spacing w:after="0"/>
              <w:rPr>
                <w:sz w:val="20"/>
                <w:szCs w:val="20"/>
                <w:color w:val="auto"/>
              </w:rPr>
            </w:pPr>
          </w:p>
        </w:tc>
      </w:tr>
      <w:tr>
        <w:trPr>
          <w:trHeight w:val="369"/>
        </w:trPr>
        <w:tc>
          <w:tcPr>
            <w:tcW w:w="52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3" w:name="page4"/>
    <w:bookmarkEnd w:id="3"/>
    <w:p>
      <w:pPr>
        <w:jc w:val="right"/>
        <w:spacing w:after="0"/>
        <w:rPr>
          <w:sz w:val="20"/>
          <w:szCs w:val="20"/>
          <w:color w:val="auto"/>
        </w:rPr>
      </w:pPr>
      <w:r>
        <w:rPr>
          <w:rFonts w:ascii="Arial" w:cs="Arial" w:eastAsia="Arial" w:hAnsi="Arial"/>
          <w:sz w:val="23"/>
          <w:szCs w:val="23"/>
          <w:b w:val="1"/>
          <w:bCs w:val="1"/>
          <w:color w:val="auto"/>
        </w:rPr>
        <w:t>Exhibit 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GASLOG PARTNERS LP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Common Units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Having an Aggregate Offering Price of up 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$250,000,000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Third Amended and Restated Equity Distribution Agreement</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3"/>
          <w:szCs w:val="23"/>
          <w:color w:val="auto"/>
        </w:rPr>
        <w:t>February 26, 2019</w:t>
      </w:r>
    </w:p>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Citigroup Global Markets Inc.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388 Greenwich Street</w:t>
      </w:r>
    </w:p>
    <w:p>
      <w:pPr>
        <w:spacing w:after="0"/>
        <w:rPr>
          <w:sz w:val="20"/>
          <w:szCs w:val="20"/>
          <w:color w:val="auto"/>
        </w:rPr>
      </w:pPr>
      <w:r>
        <w:rPr>
          <w:rFonts w:ascii="Arial" w:cs="Arial" w:eastAsia="Arial" w:hAnsi="Arial"/>
          <w:sz w:val="23"/>
          <w:szCs w:val="23"/>
          <w:color w:val="auto"/>
        </w:rPr>
        <w:t>New York, New York, 10013</w:t>
      </w:r>
    </w:p>
    <w:p>
      <w:pPr>
        <w:spacing w:after="0" w:line="229" w:lineRule="exact"/>
        <w:rPr>
          <w:sz w:val="20"/>
          <w:szCs w:val="20"/>
          <w:color w:val="auto"/>
        </w:rPr>
      </w:pPr>
    </w:p>
    <w:p>
      <w:pPr>
        <w:spacing w:after="0"/>
        <w:rPr>
          <w:sz w:val="20"/>
          <w:szCs w:val="20"/>
          <w:color w:val="auto"/>
        </w:rPr>
      </w:pPr>
      <w:r>
        <w:rPr>
          <w:rFonts w:ascii="Arial" w:cs="Arial" w:eastAsia="Arial" w:hAnsi="Arial"/>
          <w:sz w:val="23"/>
          <w:szCs w:val="23"/>
          <w:color w:val="auto"/>
        </w:rPr>
        <w:t>Credit Suisse Securities (USA) LLC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11 Madison Avenue</w:t>
      </w:r>
    </w:p>
    <w:p>
      <w:pPr>
        <w:spacing w:after="0"/>
        <w:rPr>
          <w:sz w:val="20"/>
          <w:szCs w:val="20"/>
          <w:color w:val="auto"/>
        </w:rPr>
      </w:pPr>
      <w:r>
        <w:rPr>
          <w:rFonts w:ascii="Arial" w:cs="Arial" w:eastAsia="Arial" w:hAnsi="Arial"/>
          <w:sz w:val="23"/>
          <w:szCs w:val="23"/>
          <w:color w:val="auto"/>
        </w:rPr>
        <w:t>New York, New York 10010</w:t>
      </w:r>
    </w:p>
    <w:p>
      <w:pPr>
        <w:spacing w:after="0" w:line="229" w:lineRule="exact"/>
        <w:rPr>
          <w:sz w:val="20"/>
          <w:szCs w:val="20"/>
          <w:color w:val="auto"/>
        </w:rPr>
      </w:pPr>
    </w:p>
    <w:p>
      <w:pPr>
        <w:spacing w:after="0"/>
        <w:rPr>
          <w:sz w:val="20"/>
          <w:szCs w:val="20"/>
          <w:color w:val="auto"/>
        </w:rPr>
      </w:pPr>
      <w:r>
        <w:rPr>
          <w:rFonts w:ascii="Arial" w:cs="Arial" w:eastAsia="Arial" w:hAnsi="Arial"/>
          <w:sz w:val="23"/>
          <w:szCs w:val="23"/>
          <w:color w:val="auto"/>
        </w:rPr>
        <w:t>Morgan Stanley &amp; Co. LLC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1585 Broadway</w:t>
      </w:r>
    </w:p>
    <w:p>
      <w:pPr>
        <w:spacing w:after="0"/>
        <w:rPr>
          <w:sz w:val="20"/>
          <w:szCs w:val="20"/>
          <w:color w:val="auto"/>
        </w:rPr>
      </w:pPr>
      <w:r>
        <w:rPr>
          <w:rFonts w:ascii="Arial" w:cs="Arial" w:eastAsia="Arial" w:hAnsi="Arial"/>
          <w:sz w:val="23"/>
          <w:szCs w:val="23"/>
          <w:color w:val="auto"/>
        </w:rPr>
        <w:t>New York, New York 10036</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Merrill Lynch, Pierce, Fenner &amp; Smith Incorporated</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One Bryant Park</w:t>
      </w:r>
    </w:p>
    <w:p>
      <w:pPr>
        <w:spacing w:after="0"/>
        <w:rPr>
          <w:sz w:val="20"/>
          <w:szCs w:val="20"/>
          <w:color w:val="auto"/>
        </w:rPr>
      </w:pPr>
      <w:r>
        <w:rPr>
          <w:rFonts w:ascii="Arial" w:cs="Arial" w:eastAsia="Arial" w:hAnsi="Arial"/>
          <w:sz w:val="23"/>
          <w:szCs w:val="23"/>
          <w:color w:val="auto"/>
        </w:rPr>
        <w:t>New York, New York 10036</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UBS Securities LLC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1285 Avenue of the Americas</w:t>
      </w:r>
    </w:p>
    <w:p>
      <w:pPr>
        <w:spacing w:after="0"/>
        <w:rPr>
          <w:sz w:val="20"/>
          <w:szCs w:val="20"/>
          <w:color w:val="auto"/>
        </w:rPr>
      </w:pPr>
      <w:r>
        <w:rPr>
          <w:rFonts w:ascii="Arial" w:cs="Arial" w:eastAsia="Arial" w:hAnsi="Arial"/>
          <w:sz w:val="23"/>
          <w:szCs w:val="23"/>
          <w:color w:val="auto"/>
        </w:rPr>
        <w:t>New York, New York 10019</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Ladies and Gentlemen:</w:t>
      </w:r>
    </w:p>
    <w:p>
      <w:pPr>
        <w:spacing w:after="0" w:line="220" w:lineRule="exact"/>
        <w:rPr>
          <w:sz w:val="20"/>
          <w:szCs w:val="20"/>
          <w:color w:val="auto"/>
        </w:rPr>
      </w:pPr>
    </w:p>
    <w:p>
      <w:pPr>
        <w:jc w:val="both"/>
        <w:ind w:firstLine="685"/>
        <w:spacing w:after="0" w:line="263" w:lineRule="auto"/>
        <w:rPr>
          <w:sz w:val="20"/>
          <w:szCs w:val="20"/>
          <w:color w:val="auto"/>
        </w:rPr>
      </w:pPr>
      <w:r>
        <w:rPr>
          <w:rFonts w:ascii="Arial" w:cs="Arial" w:eastAsia="Arial" w:hAnsi="Arial"/>
          <w:sz w:val="21"/>
          <w:szCs w:val="21"/>
          <w:color w:val="auto"/>
        </w:rPr>
        <w:t>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has filed a registration statement with the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under which the Partnership may from time to time, issue and sell up to an aggregate of $750,000,000 of the Partnership’s common units representing limited partner interests in the Partnership (the “</w:t>
      </w:r>
      <w:r>
        <w:rPr>
          <w:rFonts w:ascii="Arial" w:cs="Arial" w:eastAsia="Arial" w:hAnsi="Arial"/>
          <w:sz w:val="21"/>
          <w:szCs w:val="21"/>
          <w:u w:val="single" w:color="auto"/>
          <w:color w:val="auto"/>
        </w:rPr>
        <w:t>Common Units</w:t>
      </w:r>
      <w:r>
        <w:rPr>
          <w:rFonts w:ascii="Arial" w:cs="Arial" w:eastAsia="Arial" w:hAnsi="Arial"/>
          <w:sz w:val="21"/>
          <w:szCs w:val="21"/>
          <w:color w:val="auto"/>
        </w:rPr>
        <w:t>”), other classes of units representing limited partner interests in the Partnership (the “</w:t>
      </w:r>
      <w:r>
        <w:rPr>
          <w:rFonts w:ascii="Arial" w:cs="Arial" w:eastAsia="Arial" w:hAnsi="Arial"/>
          <w:sz w:val="21"/>
          <w:szCs w:val="21"/>
          <w:u w:val="single" w:color="auto"/>
          <w:color w:val="auto"/>
        </w:rPr>
        <w:t>Other Units</w:t>
      </w:r>
      <w:r>
        <w:rPr>
          <w:rFonts w:ascii="Arial" w:cs="Arial" w:eastAsia="Arial" w:hAnsi="Arial"/>
          <w:sz w:val="21"/>
          <w:szCs w:val="21"/>
          <w:color w:val="auto"/>
        </w:rPr>
        <w:t>”), debt securities of the Partnership (the “</w:t>
      </w:r>
      <w:r>
        <w:rPr>
          <w:rFonts w:ascii="Arial" w:cs="Arial" w:eastAsia="Arial" w:hAnsi="Arial"/>
          <w:sz w:val="21"/>
          <w:szCs w:val="21"/>
          <w:u w:val="single" w:color="auto"/>
          <w:color w:val="auto"/>
        </w:rPr>
        <w:t>Debt Securities</w:t>
      </w:r>
      <w:r>
        <w:rPr>
          <w:rFonts w:ascii="Arial" w:cs="Arial" w:eastAsia="Arial" w:hAnsi="Arial"/>
          <w:sz w:val="21"/>
          <w:szCs w:val="21"/>
          <w:color w:val="auto"/>
        </w:rPr>
        <w:t>”), warrants to purchase Common Units, Other Units or other rights (“</w:t>
      </w:r>
      <w:r>
        <w:rPr>
          <w:rFonts w:ascii="Arial" w:cs="Arial" w:eastAsia="Arial" w:hAnsi="Arial"/>
          <w:sz w:val="21"/>
          <w:szCs w:val="21"/>
          <w:u w:val="single" w:color="auto"/>
          <w:color w:val="auto"/>
        </w:rPr>
        <w:t>Warrants</w:t>
      </w:r>
      <w:r>
        <w:rPr>
          <w:rFonts w:ascii="Arial" w:cs="Arial" w:eastAsia="Arial" w:hAnsi="Arial"/>
          <w:sz w:val="21"/>
          <w:szCs w:val="21"/>
          <w:color w:val="auto"/>
        </w:rPr>
        <w:t>”), rights to purchase Common Units and Other Units (the “</w:t>
      </w:r>
      <w:r>
        <w:rPr>
          <w:rFonts w:ascii="Arial" w:cs="Arial" w:eastAsia="Arial" w:hAnsi="Arial"/>
          <w:sz w:val="21"/>
          <w:szCs w:val="21"/>
          <w:u w:val="single" w:color="auto"/>
          <w:color w:val="auto"/>
        </w:rPr>
        <w:t>Rights</w:t>
      </w:r>
      <w:r>
        <w:rPr>
          <w:rFonts w:ascii="Arial" w:cs="Arial" w:eastAsia="Arial" w:hAnsi="Arial"/>
          <w:sz w:val="21"/>
          <w:szCs w:val="21"/>
          <w:color w:val="auto"/>
        </w:rPr>
        <w:t>”), and any combination of Common Units, Other Units, Debt Securities,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646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 w:name="page5"/>
    <w:bookmarkEnd w:id="4"/>
    <w:p>
      <w:pPr>
        <w:jc w:val="both"/>
        <w:ind w:firstLine="685"/>
        <w:spacing w:after="0" w:line="263" w:lineRule="auto"/>
        <w:rPr>
          <w:sz w:val="20"/>
          <w:szCs w:val="20"/>
          <w:color w:val="auto"/>
        </w:rPr>
      </w:pPr>
      <w:r>
        <w:rPr>
          <w:rFonts w:ascii="Arial" w:cs="Arial" w:eastAsia="Arial" w:hAnsi="Arial"/>
          <w:sz w:val="21"/>
          <w:szCs w:val="21"/>
          <w:color w:val="auto"/>
        </w:rPr>
        <w:t>GasLog Partners GP LLC, a limited liability company organized under the laws of the Republic of The Marshall Islands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serves as the sole general partner of the Partnership. GasLog Partners Holdings LLC, a limited liability company organized under the laws of the Republic of The Marshall Islands (the “</w:t>
      </w:r>
      <w:r>
        <w:rPr>
          <w:rFonts w:ascii="Arial" w:cs="Arial" w:eastAsia="Arial" w:hAnsi="Arial"/>
          <w:sz w:val="21"/>
          <w:szCs w:val="21"/>
          <w:u w:val="single" w:color="auto"/>
          <w:color w:val="auto"/>
        </w:rPr>
        <w:t>Operating Company</w:t>
      </w:r>
      <w:r>
        <w:rPr>
          <w:rFonts w:ascii="Arial" w:cs="Arial" w:eastAsia="Arial" w:hAnsi="Arial"/>
          <w:sz w:val="21"/>
          <w:szCs w:val="21"/>
          <w:color w:val="auto"/>
        </w:rPr>
        <w:t xml:space="preserve">”), is a wholly owned direct subsidiary of the Partnership. The entities set forth under the caption “Owning Entity”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are direct subsidiaries of the Operating Company and are referred to herein collectively as the “</w:t>
      </w:r>
      <w:r>
        <w:rPr>
          <w:rFonts w:ascii="Arial" w:cs="Arial" w:eastAsia="Arial" w:hAnsi="Arial"/>
          <w:sz w:val="21"/>
          <w:szCs w:val="21"/>
          <w:u w:val="single" w:color="auto"/>
          <w:color w:val="auto"/>
        </w:rPr>
        <w:t>Operating Subsidiaries</w:t>
      </w:r>
      <w:r>
        <w:rPr>
          <w:rFonts w:ascii="Arial" w:cs="Arial" w:eastAsia="Arial" w:hAnsi="Arial"/>
          <w:sz w:val="21"/>
          <w:szCs w:val="21"/>
          <w:color w:val="auto"/>
        </w:rPr>
        <w:t>”. The General Partner, the Partnership and the Operating Company are hereinafter referred to collectively as the “</w:t>
      </w:r>
      <w:r>
        <w:rPr>
          <w:rFonts w:ascii="Arial" w:cs="Arial" w:eastAsia="Arial" w:hAnsi="Arial"/>
          <w:sz w:val="21"/>
          <w:szCs w:val="21"/>
          <w:u w:val="single" w:color="auto"/>
          <w:color w:val="auto"/>
        </w:rPr>
        <w:t>Partnership Parties</w:t>
      </w:r>
      <w:r>
        <w:rPr>
          <w:rFonts w:ascii="Arial" w:cs="Arial" w:eastAsia="Arial" w:hAnsi="Arial"/>
          <w:sz w:val="21"/>
          <w:szCs w:val="21"/>
          <w:color w:val="auto"/>
        </w:rPr>
        <w:t>” and, together with the Operating Subsidiaries, the “</w:t>
      </w:r>
      <w:r>
        <w:rPr>
          <w:rFonts w:ascii="Arial" w:cs="Arial" w:eastAsia="Arial" w:hAnsi="Arial"/>
          <w:sz w:val="21"/>
          <w:szCs w:val="21"/>
          <w:u w:val="single" w:color="auto"/>
          <w:color w:val="auto"/>
        </w:rPr>
        <w:t>Partnership Entities</w:t>
      </w:r>
      <w:r>
        <w:rPr>
          <w:rFonts w:ascii="Arial" w:cs="Arial" w:eastAsia="Arial" w:hAnsi="Arial"/>
          <w:sz w:val="21"/>
          <w:szCs w:val="21"/>
          <w:color w:val="auto"/>
        </w:rPr>
        <w:t>”. GasLog Ltd. is hereinafter referred to as “</w:t>
      </w:r>
      <w:r>
        <w:rPr>
          <w:rFonts w:ascii="Arial" w:cs="Arial" w:eastAsia="Arial" w:hAnsi="Arial"/>
          <w:sz w:val="21"/>
          <w:szCs w:val="21"/>
          <w:u w:val="single" w:color="auto"/>
          <w:color w:val="auto"/>
        </w:rPr>
        <w:t>GasLog</w:t>
      </w:r>
      <w:r>
        <w:rPr>
          <w:rFonts w:ascii="Arial" w:cs="Arial" w:eastAsia="Arial" w:hAnsi="Arial"/>
          <w:sz w:val="21"/>
          <w:szCs w:val="21"/>
          <w:color w:val="auto"/>
        </w:rPr>
        <w:t>”.</w:t>
      </w:r>
    </w:p>
    <w:p>
      <w:pPr>
        <w:spacing w:after="0" w:line="173" w:lineRule="exact"/>
        <w:rPr>
          <w:sz w:val="20"/>
          <w:szCs w:val="20"/>
          <w:color w:val="auto"/>
        </w:rPr>
      </w:pPr>
    </w:p>
    <w:p>
      <w:pPr>
        <w:ind w:right="80" w:firstLine="685"/>
        <w:spacing w:after="0" w:line="265" w:lineRule="auto"/>
        <w:rPr>
          <w:sz w:val="20"/>
          <w:szCs w:val="20"/>
          <w:color w:val="auto"/>
        </w:rPr>
      </w:pPr>
      <w:r>
        <w:rPr>
          <w:rFonts w:ascii="Arial" w:cs="Arial" w:eastAsia="Arial" w:hAnsi="Arial"/>
          <w:sz w:val="21"/>
          <w:szCs w:val="21"/>
          <w:color w:val="auto"/>
        </w:rPr>
        <w:t>On July 26, 2018, the Partnership Parties entered into a Second Amended and Restated Equity Distribution Agreement (the “</w:t>
      </w:r>
      <w:r>
        <w:rPr>
          <w:rFonts w:ascii="Arial" w:cs="Arial" w:eastAsia="Arial" w:hAnsi="Arial"/>
          <w:sz w:val="21"/>
          <w:szCs w:val="21"/>
          <w:u w:val="single" w:color="auto"/>
          <w:color w:val="auto"/>
        </w:rPr>
        <w:t>Existing Equity Distribution Agreement</w:t>
      </w:r>
      <w:r>
        <w:rPr>
          <w:rFonts w:ascii="Arial" w:cs="Arial" w:eastAsia="Arial" w:hAnsi="Arial"/>
          <w:sz w:val="21"/>
          <w:szCs w:val="21"/>
          <w:color w:val="auto"/>
        </w:rPr>
        <w:t>”) with Citigroup Global Markets Inc., Credit Suisse Securities (USA) LLC, Merrill Lynch, Pierce, Fenner &amp; Smith Incorporated, Morgan Stanley &amp; Co. LLC and UBS Securities LLC (each a “</w:t>
      </w:r>
      <w:r>
        <w:rPr>
          <w:rFonts w:ascii="Arial" w:cs="Arial" w:eastAsia="Arial" w:hAnsi="Arial"/>
          <w:sz w:val="21"/>
          <w:szCs w:val="21"/>
          <w:u w:val="single" w:color="auto"/>
          <w:color w:val="auto"/>
        </w:rPr>
        <w:t>Manager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Managers</w:t>
      </w:r>
      <w:r>
        <w:rPr>
          <w:rFonts w:ascii="Arial" w:cs="Arial" w:eastAsia="Arial" w:hAnsi="Arial"/>
          <w:sz w:val="21"/>
          <w:szCs w:val="21"/>
          <w:color w:val="auto"/>
        </w:rPr>
        <w:t>”). The Partnership Parties and the Managers wish to amend and restate the Existing Equity Distribution Agreement in its entirety as provided hereby. The Partnership Parties confirm their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with the several Managers, the obligations of such Managers under this Agreement being several, and not joint, as follows:</w:t>
      </w:r>
    </w:p>
    <w:p>
      <w:pPr>
        <w:spacing w:after="0" w:line="169" w:lineRule="exact"/>
        <w:rPr>
          <w:sz w:val="20"/>
          <w:szCs w:val="20"/>
          <w:color w:val="auto"/>
        </w:rPr>
      </w:pPr>
    </w:p>
    <w:p>
      <w:pPr>
        <w:jc w:val="both"/>
        <w:ind w:firstLine="1363"/>
        <w:spacing w:after="0" w:line="260" w:lineRule="auto"/>
        <w:tabs>
          <w:tab w:leader="none" w:pos="2154"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Description of Units</w:t>
      </w:r>
      <w:r>
        <w:rPr>
          <w:rFonts w:ascii="Arial" w:cs="Arial" w:eastAsia="Arial" w:hAnsi="Arial"/>
          <w:sz w:val="21"/>
          <w:szCs w:val="21"/>
          <w:color w:val="auto"/>
        </w:rPr>
        <w:t>. The Partnership proposes to issue and sell through or to the Managers, as sales agents and/or principals, Common Units having an aggregate gross sales price of up to $250,000,000 (the “</w:t>
      </w:r>
      <w:r>
        <w:rPr>
          <w:rFonts w:ascii="Arial" w:cs="Arial" w:eastAsia="Arial" w:hAnsi="Arial"/>
          <w:sz w:val="21"/>
          <w:szCs w:val="21"/>
          <w:u w:val="single" w:color="auto"/>
          <w:color w:val="auto"/>
        </w:rPr>
        <w:t>Units</w:t>
      </w:r>
      <w:r>
        <w:rPr>
          <w:rFonts w:ascii="Arial" w:cs="Arial" w:eastAsia="Arial" w:hAnsi="Arial"/>
          <w:sz w:val="21"/>
          <w:szCs w:val="21"/>
          <w:color w:val="auto"/>
        </w:rPr>
        <w:t>”), from time to time during the term of this Agreement and on the terms set forth in Section 3 of this Agreement. For avoidance of doubt, the capitalized term “Units” as used in this Agreement refers only to the Common Units to be sold pursuant to this Agreement. For purposes of selling the Units through the Managers, the Partnership hereby appoints the Managers as exclusive agents of the Partnership for the purpose of soliciting purchases of the Units from the Partnership pursuant to this Agreement and the Managers agree to use their reasonable efforts to solicit purchases of the Units on the terms and subject to the conditions stated herein. The Partnership agrees that whenever it determines to sell the Units directly to the Managers as principals, the General Partner will authorize entry into a separate agreement (each, a “</w:t>
      </w:r>
      <w:r>
        <w:rPr>
          <w:rFonts w:ascii="Arial" w:cs="Arial" w:eastAsia="Arial" w:hAnsi="Arial"/>
          <w:sz w:val="21"/>
          <w:szCs w:val="21"/>
          <w:u w:val="single" w:color="auto"/>
          <w:color w:val="auto"/>
        </w:rPr>
        <w:t>Terms Agreement</w:t>
      </w:r>
      <w:r>
        <w:rPr>
          <w:rFonts w:ascii="Arial" w:cs="Arial" w:eastAsia="Arial" w:hAnsi="Arial"/>
          <w:sz w:val="21"/>
          <w:szCs w:val="21"/>
          <w:color w:val="auto"/>
        </w:rPr>
        <w:t xml:space="preserve">”) in substantially the form of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hereto, relating to such sale in accordance with Section 3 of this Agreement. Certain terms used herein are defined in Section 19 hereof.</w:t>
      </w:r>
    </w:p>
    <w:p>
      <w:pPr>
        <w:spacing w:after="0" w:line="179" w:lineRule="exact"/>
        <w:rPr>
          <w:rFonts w:ascii="Arial" w:cs="Arial" w:eastAsia="Arial" w:hAnsi="Arial"/>
          <w:sz w:val="21"/>
          <w:szCs w:val="21"/>
          <w:color w:val="auto"/>
        </w:rPr>
      </w:pPr>
    </w:p>
    <w:p>
      <w:pPr>
        <w:ind w:left="2600" w:hanging="1237"/>
        <w:spacing w:after="0"/>
        <w:tabs>
          <w:tab w:leader="none" w:pos="2600" w:val="left"/>
        </w:tabs>
        <w:numPr>
          <w:ilvl w:val="0"/>
          <w:numId w:val="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Partnership Parties represent and warrant to, and agree with the</w:t>
      </w:r>
    </w:p>
    <w:p>
      <w:pPr>
        <w:spacing w:after="0" w:line="4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3"/>
          <w:szCs w:val="23"/>
          <w:color w:val="auto"/>
        </w:rPr>
        <w:t>Managers that:</w:t>
      </w:r>
    </w:p>
    <w:p>
      <w:pPr>
        <w:spacing w:after="0" w:line="200" w:lineRule="exact"/>
        <w:rPr>
          <w:sz w:val="20"/>
          <w:szCs w:val="20"/>
          <w:color w:val="auto"/>
        </w:rPr>
      </w:pPr>
    </w:p>
    <w:p>
      <w:pPr>
        <w:jc w:val="both"/>
        <w:ind w:left="680" w:firstLine="683"/>
        <w:spacing w:after="0" w:line="265" w:lineRule="auto"/>
        <w:tabs>
          <w:tab w:leader="none" w:pos="2131" w:val="left"/>
        </w:tabs>
        <w:numPr>
          <w:ilvl w:val="0"/>
          <w:numId w:val="2"/>
        </w:numPr>
        <w:rPr>
          <w:rFonts w:ascii="Arial" w:cs="Arial" w:eastAsia="Arial" w:hAnsi="Arial"/>
          <w:sz w:val="21"/>
          <w:szCs w:val="21"/>
          <w:color w:val="auto"/>
        </w:rPr>
      </w:pPr>
      <w:r>
        <w:rPr>
          <w:rFonts w:ascii="Arial" w:cs="Arial" w:eastAsia="Arial" w:hAnsi="Arial"/>
          <w:sz w:val="21"/>
          <w:szCs w:val="21"/>
          <w:color w:val="auto"/>
        </w:rPr>
        <w:t>A registration statement on Form F-3 (File No. 333-220736), including a prospectus (hereinafter referred to as the “</w:t>
      </w:r>
      <w:r>
        <w:rPr>
          <w:rFonts w:ascii="Arial" w:cs="Arial" w:eastAsia="Arial" w:hAnsi="Arial"/>
          <w:sz w:val="21"/>
          <w:szCs w:val="21"/>
          <w:u w:val="single" w:color="auto"/>
          <w:color w:val="auto"/>
        </w:rPr>
        <w:t>Base Prospectus</w:t>
      </w:r>
      <w:r>
        <w:rPr>
          <w:rFonts w:ascii="Arial" w:cs="Arial" w:eastAsia="Arial" w:hAnsi="Arial"/>
          <w:sz w:val="21"/>
          <w:szCs w:val="21"/>
          <w:color w:val="auto"/>
        </w:rPr>
        <w:t>”) in respect of the Units has been filed with the Commission not earlier than three years prior to the date hereof; the Base Prospectus and any post-effective amendment thereto, each in the form heretofore delivered to the Managers, have been declared effective by the Commission in such form.Such registration statement, as amended, entered into in connection with a specific offering of the Units and including any documents incorporated by reference therein, including exhibits (other than any Form T-1) and financial statements and any 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21"/>
          <w:szCs w:val="21"/>
          <w:color w:val="auto"/>
        </w:rPr>
        <w:t>supplement relating to the Units that is filed with the Commission pursuant to Rule 424(b) (“</w:t>
      </w:r>
      <w:r>
        <w:rPr>
          <w:rFonts w:ascii="Arial" w:cs="Arial" w:eastAsia="Arial" w:hAnsi="Arial"/>
          <w:sz w:val="21"/>
          <w:szCs w:val="21"/>
          <w:u w:val="single" w:color="auto"/>
          <w:color w:val="auto"/>
        </w:rPr>
        <w:t>Rule 424(b)</w:t>
      </w:r>
      <w:r>
        <w:rPr>
          <w:rFonts w:ascii="Arial" w:cs="Arial" w:eastAsia="Arial" w:hAnsi="Arial"/>
          <w:sz w:val="21"/>
          <w:szCs w:val="21"/>
          <w:color w:val="auto"/>
        </w:rPr>
        <w:t>”) under the Act (as such term is defined herein) and deemed part of such registration statement pursuant to Rule 430B under the Act, is hereinafter referred to as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The Partnership meets the requirements of the Act for the use of the Form F-3. No stop order suspending the effectiveness of the Registration Statement, any part thereof or any post-effective amendment thereto, if any, has been issued and no proceeding for that purpose has been initiated or threatened by the Commission. The prospectus supplement which describes the Units and the offering thereof is hereinafter called the “</w:t>
      </w:r>
      <w:r>
        <w:rPr>
          <w:rFonts w:ascii="Arial" w:cs="Arial" w:eastAsia="Arial" w:hAnsi="Arial"/>
          <w:sz w:val="21"/>
          <w:szCs w:val="21"/>
          <w:u w:val="single" w:color="auto"/>
          <w:color w:val="auto"/>
        </w:rPr>
        <w:t>Prospectus Supplement</w:t>
      </w:r>
      <w:r>
        <w:rPr>
          <w:rFonts w:ascii="Arial" w:cs="Arial" w:eastAsia="Arial" w:hAnsi="Arial"/>
          <w:sz w:val="21"/>
          <w:szCs w:val="21"/>
          <w:color w:val="auto"/>
        </w:rPr>
        <w:t>”. Such Prospectus Supplement, in the form first filed pursuant to Rule 424(b) under the Act in accordance with Section 4(a) hereof, and supplementing the Base Prospectus, is hereinafter called the “</w:t>
      </w:r>
      <w:r>
        <w:rPr>
          <w:rFonts w:ascii="Arial" w:cs="Arial" w:eastAsia="Arial" w:hAnsi="Arial"/>
          <w:sz w:val="21"/>
          <w:szCs w:val="21"/>
          <w:u w:val="single" w:color="auto"/>
          <w:color w:val="auto"/>
        </w:rPr>
        <w:t>Prospectus</w:t>
      </w:r>
      <w:r>
        <w:rPr>
          <w:rFonts w:ascii="Arial" w:cs="Arial" w:eastAsia="Arial" w:hAnsi="Arial"/>
          <w:sz w:val="21"/>
          <w:szCs w:val="21"/>
          <w:color w:val="auto"/>
        </w:rPr>
        <w:t xml:space="preserve"> ”. Any reference herein to the Base Prospectus, Prospectus Supplement or the Prospectus shall be deemed to refer to and include the documents incorporated by reference therein pursuant to Item 6 of Form F-3 under the Act, as of the date of such prospectus; any reference to any amendment or supplement to the Base Prospectus, the Prospectus Supplement or the Prospectus shall be deemed to refer to and include any post-effective amendment to the Registration Statement, any prospectus supplement relating to the Units filed with the Commission pursuant to Rule 424(b) under the Act and any documents filed under the Exchange Act (as such term is defined herein), and incorporated therein, in each case after the date of the Base Prospectus, the Prospectus Supplement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Units is hereinafter called an “</w:t>
      </w:r>
      <w:r>
        <w:rPr>
          <w:rFonts w:ascii="Arial" w:cs="Arial" w:eastAsia="Arial" w:hAnsi="Arial"/>
          <w:sz w:val="21"/>
          <w:szCs w:val="21"/>
          <w:u w:val="single" w:color="auto"/>
          <w:color w:val="auto"/>
        </w:rPr>
        <w:t>Issuer Free Writing Prospectus</w:t>
      </w:r>
      <w:r>
        <w:rPr>
          <w:rFonts w:ascii="Arial" w:cs="Arial" w:eastAsia="Arial" w:hAnsi="Arial"/>
          <w:sz w:val="21"/>
          <w:szCs w:val="21"/>
          <w:color w:val="auto"/>
        </w:rPr>
        <w:t>”;</w:t>
      </w:r>
    </w:p>
    <w:p>
      <w:pPr>
        <w:spacing w:after="0" w:line="192" w:lineRule="exact"/>
        <w:rPr>
          <w:sz w:val="20"/>
          <w:szCs w:val="20"/>
          <w:color w:val="auto"/>
        </w:rPr>
      </w:pPr>
    </w:p>
    <w:p>
      <w:pPr>
        <w:jc w:val="both"/>
        <w:ind w:firstLine="683"/>
        <w:spacing w:after="0" w:line="263" w:lineRule="auto"/>
        <w:tabs>
          <w:tab w:leader="none" w:pos="1393" w:val="left"/>
        </w:tabs>
        <w:numPr>
          <w:ilvl w:val="0"/>
          <w:numId w:val="3"/>
        </w:numPr>
        <w:rPr>
          <w:rFonts w:ascii="Arial" w:cs="Arial" w:eastAsia="Arial" w:hAnsi="Arial"/>
          <w:sz w:val="21"/>
          <w:szCs w:val="21"/>
          <w:color w:val="auto"/>
        </w:rPr>
      </w:pPr>
      <w:r>
        <w:rPr>
          <w:rFonts w:ascii="Arial" w:cs="Arial" w:eastAsia="Arial" w:hAnsi="Arial"/>
          <w:sz w:val="21"/>
          <w:szCs w:val="21"/>
          <w:color w:val="auto"/>
        </w:rPr>
        <w:t xml:space="preserve">No order preventing or suspending the use of any Prospectus or any Issuer Free Writing Prospectus has been issued by the Commission, and the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representation and warranty shall not apply to any statements or omissions made in reliance upon and in conformity with information furnished in writing to the Partnership by the Managers expressly for use therein;</w:t>
      </w:r>
    </w:p>
    <w:p>
      <w:pPr>
        <w:spacing w:after="0" w:line="172" w:lineRule="exact"/>
        <w:rPr>
          <w:rFonts w:ascii="Arial" w:cs="Arial" w:eastAsia="Arial" w:hAnsi="Arial"/>
          <w:sz w:val="21"/>
          <w:szCs w:val="21"/>
          <w:color w:val="auto"/>
        </w:rPr>
      </w:pPr>
    </w:p>
    <w:p>
      <w:pPr>
        <w:jc w:val="both"/>
        <w:ind w:firstLine="683"/>
        <w:spacing w:after="0" w:line="265" w:lineRule="auto"/>
        <w:tabs>
          <w:tab w:leader="none" w:pos="1465"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Prospectus, as of each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conflict with the information contained in the Registration Statement or the Prospectus, and each such Issuer Free Writing Prospectus, as supplemented by and taken together with the Prospectus as of the relevant Applicable Time, did not include any untrue statement of a material fact or omit to state any material fact necessary in order to make the statements</w:t>
      </w:r>
    </w:p>
    <w:p>
      <w:pPr>
        <w:spacing w:after="0" w:line="197" w:lineRule="exact"/>
        <w:rPr>
          <w:sz w:val="20"/>
          <w:szCs w:val="20"/>
          <w:color w:val="auto"/>
        </w:rPr>
      </w:pPr>
    </w:p>
    <w:p>
      <w:pPr>
        <w:ind w:left="5260"/>
        <w:spacing w:after="0"/>
        <w:rPr>
          <w:sz w:val="20"/>
          <w:szCs w:val="20"/>
          <w:color w:val="auto"/>
        </w:rPr>
      </w:pPr>
      <w:r>
        <w:rPr>
          <w:rFonts w:ascii="Arial" w:cs="Arial" w:eastAsia="Arial" w:hAnsi="Arial"/>
          <w:sz w:val="23"/>
          <w:szCs w:val="2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6" w:name="page7"/>
    <w:bookmarkEnd w:id="6"/>
    <w:p>
      <w:pPr>
        <w:jc w:val="both"/>
        <w:ind w:left="1"/>
        <w:spacing w:after="0" w:line="241" w:lineRule="auto"/>
        <w:rPr>
          <w:sz w:val="20"/>
          <w:szCs w:val="20"/>
          <w:color w:val="auto"/>
        </w:rPr>
      </w:pPr>
      <w:r>
        <w:rPr>
          <w:rFonts w:ascii="Arial" w:cs="Arial" w:eastAsia="Arial" w:hAnsi="Arial"/>
          <w:sz w:val="23"/>
          <w:szCs w:val="23"/>
          <w:color w:val="auto"/>
        </w:rPr>
        <w:t xml:space="preserve">therein, in the light of the circumstances under which they were made, not misleading; </w:t>
      </w:r>
      <w:r>
        <w:rPr>
          <w:rFonts w:ascii="Arial" w:cs="Arial" w:eastAsia="Arial" w:hAnsi="Arial"/>
          <w:sz w:val="23"/>
          <w:szCs w:val="23"/>
          <w:i w:val="1"/>
          <w:iCs w:val="1"/>
          <w:color w:val="auto"/>
        </w:rPr>
        <w:t>provided, however</w:t>
      </w:r>
      <w:r>
        <w:rPr>
          <w:rFonts w:ascii="Arial" w:cs="Arial" w:eastAsia="Arial" w:hAnsi="Arial"/>
          <w:sz w:val="23"/>
          <w:szCs w:val="23"/>
          <w:color w:val="auto"/>
        </w:rPr>
        <w:t>, that this representation and warranty shall not apply to statements or omissions made in an Issuer Free Writing Prospectus in reliance upon and in conformity with information furnished in writing to the Partnership by the Managers expressly for use therein;</w:t>
      </w:r>
    </w:p>
    <w:p>
      <w:pPr>
        <w:spacing w:after="0" w:line="193" w:lineRule="exact"/>
        <w:rPr>
          <w:sz w:val="20"/>
          <w:szCs w:val="20"/>
          <w:color w:val="auto"/>
        </w:rPr>
      </w:pPr>
    </w:p>
    <w:p>
      <w:pPr>
        <w:jc w:val="both"/>
        <w:ind w:left="1" w:firstLine="683"/>
        <w:spacing w:after="0" w:line="262" w:lineRule="auto"/>
        <w:tabs>
          <w:tab w:leader="none" w:pos="1380" w:val="left"/>
        </w:tabs>
        <w:numPr>
          <w:ilvl w:val="1"/>
          <w:numId w:val="4"/>
        </w:numPr>
        <w:rPr>
          <w:rFonts w:ascii="Arial" w:cs="Arial" w:eastAsia="Arial" w:hAnsi="Arial"/>
          <w:sz w:val="21"/>
          <w:szCs w:val="21"/>
          <w:color w:val="auto"/>
        </w:rPr>
      </w:pPr>
      <w:r>
        <w:rPr>
          <w:rFonts w:ascii="Arial" w:cs="Arial" w:eastAsia="Arial" w:hAnsi="Arial"/>
          <w:sz w:val="21"/>
          <w:szCs w:val="21"/>
          <w:color w:val="auto"/>
        </w:rPr>
        <w:t xml:space="preserve">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and as of any Time of Delivery, contain an untrue statement of a material fact or omit to state a material fact required to be stated therein or necessary to make the statements therein not misleading;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representation and warranty shall not apply to any statements or omissions made in reliance upon and in conformity with information furnished in writing to the Partnership by the Managers expressly for use therein;</w:t>
      </w:r>
    </w:p>
    <w:p>
      <w:pPr>
        <w:spacing w:after="0" w:line="172" w:lineRule="exact"/>
        <w:rPr>
          <w:rFonts w:ascii="Arial" w:cs="Arial" w:eastAsia="Arial" w:hAnsi="Arial"/>
          <w:sz w:val="21"/>
          <w:szCs w:val="21"/>
          <w:color w:val="auto"/>
        </w:rPr>
      </w:pPr>
    </w:p>
    <w:p>
      <w:pPr>
        <w:ind w:left="1701" w:hanging="1017"/>
        <w:spacing w:after="0"/>
        <w:tabs>
          <w:tab w:leader="none" w:pos="1701" w:val="left"/>
        </w:tabs>
        <w:numPr>
          <w:ilvl w:val="1"/>
          <w:numId w:val="4"/>
        </w:numPr>
        <w:rPr>
          <w:rFonts w:ascii="Arial" w:cs="Arial" w:eastAsia="Arial" w:hAnsi="Arial"/>
          <w:sz w:val="20"/>
          <w:szCs w:val="20"/>
          <w:color w:val="auto"/>
        </w:rPr>
      </w:pPr>
      <w:r>
        <w:rPr>
          <w:rFonts w:ascii="Arial" w:cs="Arial" w:eastAsia="Arial" w:hAnsi="Arial"/>
          <w:sz w:val="20"/>
          <w:szCs w:val="20"/>
          <w:color w:val="auto"/>
        </w:rPr>
        <w:t>Each of the Partnership Parties (i) has not alone engaged in any Testing the Waters Communication and</w:t>
      </w:r>
    </w:p>
    <w:p>
      <w:pPr>
        <w:spacing w:after="0" w:line="46" w:lineRule="exact"/>
        <w:rPr>
          <w:rFonts w:ascii="Arial" w:cs="Arial" w:eastAsia="Arial" w:hAnsi="Arial"/>
          <w:sz w:val="20"/>
          <w:szCs w:val="20"/>
          <w:color w:val="auto"/>
        </w:rPr>
      </w:pPr>
    </w:p>
    <w:p>
      <w:pPr>
        <w:jc w:val="both"/>
        <w:ind w:left="1" w:hanging="1"/>
        <w:spacing w:after="0" w:line="235" w:lineRule="auto"/>
        <w:tabs>
          <w:tab w:leader="none" w:pos="367" w:val="left"/>
        </w:tabs>
        <w:numPr>
          <w:ilvl w:val="0"/>
          <w:numId w:val="5"/>
        </w:numPr>
        <w:rPr>
          <w:rFonts w:ascii="Arial" w:cs="Arial" w:eastAsia="Arial" w:hAnsi="Arial"/>
          <w:sz w:val="23"/>
          <w:szCs w:val="23"/>
          <w:color w:val="auto"/>
        </w:rPr>
      </w:pPr>
      <w:r>
        <w:rPr>
          <w:rFonts w:ascii="Arial" w:cs="Arial" w:eastAsia="Arial" w:hAnsi="Arial"/>
          <w:sz w:val="23"/>
          <w:szCs w:val="23"/>
          <w:color w:val="auto"/>
        </w:rPr>
        <w:t>has not authorized anyone to engage in Testing the Waters Communications. None of the Partnership Parties have distributed or approved for distribution any Written Testing the Waters Communications. “</w:t>
      </w:r>
      <w:r>
        <w:rPr>
          <w:rFonts w:ascii="Arial" w:cs="Arial" w:eastAsia="Arial" w:hAnsi="Arial"/>
          <w:sz w:val="23"/>
          <w:szCs w:val="23"/>
          <w:u w:val="single" w:color="auto"/>
          <w:color w:val="auto"/>
        </w:rPr>
        <w:t>Testing the Waters</w:t>
      </w:r>
      <w:r>
        <w:rPr>
          <w:rFonts w:ascii="Arial" w:cs="Arial" w:eastAsia="Arial" w:hAnsi="Arial"/>
          <w:sz w:val="23"/>
          <w:szCs w:val="23"/>
          <w:color w:val="auto"/>
        </w:rPr>
        <w:t xml:space="preserve"> </w:t>
      </w:r>
      <w:r>
        <w:rPr>
          <w:rFonts w:ascii="Arial" w:cs="Arial" w:eastAsia="Arial" w:hAnsi="Arial"/>
          <w:sz w:val="23"/>
          <w:szCs w:val="23"/>
          <w:u w:val="single" w:color="auto"/>
          <w:color w:val="auto"/>
        </w:rPr>
        <w:t>Communication</w:t>
      </w:r>
      <w:r>
        <w:rPr>
          <w:rFonts w:ascii="Arial" w:cs="Arial" w:eastAsia="Arial" w:hAnsi="Arial"/>
          <w:sz w:val="23"/>
          <w:szCs w:val="23"/>
          <w:color w:val="auto"/>
        </w:rPr>
        <w:t>” shall mean any oral or written communication with potential investors undertaken in reliance on Section 5(d) of the Act. “</w:t>
      </w:r>
      <w:r>
        <w:rPr>
          <w:rFonts w:ascii="Arial" w:cs="Arial" w:eastAsia="Arial" w:hAnsi="Arial"/>
          <w:sz w:val="23"/>
          <w:szCs w:val="23"/>
          <w:u w:val="single" w:color="auto"/>
          <w:color w:val="auto"/>
        </w:rPr>
        <w:t>Written Testing the Waters Communication</w:t>
      </w:r>
      <w:r>
        <w:rPr>
          <w:rFonts w:ascii="Arial" w:cs="Arial" w:eastAsia="Arial" w:hAnsi="Arial"/>
          <w:sz w:val="23"/>
          <w:szCs w:val="23"/>
          <w:color w:val="auto"/>
        </w:rPr>
        <w:t>” means any Testing the Waters Communication that is a written communication within the meaning of rule 405 under the Act;</w:t>
      </w:r>
    </w:p>
    <w:p>
      <w:pPr>
        <w:spacing w:after="0" w:line="196" w:lineRule="exact"/>
        <w:rPr>
          <w:rFonts w:ascii="Arial" w:cs="Arial" w:eastAsia="Arial" w:hAnsi="Arial"/>
          <w:sz w:val="23"/>
          <w:szCs w:val="23"/>
          <w:color w:val="auto"/>
        </w:rPr>
      </w:pPr>
    </w:p>
    <w:p>
      <w:pPr>
        <w:jc w:val="both"/>
        <w:ind w:left="1" w:firstLine="683"/>
        <w:spacing w:after="0" w:line="275" w:lineRule="auto"/>
        <w:tabs>
          <w:tab w:leader="none" w:pos="1827" w:val="left"/>
        </w:tabs>
        <w:numPr>
          <w:ilvl w:val="1"/>
          <w:numId w:val="5"/>
        </w:numPr>
        <w:rPr>
          <w:rFonts w:ascii="Arial" w:cs="Arial" w:eastAsia="Arial" w:hAnsi="Arial"/>
          <w:sz w:val="20"/>
          <w:szCs w:val="20"/>
          <w:color w:val="auto"/>
        </w:rPr>
      </w:pPr>
      <w:r>
        <w:rPr>
          <w:rFonts w:ascii="Arial" w:cs="Arial" w:eastAsia="Arial" w:hAnsi="Arial"/>
          <w:sz w:val="20"/>
          <w:szCs w:val="20"/>
          <w:color w:val="auto"/>
        </w:rPr>
        <w:t>None of the Partnership Entities has sustained, since the date of the latest audited financial statements included or incorporated by reference in the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or any change in the share capital or long-term debt of the Partnership Entities, otherwise than as set forth or contemplated in the Prospectus;</w:t>
      </w:r>
    </w:p>
    <w:p>
      <w:pPr>
        <w:spacing w:after="0" w:line="166" w:lineRule="exact"/>
        <w:rPr>
          <w:rFonts w:ascii="Arial" w:cs="Arial" w:eastAsia="Arial" w:hAnsi="Arial"/>
          <w:sz w:val="20"/>
          <w:szCs w:val="20"/>
          <w:color w:val="auto"/>
        </w:rPr>
      </w:pPr>
    </w:p>
    <w:p>
      <w:pPr>
        <w:jc w:val="both"/>
        <w:ind w:left="1" w:firstLine="683"/>
        <w:spacing w:after="0" w:line="255" w:lineRule="auto"/>
        <w:tabs>
          <w:tab w:leader="none" w:pos="1651"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Except as otherwise described in the Prospectus, 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 (collectively, the “</w:t>
      </w:r>
      <w:r>
        <w:rPr>
          <w:rFonts w:ascii="Arial" w:cs="Arial" w:eastAsia="Arial" w:hAnsi="Arial"/>
          <w:sz w:val="22"/>
          <w:szCs w:val="22"/>
          <w:u w:val="single" w:color="auto"/>
          <w:color w:val="auto"/>
        </w:rPr>
        <w:t>Vessels</w:t>
      </w:r>
      <w:r>
        <w:rPr>
          <w:rFonts w:ascii="Arial" w:cs="Arial" w:eastAsia="Arial" w:hAnsi="Arial"/>
          <w:sz w:val="22"/>
          <w:szCs w:val="22"/>
          <w:color w:val="auto"/>
        </w:rPr>
        <w:t>”), in each case free and clear of all liens, encumbrances and defects except</w:t>
      </w:r>
    </w:p>
    <w:p>
      <w:pPr>
        <w:spacing w:after="0" w:line="208" w:lineRule="exact"/>
        <w:rPr>
          <w:sz w:val="20"/>
          <w:szCs w:val="20"/>
          <w:color w:val="auto"/>
        </w:rPr>
      </w:pPr>
    </w:p>
    <w:p>
      <w:pPr>
        <w:ind w:left="5261"/>
        <w:spacing w:after="0"/>
        <w:rPr>
          <w:sz w:val="20"/>
          <w:szCs w:val="20"/>
          <w:color w:val="auto"/>
        </w:rPr>
      </w:pPr>
      <w:r>
        <w:rPr>
          <w:rFonts w:ascii="Arial" w:cs="Arial" w:eastAsia="Arial" w:hAnsi="Arial"/>
          <w:sz w:val="23"/>
          <w:szCs w:val="2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80645</wp:posOffset>
            </wp:positionV>
            <wp:extent cx="7646670"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33" w:right="120"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2"/>
          <w:szCs w:val="22"/>
          <w:color w:val="auto"/>
        </w:rPr>
        <w:t>such as are described in the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 such property and buildings by the Partnership Entities, otherwise than as set forth or contemplated in the Prospectus;</w:t>
      </w:r>
    </w:p>
    <w:p>
      <w:pPr>
        <w:spacing w:after="0" w:line="187" w:lineRule="exact"/>
        <w:rPr>
          <w:sz w:val="20"/>
          <w:szCs w:val="20"/>
          <w:color w:val="auto"/>
        </w:rPr>
      </w:pPr>
    </w:p>
    <w:p>
      <w:pPr>
        <w:jc w:val="both"/>
        <w:ind w:firstLine="683"/>
        <w:spacing w:after="0" w:line="259" w:lineRule="auto"/>
        <w:tabs>
          <w:tab w:leader="none" w:pos="1621" w:val="left"/>
        </w:tabs>
        <w:numPr>
          <w:ilvl w:val="0"/>
          <w:numId w:val="6"/>
        </w:numPr>
        <w:rPr>
          <w:rFonts w:ascii="Arial" w:cs="Arial" w:eastAsia="Arial" w:hAnsi="Arial"/>
          <w:sz w:val="21"/>
          <w:szCs w:val="21"/>
          <w:color w:val="auto"/>
        </w:rPr>
      </w:pPr>
      <w:r>
        <w:rPr>
          <w:rFonts w:ascii="Arial" w:cs="Arial" w:eastAsia="Arial" w:hAnsi="Arial"/>
          <w:sz w:val="21"/>
          <w:szCs w:val="21"/>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Time of Delivery and to conduct its business as currently conducted or as to be conducted at the Time of Delivery, in each case as described in the Prospectus, except where the failure to be so qualified or in good standing and to have such power or authority would not, individually or in the aggregate, result in a Material Adverse Effect. Each of the Partnership Entities is, and at the Time of Delivery will be, (i) duly qualified to do business as a foreign limited partnership, limited liability company, corporation or other entity, as applicable, and (ii) is in good standing under the laws of each jurisdictions that requires, and at the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177" w:lineRule="exact"/>
        <w:rPr>
          <w:rFonts w:ascii="Arial" w:cs="Arial" w:eastAsia="Arial" w:hAnsi="Arial"/>
          <w:sz w:val="21"/>
          <w:szCs w:val="21"/>
          <w:color w:val="auto"/>
        </w:rPr>
      </w:pPr>
    </w:p>
    <w:p>
      <w:pPr>
        <w:ind w:firstLine="683"/>
        <w:spacing w:after="0" w:line="257" w:lineRule="auto"/>
        <w:tabs>
          <w:tab w:leader="none" w:pos="1556" w:val="left"/>
        </w:tabs>
        <w:numPr>
          <w:ilvl w:val="0"/>
          <w:numId w:val="6"/>
        </w:numPr>
        <w:rPr>
          <w:rFonts w:ascii="Arial" w:cs="Arial" w:eastAsia="Arial" w:hAnsi="Arial"/>
          <w:sz w:val="23"/>
          <w:szCs w:val="23"/>
          <w:color w:val="auto"/>
        </w:rPr>
      </w:pPr>
      <w:r>
        <w:rPr>
          <w:rFonts w:ascii="Arial" w:cs="Arial" w:eastAsia="Arial" w:hAnsi="Arial"/>
          <w:sz w:val="23"/>
          <w:szCs w:val="23"/>
          <w:color w:val="auto"/>
        </w:rPr>
        <w:t>The General Partner has full limited liability company power and authority to act as the general partner of the Partnership in all material respects as described in the Prospectus;</w:t>
      </w:r>
    </w:p>
    <w:p>
      <w:pPr>
        <w:spacing w:after="0" w:line="175" w:lineRule="exact"/>
        <w:rPr>
          <w:rFonts w:ascii="Arial" w:cs="Arial" w:eastAsia="Arial" w:hAnsi="Arial"/>
          <w:sz w:val="23"/>
          <w:szCs w:val="23"/>
          <w:color w:val="auto"/>
        </w:rPr>
      </w:pPr>
    </w:p>
    <w:p>
      <w:pPr>
        <w:jc w:val="both"/>
        <w:ind w:firstLine="683"/>
        <w:spacing w:after="0" w:line="236" w:lineRule="auto"/>
        <w:tabs>
          <w:tab w:leader="none" w:pos="1969" w:val="left"/>
        </w:tabs>
        <w:numPr>
          <w:ilvl w:val="0"/>
          <w:numId w:val="6"/>
        </w:numPr>
        <w:rPr>
          <w:rFonts w:ascii="Arial" w:cs="Arial" w:eastAsia="Arial" w:hAnsi="Arial"/>
          <w:sz w:val="23"/>
          <w:szCs w:val="23"/>
          <w:color w:val="auto"/>
        </w:rPr>
      </w:pPr>
      <w:r>
        <w:rPr>
          <w:rFonts w:ascii="Arial" w:cs="Arial" w:eastAsia="Arial" w:hAnsi="Arial"/>
          <w:sz w:val="23"/>
          <w:szCs w:val="23"/>
          <w:color w:val="auto"/>
        </w:rPr>
        <w:t>GasLog owns the number of Common Units representing limited partner interests as set forth in the Prospectus (the Common Units owned by GasLog, the “</w:t>
      </w:r>
      <w:r>
        <w:rPr>
          <w:rFonts w:ascii="Arial" w:cs="Arial" w:eastAsia="Arial" w:hAnsi="Arial"/>
          <w:sz w:val="23"/>
          <w:szCs w:val="23"/>
          <w:u w:val="single" w:color="auto"/>
          <w:color w:val="auto"/>
        </w:rPr>
        <w:t>Sponsor Units</w:t>
      </w:r>
      <w:r>
        <w:rPr>
          <w:rFonts w:ascii="Arial" w:cs="Arial" w:eastAsia="Arial" w:hAnsi="Arial"/>
          <w:sz w:val="23"/>
          <w:szCs w:val="23"/>
          <w:color w:val="auto"/>
        </w:rPr>
        <w:t>”). The Sponsor Units, and the limited partner interests represented thereby, have been duly authorized for issuance and sale and are validly issued in accordance with the limited partnership agreement of the Partnership (the “</w:t>
      </w:r>
      <w:r>
        <w:rPr>
          <w:rFonts w:ascii="Arial" w:cs="Arial" w:eastAsia="Arial" w:hAnsi="Arial"/>
          <w:sz w:val="23"/>
          <w:szCs w:val="23"/>
          <w:u w:val="single" w:color="auto"/>
          <w:color w:val="auto"/>
        </w:rPr>
        <w:t>Partnership Agreement</w:t>
      </w:r>
      <w:r>
        <w:rPr>
          <w:rFonts w:ascii="Arial" w:cs="Arial" w:eastAsia="Arial" w:hAnsi="Arial"/>
          <w:sz w:val="23"/>
          <w:szCs w:val="23"/>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23"/>
          <w:szCs w:val="23"/>
          <w:u w:val="single" w:color="auto"/>
          <w:color w:val="auto"/>
        </w:rPr>
        <w:t>Marshall Islands LP Act</w:t>
      </w:r>
      <w:r>
        <w:rPr>
          <w:rFonts w:ascii="Arial" w:cs="Arial" w:eastAsia="Arial" w:hAnsi="Arial"/>
          <w:sz w:val="23"/>
          <w:szCs w:val="23"/>
          <w:color w:val="auto"/>
        </w:rPr>
        <w:t>”)); and GasLog owns the Sponsor Units free and clear of all liens, encumbrances, security interests, charges, equities or other claims (“</w:t>
      </w:r>
      <w:r>
        <w:rPr>
          <w:rFonts w:ascii="Arial" w:cs="Arial" w:eastAsia="Arial" w:hAnsi="Arial"/>
          <w:sz w:val="23"/>
          <w:szCs w:val="23"/>
          <w:u w:val="single" w:color="auto"/>
          <w:color w:val="auto"/>
        </w:rPr>
        <w:t>Liens</w:t>
      </w:r>
      <w:r>
        <w:rPr>
          <w:rFonts w:ascii="Arial" w:cs="Arial" w:eastAsia="Arial" w:hAnsi="Arial"/>
          <w:sz w:val="23"/>
          <w:szCs w:val="23"/>
          <w:color w:val="auto"/>
        </w:rPr>
        <w:t>”);</w:t>
      </w:r>
    </w:p>
    <w:p>
      <w:pPr>
        <w:spacing w:after="0" w:line="201" w:lineRule="exact"/>
        <w:rPr>
          <w:rFonts w:ascii="Arial" w:cs="Arial" w:eastAsia="Arial" w:hAnsi="Arial"/>
          <w:sz w:val="23"/>
          <w:szCs w:val="23"/>
          <w:color w:val="auto"/>
        </w:rPr>
      </w:pPr>
    </w:p>
    <w:p>
      <w:pPr>
        <w:jc w:val="both"/>
        <w:ind w:right="20" w:firstLine="683"/>
        <w:spacing w:after="0" w:line="245" w:lineRule="auto"/>
        <w:tabs>
          <w:tab w:leader="none" w:pos="1507" w:val="left"/>
        </w:tabs>
        <w:numPr>
          <w:ilvl w:val="0"/>
          <w:numId w:val="6"/>
        </w:numPr>
        <w:rPr>
          <w:rFonts w:ascii="Arial" w:cs="Arial" w:eastAsia="Arial" w:hAnsi="Arial"/>
          <w:sz w:val="23"/>
          <w:szCs w:val="23"/>
          <w:color w:val="auto"/>
        </w:rPr>
      </w:pPr>
      <w:r>
        <w:rPr>
          <w:rFonts w:ascii="Arial" w:cs="Arial" w:eastAsia="Arial" w:hAnsi="Arial"/>
          <w:sz w:val="23"/>
          <w:szCs w:val="23"/>
          <w:color w:val="auto"/>
        </w:rPr>
        <w:t>Except as otherwise described in the Prospectus, GasLog owns 100% of the incentive distribution rights of the Partnership (the “</w:t>
      </w:r>
      <w:r>
        <w:rPr>
          <w:rFonts w:ascii="Arial" w:cs="Arial" w:eastAsia="Arial" w:hAnsi="Arial"/>
          <w:sz w:val="23"/>
          <w:szCs w:val="23"/>
          <w:u w:val="single" w:color="auto"/>
          <w:color w:val="auto"/>
        </w:rPr>
        <w:t>Incentive Distribution Rights</w:t>
      </w:r>
      <w:r>
        <w:rPr>
          <w:rFonts w:ascii="Arial" w:cs="Arial" w:eastAsia="Arial" w:hAnsi="Arial"/>
          <w:sz w:val="23"/>
          <w:szCs w:val="23"/>
          <w:color w:val="auto"/>
        </w:rPr>
        <w:t>”); the Incentive Distribution Rights have been duly authorized for issuance and sale, are</w:t>
      </w:r>
    </w:p>
    <w:p>
      <w:pPr>
        <w:spacing w:after="0" w:line="217" w:lineRule="exact"/>
        <w:rPr>
          <w:sz w:val="20"/>
          <w:szCs w:val="20"/>
          <w:color w:val="auto"/>
        </w:rPr>
      </w:pPr>
    </w:p>
    <w:p>
      <w:pPr>
        <w:ind w:left="5260"/>
        <w:spacing w:after="0"/>
        <w:rPr>
          <w:sz w:val="20"/>
          <w:szCs w:val="20"/>
          <w:color w:val="auto"/>
        </w:rPr>
      </w:pPr>
      <w:r>
        <w:rPr>
          <w:rFonts w:ascii="Arial" w:cs="Arial" w:eastAsia="Arial" w:hAnsi="Arial"/>
          <w:sz w:val="23"/>
          <w:szCs w:val="2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21"/>
          <w:szCs w:val="21"/>
          <w:color w:val="auto"/>
        </w:rPr>
        <w:t>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pacing w:after="0" w:line="156" w:lineRule="exact"/>
        <w:rPr>
          <w:sz w:val="20"/>
          <w:szCs w:val="20"/>
          <w:color w:val="auto"/>
        </w:rPr>
      </w:pPr>
    </w:p>
    <w:p>
      <w:pPr>
        <w:jc w:val="both"/>
        <w:ind w:firstLine="683"/>
        <w:spacing w:after="0" w:line="238" w:lineRule="auto"/>
        <w:tabs>
          <w:tab w:leader="none" w:pos="1955" w:val="left"/>
        </w:tabs>
        <w:numPr>
          <w:ilvl w:val="0"/>
          <w:numId w:val="7"/>
        </w:numPr>
        <w:rPr>
          <w:rFonts w:ascii="Arial" w:cs="Arial" w:eastAsia="Arial" w:hAnsi="Arial"/>
          <w:sz w:val="23"/>
          <w:szCs w:val="23"/>
          <w:color w:val="auto"/>
        </w:rPr>
      </w:pPr>
      <w:r>
        <w:rPr>
          <w:rFonts w:ascii="Arial" w:cs="Arial" w:eastAsia="Arial" w:hAnsi="Arial"/>
          <w:sz w:val="23"/>
          <w:szCs w:val="23"/>
          <w:color w:val="auto"/>
        </w:rPr>
        <w:t>Except as otherwise described in the Prospectus, the General Partner owns the general partner units, representing a 2% general partner interest in the Partnership (the “</w:t>
      </w:r>
      <w:r>
        <w:rPr>
          <w:rFonts w:ascii="Arial" w:cs="Arial" w:eastAsia="Arial" w:hAnsi="Arial"/>
          <w:sz w:val="23"/>
          <w:szCs w:val="23"/>
          <w:u w:val="single" w:color="auto"/>
          <w:color w:val="auto"/>
        </w:rPr>
        <w:t>General Partner Interest</w:t>
      </w:r>
      <w:r>
        <w:rPr>
          <w:rFonts w:ascii="Arial" w:cs="Arial" w:eastAsia="Arial" w:hAnsi="Arial"/>
          <w:sz w:val="23"/>
          <w:szCs w:val="23"/>
          <w:color w:val="auto"/>
        </w:rPr>
        <w:t>”). The General Partner Interest has been duly authorized for issuance and sale, is validly issued in accordance with the Partnership Agreement and is fully paid (to the extent required under the Partnership Agreement) and nonassessable (except as such nonassessability may be affected by Sections 30, 41, 51 and 60 of the Marshall Islands LP Act); and the General Partner owns the General Partner Interest free and clear of all Liens;</w:t>
      </w:r>
    </w:p>
    <w:p>
      <w:pPr>
        <w:spacing w:after="0" w:line="194" w:lineRule="exact"/>
        <w:rPr>
          <w:rFonts w:ascii="Arial" w:cs="Arial" w:eastAsia="Arial" w:hAnsi="Arial"/>
          <w:sz w:val="23"/>
          <w:szCs w:val="23"/>
          <w:color w:val="auto"/>
        </w:rPr>
      </w:pPr>
    </w:p>
    <w:p>
      <w:pPr>
        <w:jc w:val="both"/>
        <w:ind w:firstLine="683"/>
        <w:spacing w:after="0" w:line="249" w:lineRule="auto"/>
        <w:tabs>
          <w:tab w:leader="none" w:pos="1898" w:val="left"/>
        </w:tabs>
        <w:numPr>
          <w:ilvl w:val="0"/>
          <w:numId w:val="7"/>
        </w:numPr>
        <w:rPr>
          <w:rFonts w:ascii="Arial" w:cs="Arial" w:eastAsia="Arial" w:hAnsi="Arial"/>
          <w:sz w:val="22"/>
          <w:szCs w:val="22"/>
          <w:color w:val="auto"/>
        </w:rPr>
      </w:pPr>
      <w:r>
        <w:rPr>
          <w:rFonts w:ascii="Arial" w:cs="Arial" w:eastAsia="Arial" w:hAnsi="Arial"/>
          <w:sz w:val="22"/>
          <w:szCs w:val="22"/>
          <w:color w:val="auto"/>
        </w:rPr>
        <w:t>Except as otherwise described in the Prospectus, GasLog directly owns 100% of the limited liability company interest in the General Partner; such limited liability company interest has been duly authorized and validly issued in accordance with the limited liability company agreement of the General Partner (as the same may be amended and restated, the “</w:t>
      </w:r>
      <w:r>
        <w:rPr>
          <w:rFonts w:ascii="Arial" w:cs="Arial" w:eastAsia="Arial" w:hAnsi="Arial"/>
          <w:sz w:val="22"/>
          <w:szCs w:val="22"/>
          <w:u w:val="single" w:color="auto"/>
          <w:color w:val="auto"/>
        </w:rPr>
        <w:t>General Partner LLC Agreement</w:t>
      </w:r>
      <w:r>
        <w:rPr>
          <w:rFonts w:ascii="Arial" w:cs="Arial" w:eastAsia="Arial" w:hAnsi="Arial"/>
          <w:sz w:val="22"/>
          <w:szCs w:val="22"/>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Arial" w:cs="Arial" w:eastAsia="Arial" w:hAnsi="Arial"/>
          <w:sz w:val="22"/>
          <w:szCs w:val="22"/>
          <w:u w:val="single" w:color="auto"/>
          <w:color w:val="auto"/>
        </w:rPr>
        <w:t>Marshall Islands LLC Act</w:t>
      </w:r>
      <w:r>
        <w:rPr>
          <w:rFonts w:ascii="Arial" w:cs="Arial" w:eastAsia="Arial" w:hAnsi="Arial"/>
          <w:sz w:val="22"/>
          <w:szCs w:val="22"/>
          <w:color w:val="auto"/>
        </w:rPr>
        <w:t>”)); and GasLog owns such limited liability company interest free and clear of all Liens;</w:t>
      </w:r>
    </w:p>
    <w:p>
      <w:pPr>
        <w:spacing w:after="0" w:line="187" w:lineRule="exact"/>
        <w:rPr>
          <w:rFonts w:ascii="Arial" w:cs="Arial" w:eastAsia="Arial" w:hAnsi="Arial"/>
          <w:sz w:val="22"/>
          <w:szCs w:val="22"/>
          <w:color w:val="auto"/>
        </w:rPr>
      </w:pPr>
    </w:p>
    <w:p>
      <w:pPr>
        <w:jc w:val="both"/>
        <w:ind w:firstLine="683"/>
        <w:spacing w:after="0" w:line="237" w:lineRule="auto"/>
        <w:tabs>
          <w:tab w:leader="none" w:pos="1464" w:val="left"/>
        </w:tabs>
        <w:numPr>
          <w:ilvl w:val="0"/>
          <w:numId w:val="7"/>
        </w:numPr>
        <w:rPr>
          <w:rFonts w:ascii="Arial" w:cs="Arial" w:eastAsia="Arial" w:hAnsi="Arial"/>
          <w:sz w:val="23"/>
          <w:szCs w:val="23"/>
          <w:color w:val="auto"/>
        </w:rPr>
      </w:pPr>
      <w:r>
        <w:rPr>
          <w:rFonts w:ascii="Arial" w:cs="Arial" w:eastAsia="Arial" w:hAnsi="Arial"/>
          <w:sz w:val="23"/>
          <w:szCs w:val="23"/>
          <w:color w:val="auto"/>
        </w:rPr>
        <w:t>Except as otherwise described in the Prospectus, the Partnership directly owns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the “</w:t>
      </w:r>
      <w:r>
        <w:rPr>
          <w:rFonts w:ascii="Arial" w:cs="Arial" w:eastAsia="Arial" w:hAnsi="Arial"/>
          <w:sz w:val="23"/>
          <w:szCs w:val="23"/>
          <w:u w:val="single" w:color="auto"/>
          <w:color w:val="auto"/>
        </w:rPr>
        <w:t>Operating Company LLC Agreement</w:t>
      </w:r>
      <w:r>
        <w:rPr>
          <w:rFonts w:ascii="Arial" w:cs="Arial" w:eastAsia="Arial" w:hAnsi="Arial"/>
          <w:sz w:val="23"/>
          <w:szCs w:val="23"/>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196" w:lineRule="exact"/>
        <w:rPr>
          <w:rFonts w:ascii="Arial" w:cs="Arial" w:eastAsia="Arial" w:hAnsi="Arial"/>
          <w:sz w:val="23"/>
          <w:szCs w:val="23"/>
          <w:color w:val="auto"/>
        </w:rPr>
      </w:pPr>
    </w:p>
    <w:p>
      <w:pPr>
        <w:jc w:val="both"/>
        <w:ind w:firstLine="683"/>
        <w:spacing w:after="0" w:line="262" w:lineRule="auto"/>
        <w:tabs>
          <w:tab w:leader="none" w:pos="1450"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Except as otherwise described in the Prospectus, the Operating Company owns 100% of the equity interests in each of the Operating Subsidiaries listed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such equity interests have been duly authorized and validly issued in accordance with the respective organizational documents of each Operating Subsidiary (as the same may be amended or restated, the “</w:t>
      </w:r>
      <w:r>
        <w:rPr>
          <w:rFonts w:ascii="Arial" w:cs="Arial" w:eastAsia="Arial" w:hAnsi="Arial"/>
          <w:sz w:val="21"/>
          <w:szCs w:val="21"/>
          <w:u w:val="single" w:color="auto"/>
          <w:color w:val="auto"/>
        </w:rPr>
        <w:t>Operating Subsidiaries Organizational Documents</w:t>
      </w:r>
      <w:r>
        <w:rPr>
          <w:rFonts w:ascii="Arial" w:cs="Arial" w:eastAsia="Arial" w:hAnsi="Arial"/>
          <w:sz w:val="21"/>
          <w:szCs w:val="21"/>
          <w:color w:val="auto"/>
        </w:rPr>
        <w:t>” and together with the Partnership Agreement, the General Partner LLC Agreement and the Operating Company LLC Agreement, the “</w:t>
      </w:r>
      <w:r>
        <w:rPr>
          <w:rFonts w:ascii="Arial" w:cs="Arial" w:eastAsia="Arial" w:hAnsi="Arial"/>
          <w:sz w:val="21"/>
          <w:szCs w:val="21"/>
          <w:u w:val="single" w:color="auto"/>
          <w:color w:val="auto"/>
        </w:rPr>
        <w:t>Partnership Entities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Organizational Agreements</w:t>
      </w:r>
      <w:r>
        <w:rPr>
          <w:rFonts w:ascii="Arial" w:cs="Arial" w:eastAsia="Arial" w:hAnsi="Arial"/>
          <w:sz w:val="21"/>
          <w:szCs w:val="21"/>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w:t>
      </w:r>
    </w:p>
    <w:p>
      <w:pPr>
        <w:spacing w:after="0" w:line="201" w:lineRule="exact"/>
        <w:rPr>
          <w:sz w:val="20"/>
          <w:szCs w:val="20"/>
          <w:color w:val="auto"/>
        </w:rPr>
      </w:pPr>
    </w:p>
    <w:p>
      <w:pPr>
        <w:ind w:left="5260"/>
        <w:spacing w:after="0"/>
        <w:rPr>
          <w:sz w:val="20"/>
          <w:szCs w:val="20"/>
          <w:color w:val="auto"/>
        </w:rPr>
      </w:pPr>
      <w:r>
        <w:rPr>
          <w:rFonts w:ascii="Arial" w:cs="Arial" w:eastAsia="Arial" w:hAnsi="Arial"/>
          <w:sz w:val="23"/>
          <w:szCs w:val="2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9" w:name="page10"/>
    <w:bookmarkEnd w:id="9"/>
    <w:p>
      <w:pPr>
        <w:spacing w:after="0"/>
        <w:rPr>
          <w:sz w:val="20"/>
          <w:szCs w:val="20"/>
          <w:color w:val="auto"/>
        </w:rPr>
      </w:pPr>
      <w:r>
        <w:rPr>
          <w:rFonts w:ascii="Arial" w:cs="Arial" w:eastAsia="Arial" w:hAnsi="Arial"/>
          <w:sz w:val="23"/>
          <w:szCs w:val="23"/>
          <w:color w:val="auto"/>
        </w:rPr>
        <w:t>Organizational Documents); and the Operating Company owns such equity interests free and clear of all Liens;</w:t>
      </w:r>
    </w:p>
    <w:p>
      <w:pPr>
        <w:spacing w:after="0" w:line="220" w:lineRule="exact"/>
        <w:rPr>
          <w:sz w:val="20"/>
          <w:szCs w:val="20"/>
          <w:color w:val="auto"/>
        </w:rPr>
      </w:pPr>
    </w:p>
    <w:p>
      <w:pPr>
        <w:jc w:val="both"/>
        <w:ind w:firstLine="683"/>
        <w:spacing w:after="0" w:line="279" w:lineRule="auto"/>
        <w:tabs>
          <w:tab w:leader="none" w:pos="1521" w:val="left"/>
        </w:tabs>
        <w:numPr>
          <w:ilvl w:val="0"/>
          <w:numId w:val="8"/>
        </w:numPr>
        <w:rPr>
          <w:rFonts w:ascii="Arial" w:cs="Arial" w:eastAsia="Arial" w:hAnsi="Arial"/>
          <w:sz w:val="21"/>
          <w:szCs w:val="21"/>
          <w:color w:val="auto"/>
        </w:rPr>
      </w:pPr>
      <w:r>
        <w:rPr>
          <w:rFonts w:ascii="Arial" w:cs="Arial" w:eastAsia="Arial" w:hAnsi="Arial"/>
          <w:sz w:val="21"/>
          <w:szCs w:val="21"/>
          <w:color w:val="auto"/>
        </w:rPr>
        <w:t>Except as described in Sections 2(l), 2(n) and 2(o) herein or except as described in the Prospectus, none of the Partnership Entities owns, or, at any Time of Delivery, will own, directly or indirectly, any equity or long-term debt securities of any corporation, partnership, limited liability company, joint venture, association or other entity;</w:t>
      </w:r>
    </w:p>
    <w:p>
      <w:pPr>
        <w:spacing w:after="0" w:line="156" w:lineRule="exact"/>
        <w:rPr>
          <w:rFonts w:ascii="Arial" w:cs="Arial" w:eastAsia="Arial" w:hAnsi="Arial"/>
          <w:sz w:val="21"/>
          <w:szCs w:val="21"/>
          <w:color w:val="auto"/>
        </w:rPr>
      </w:pPr>
    </w:p>
    <w:p>
      <w:pPr>
        <w:jc w:val="both"/>
        <w:ind w:firstLine="683"/>
        <w:spacing w:after="0" w:line="247" w:lineRule="auto"/>
        <w:tabs>
          <w:tab w:leader="none" w:pos="1478" w:val="left"/>
        </w:tabs>
        <w:numPr>
          <w:ilvl w:val="0"/>
          <w:numId w:val="8"/>
        </w:numPr>
        <w:rPr>
          <w:rFonts w:ascii="Arial" w:cs="Arial" w:eastAsia="Arial" w:hAnsi="Arial"/>
          <w:sz w:val="22"/>
          <w:szCs w:val="22"/>
          <w:color w:val="auto"/>
        </w:rPr>
      </w:pPr>
      <w:r>
        <w:rPr>
          <w:rFonts w:ascii="Arial" w:cs="Arial" w:eastAsia="Arial" w:hAnsi="Arial"/>
          <w:sz w:val="22"/>
          <w:szCs w:val="22"/>
          <w:color w:val="auto"/>
        </w:rPr>
        <w:t>At each Settlement Date and each Time of Delivery, if any, the Units to be sold by the Partnership pursuant to this Agreement, and the limited partner interests represented thereby, have been duly authorized for issuance and sale to the Managers in accordance with this Agreement and the Partnership Agreement, and when issued and delivered by the Partnership pursuant to this Agreement against payment of the consideration set forth in Section 3(a)(5),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Prospectus and to the description of such Units contained in the Prospectus; the unitholders of the Partnership do not and will not have preemptive rights with respect to the Common Units; and none of the outstanding Common Units of the Partnership have been issued in violation of any preemptive or similar rights of any security holder;</w:t>
      </w:r>
    </w:p>
    <w:p>
      <w:pPr>
        <w:spacing w:after="0" w:line="191" w:lineRule="exact"/>
        <w:rPr>
          <w:rFonts w:ascii="Arial" w:cs="Arial" w:eastAsia="Arial" w:hAnsi="Arial"/>
          <w:sz w:val="22"/>
          <w:szCs w:val="22"/>
          <w:color w:val="auto"/>
        </w:rPr>
      </w:pPr>
    </w:p>
    <w:p>
      <w:pPr>
        <w:jc w:val="both"/>
        <w:ind w:firstLine="683"/>
        <w:spacing w:after="0" w:line="258" w:lineRule="auto"/>
        <w:tabs>
          <w:tab w:leader="none" w:pos="1583" w:val="left"/>
        </w:tabs>
        <w:numPr>
          <w:ilvl w:val="0"/>
          <w:numId w:val="8"/>
        </w:numPr>
        <w:rPr>
          <w:rFonts w:ascii="Arial" w:cs="Arial" w:eastAsia="Arial" w:hAnsi="Arial"/>
          <w:sz w:val="21"/>
          <w:szCs w:val="21"/>
          <w:color w:val="auto"/>
        </w:rPr>
      </w:pPr>
      <w:r>
        <w:rPr>
          <w:rFonts w:ascii="Arial" w:cs="Arial" w:eastAsia="Arial" w:hAnsi="Arial"/>
          <w:sz w:val="21"/>
          <w:szCs w:val="21"/>
          <w:color w:val="auto"/>
        </w:rPr>
        <w:t xml:space="preserve">The issue and sale of the Units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Arial" w:cs="Arial" w:eastAsia="Arial" w:hAnsi="Arial"/>
          <w:sz w:val="21"/>
          <w:szCs w:val="21"/>
          <w:u w:val="single" w:color="auto"/>
          <w:color w:val="auto"/>
        </w:rPr>
        <w:t>Schedule IV</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Specified Agreements</w:t>
      </w:r>
      <w:r>
        <w:rPr>
          <w:rFonts w:ascii="Arial" w:cs="Arial" w:eastAsia="Arial" w:hAnsi="Arial"/>
          <w:sz w:val="21"/>
          <w:szCs w:val="21"/>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Units or the consummation by the Partnership Entities of the transactions contemplated by this Agreement, except the registration under the Act of the Units and such consents, approvals, authorizations, registrations or qualifications as may be required under state securities or blue sky laws in connection</w:t>
      </w:r>
    </w:p>
    <w:p>
      <w:pPr>
        <w:spacing w:after="0" w:line="208" w:lineRule="exact"/>
        <w:rPr>
          <w:sz w:val="20"/>
          <w:szCs w:val="20"/>
          <w:color w:val="auto"/>
        </w:rPr>
      </w:pPr>
    </w:p>
    <w:p>
      <w:pPr>
        <w:ind w:left="5260"/>
        <w:spacing w:after="0"/>
        <w:rPr>
          <w:sz w:val="20"/>
          <w:szCs w:val="20"/>
          <w:color w:val="auto"/>
        </w:rPr>
      </w:pPr>
      <w:r>
        <w:rPr>
          <w:rFonts w:ascii="Arial" w:cs="Arial" w:eastAsia="Arial" w:hAnsi="Arial"/>
          <w:sz w:val="23"/>
          <w:szCs w:val="2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10" w:name="page11"/>
    <w:bookmarkEnd w:id="10"/>
    <w:p>
      <w:pPr>
        <w:jc w:val="both"/>
        <w:ind w:left="1"/>
        <w:spacing w:after="0" w:line="249" w:lineRule="auto"/>
        <w:rPr>
          <w:sz w:val="20"/>
          <w:szCs w:val="20"/>
          <w:color w:val="auto"/>
        </w:rPr>
      </w:pPr>
      <w:r>
        <w:rPr>
          <w:rFonts w:ascii="Arial" w:cs="Arial" w:eastAsia="Arial" w:hAnsi="Arial"/>
          <w:sz w:val="22"/>
          <w:szCs w:val="22"/>
          <w:color w:val="auto"/>
        </w:rPr>
        <w:t>with the purchase and distribution of the Units by the Managers, and such other consents, approvals, authorizations, orders, registrations or qualifications that have already been obtained. A “</w:t>
      </w:r>
      <w:r>
        <w:rPr>
          <w:rFonts w:ascii="Arial" w:cs="Arial" w:eastAsia="Arial" w:hAnsi="Arial"/>
          <w:sz w:val="22"/>
          <w:szCs w:val="22"/>
          <w:u w:val="single" w:color="auto"/>
          <w:color w:val="auto"/>
        </w:rPr>
        <w:t>Debt Repayment Triggering Event</w:t>
      </w:r>
      <w:r>
        <w:rPr>
          <w:rFonts w:ascii="Arial" w:cs="Arial" w:eastAsia="Arial" w:hAnsi="Arial"/>
          <w:sz w:val="22"/>
          <w:szCs w:val="22"/>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spacing w:after="0" w:line="188" w:lineRule="exact"/>
        <w:rPr>
          <w:sz w:val="20"/>
          <w:szCs w:val="20"/>
          <w:color w:val="auto"/>
        </w:rPr>
      </w:pPr>
    </w:p>
    <w:p>
      <w:pPr>
        <w:jc w:val="both"/>
        <w:ind w:left="1" w:firstLine="683"/>
        <w:spacing w:after="0" w:line="270" w:lineRule="auto"/>
        <w:tabs>
          <w:tab w:leader="none" w:pos="1911"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Each of the Operative Agreements, the Partnership Entities Organizational Agreements and the other instruments listed on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Covered Agreements</w:t>
      </w:r>
      <w:r>
        <w:rPr>
          <w:rFonts w:ascii="Arial" w:cs="Arial" w:eastAsia="Arial" w:hAnsi="Arial"/>
          <w:sz w:val="20"/>
          <w:szCs w:val="20"/>
          <w:color w:val="auto"/>
        </w:rPr>
        <w:t xml:space="preserve">”) hereto, as applicable, has been duly authorized, executed and delivered by the Partnership Entities party thereto, and each such agreement is a valid and legally binding agreement of each such Partnership Entity, enforceable against each such party in accordance with its terms; </w:t>
      </w:r>
      <w:r>
        <w:rPr>
          <w:rFonts w:ascii="Arial" w:cs="Arial" w:eastAsia="Arial" w:hAnsi="Arial"/>
          <w:sz w:val="20"/>
          <w:szCs w:val="20"/>
          <w:i w:val="1"/>
          <w:iCs w:val="1"/>
          <w:color w:val="auto"/>
        </w:rPr>
        <w:t>provided, that</w:t>
      </w:r>
      <w:r>
        <w:rPr>
          <w:rFonts w:ascii="Arial" w:cs="Arial" w:eastAsia="Arial" w:hAnsi="Arial"/>
          <w:sz w:val="20"/>
          <w:szCs w:val="20"/>
          <w:color w:val="auto"/>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w:t>
      </w:r>
    </w:p>
    <w:p>
      <w:pPr>
        <w:spacing w:after="0" w:line="5" w:lineRule="exact"/>
        <w:rPr>
          <w:rFonts w:ascii="Arial" w:cs="Arial" w:eastAsia="Arial" w:hAnsi="Arial"/>
          <w:sz w:val="20"/>
          <w:szCs w:val="20"/>
          <w:color w:val="auto"/>
        </w:rPr>
      </w:pPr>
    </w:p>
    <w:p>
      <w:pPr>
        <w:ind w:left="1" w:hanging="1"/>
        <w:spacing w:after="0" w:line="239" w:lineRule="auto"/>
        <w:tabs>
          <w:tab w:leader="none" w:pos="366" w:val="left"/>
        </w:tabs>
        <w:numPr>
          <w:ilvl w:val="0"/>
          <w:numId w:val="10"/>
        </w:numPr>
        <w:rPr>
          <w:rFonts w:ascii="Arial" w:cs="Arial" w:eastAsia="Arial" w:hAnsi="Arial"/>
          <w:sz w:val="23"/>
          <w:szCs w:val="23"/>
          <w:color w:val="auto"/>
        </w:rPr>
      </w:pPr>
      <w:r>
        <w:rPr>
          <w:rFonts w:ascii="Arial" w:cs="Arial" w:eastAsia="Arial" w:hAnsi="Arial"/>
          <w:sz w:val="23"/>
          <w:szCs w:val="23"/>
          <w:color w:val="auto"/>
        </w:rPr>
        <w:t>public policy, applicable law relating to fiduciary duties and indemnification and an implied covenant of good faith and fair dealing;</w:t>
      </w:r>
    </w:p>
    <w:p>
      <w:pPr>
        <w:spacing w:after="0" w:line="194" w:lineRule="exact"/>
        <w:rPr>
          <w:rFonts w:ascii="Arial" w:cs="Arial" w:eastAsia="Arial" w:hAnsi="Arial"/>
          <w:sz w:val="23"/>
          <w:szCs w:val="23"/>
          <w:color w:val="auto"/>
        </w:rPr>
      </w:pPr>
    </w:p>
    <w:p>
      <w:pPr>
        <w:ind w:left="1361" w:hanging="677"/>
        <w:spacing w:after="0"/>
        <w:tabs>
          <w:tab w:leader="none" w:pos="1361" w:val="left"/>
        </w:tabs>
        <w:numPr>
          <w:ilvl w:val="1"/>
          <w:numId w:val="10"/>
        </w:numPr>
        <w:rPr>
          <w:rFonts w:ascii="Arial" w:cs="Arial" w:eastAsia="Arial" w:hAnsi="Arial"/>
          <w:sz w:val="23"/>
          <w:szCs w:val="23"/>
          <w:color w:val="auto"/>
        </w:rPr>
      </w:pPr>
      <w:r>
        <w:rPr>
          <w:rFonts w:ascii="Arial" w:cs="Arial" w:eastAsia="Arial" w:hAnsi="Arial"/>
          <w:sz w:val="23"/>
          <w:szCs w:val="23"/>
          <w:color w:val="auto"/>
        </w:rPr>
        <w:t>[Reserved].</w:t>
      </w:r>
    </w:p>
    <w:p>
      <w:pPr>
        <w:spacing w:after="0" w:line="220" w:lineRule="exact"/>
        <w:rPr>
          <w:rFonts w:ascii="Arial" w:cs="Arial" w:eastAsia="Arial" w:hAnsi="Arial"/>
          <w:sz w:val="23"/>
          <w:szCs w:val="23"/>
          <w:color w:val="auto"/>
        </w:rPr>
      </w:pPr>
    </w:p>
    <w:p>
      <w:pPr>
        <w:jc w:val="both"/>
        <w:ind w:left="1" w:firstLine="683"/>
        <w:spacing w:after="0" w:line="262" w:lineRule="auto"/>
        <w:tabs>
          <w:tab w:leader="none" w:pos="1537" w:val="left"/>
        </w:tabs>
        <w:numPr>
          <w:ilvl w:val="1"/>
          <w:numId w:val="10"/>
        </w:numPr>
        <w:rPr>
          <w:rFonts w:ascii="Arial" w:cs="Arial" w:eastAsia="Arial" w:hAnsi="Arial"/>
          <w:sz w:val="21"/>
          <w:szCs w:val="21"/>
          <w:color w:val="auto"/>
        </w:rPr>
      </w:pPr>
      <w:r>
        <w:rPr>
          <w:rFonts w:ascii="Arial" w:cs="Arial" w:eastAsia="Arial" w:hAnsi="Arial"/>
          <w:sz w:val="21"/>
          <w:szCs w:val="21"/>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172" w:lineRule="exact"/>
        <w:rPr>
          <w:rFonts w:ascii="Arial" w:cs="Arial" w:eastAsia="Arial" w:hAnsi="Arial"/>
          <w:sz w:val="21"/>
          <w:szCs w:val="21"/>
          <w:color w:val="auto"/>
        </w:rPr>
      </w:pPr>
    </w:p>
    <w:p>
      <w:pPr>
        <w:jc w:val="both"/>
        <w:ind w:left="1" w:firstLine="683"/>
        <w:spacing w:after="0" w:line="279" w:lineRule="auto"/>
        <w:tabs>
          <w:tab w:leader="none" w:pos="1965" w:val="left"/>
        </w:tabs>
        <w:numPr>
          <w:ilvl w:val="1"/>
          <w:numId w:val="10"/>
        </w:numPr>
        <w:rPr>
          <w:rFonts w:ascii="Arial" w:cs="Arial" w:eastAsia="Arial" w:hAnsi="Arial"/>
          <w:sz w:val="21"/>
          <w:szCs w:val="21"/>
          <w:color w:val="auto"/>
        </w:rPr>
      </w:pPr>
      <w:r>
        <w:rPr>
          <w:rFonts w:ascii="Arial" w:cs="Arial" w:eastAsia="Arial" w:hAnsi="Arial"/>
          <w:sz w:val="21"/>
          <w:szCs w:val="21"/>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Prospectus;</w:t>
      </w:r>
    </w:p>
    <w:p>
      <w:pPr>
        <w:spacing w:after="0" w:line="156" w:lineRule="exact"/>
        <w:rPr>
          <w:rFonts w:ascii="Arial" w:cs="Arial" w:eastAsia="Arial" w:hAnsi="Arial"/>
          <w:sz w:val="21"/>
          <w:szCs w:val="21"/>
          <w:color w:val="auto"/>
        </w:rPr>
      </w:pPr>
    </w:p>
    <w:p>
      <w:pPr>
        <w:jc w:val="both"/>
        <w:ind w:left="1" w:firstLine="683"/>
        <w:spacing w:after="0" w:line="245" w:lineRule="auto"/>
        <w:tabs>
          <w:tab w:leader="none" w:pos="1573" w:val="left"/>
        </w:tabs>
        <w:numPr>
          <w:ilvl w:val="1"/>
          <w:numId w:val="10"/>
        </w:numPr>
        <w:rPr>
          <w:rFonts w:ascii="Arial" w:cs="Arial" w:eastAsia="Arial" w:hAnsi="Arial"/>
          <w:sz w:val="23"/>
          <w:szCs w:val="23"/>
          <w:color w:val="auto"/>
        </w:rPr>
      </w:pPr>
      <w:r>
        <w:rPr>
          <w:rFonts w:ascii="Arial" w:cs="Arial" w:eastAsia="Arial" w:hAnsi="Arial"/>
          <w:sz w:val="23"/>
          <w:szCs w:val="23"/>
          <w:color w:val="auto"/>
        </w:rPr>
        <w:t>There are no contracts, agreements or understandings between the Partnership Parties and any person that would give rise to a valid claim against the Partnership or the Managers for a brokerage commission, finder’s fee or other like payment in connection with the issuance and sale of the Units;</w:t>
      </w:r>
    </w:p>
    <w:p>
      <w:pPr>
        <w:spacing w:after="0" w:line="188" w:lineRule="exact"/>
        <w:rPr>
          <w:sz w:val="20"/>
          <w:szCs w:val="20"/>
          <w:color w:val="auto"/>
        </w:rPr>
      </w:pPr>
    </w:p>
    <w:p>
      <w:pPr>
        <w:ind w:left="5261"/>
        <w:spacing w:after="0"/>
        <w:rPr>
          <w:sz w:val="20"/>
          <w:szCs w:val="20"/>
          <w:color w:val="auto"/>
        </w:rPr>
      </w:pPr>
      <w:r>
        <w:rPr>
          <w:rFonts w:ascii="Arial" w:cs="Arial" w:eastAsia="Arial" w:hAnsi="Arial"/>
          <w:sz w:val="23"/>
          <w:szCs w:val="2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80645</wp:posOffset>
            </wp:positionV>
            <wp:extent cx="7646670"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33" w:right="120" w:bottom="1440" w:gutter="0" w:footer="0" w:header="0"/>
        </w:sectPr>
      </w:pPr>
    </w:p>
    <w:bookmarkStart w:id="11" w:name="page12"/>
    <w:bookmarkEnd w:id="11"/>
    <w:p>
      <w:pPr>
        <w:jc w:val="both"/>
        <w:ind w:left="1" w:firstLine="683"/>
        <w:spacing w:after="0" w:line="238" w:lineRule="auto"/>
        <w:tabs>
          <w:tab w:leader="none" w:pos="1865" w:val="left"/>
        </w:tabs>
        <w:numPr>
          <w:ilvl w:val="0"/>
          <w:numId w:val="11"/>
        </w:numPr>
        <w:rPr>
          <w:rFonts w:ascii="Arial" w:cs="Arial" w:eastAsia="Arial" w:hAnsi="Arial"/>
          <w:sz w:val="23"/>
          <w:szCs w:val="23"/>
          <w:color w:val="auto"/>
        </w:rPr>
      </w:pPr>
      <w:r>
        <w:rPr>
          <w:rFonts w:ascii="Arial" w:cs="Arial" w:eastAsia="Arial" w:hAnsi="Arial"/>
          <w:sz w:val="23"/>
          <w:szCs w:val="23"/>
          <w:color w:val="auto"/>
        </w:rPr>
        <w:t>The statements set forth or incorporated by reference in the Prospectus under the captions “Our Cash Distribution Policy and Restrictions on Distributions”, “Description of Common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194" w:lineRule="exact"/>
        <w:rPr>
          <w:rFonts w:ascii="Arial" w:cs="Arial" w:eastAsia="Arial" w:hAnsi="Arial"/>
          <w:sz w:val="23"/>
          <w:szCs w:val="23"/>
          <w:color w:val="auto"/>
        </w:rPr>
      </w:pPr>
    </w:p>
    <w:p>
      <w:pPr>
        <w:jc w:val="both"/>
        <w:ind w:left="1" w:firstLine="683"/>
        <w:spacing w:after="0" w:line="245" w:lineRule="auto"/>
        <w:tabs>
          <w:tab w:leader="none" w:pos="1637" w:val="left"/>
        </w:tabs>
        <w:numPr>
          <w:ilvl w:val="0"/>
          <w:numId w:val="11"/>
        </w:numPr>
        <w:rPr>
          <w:rFonts w:ascii="Arial" w:cs="Arial" w:eastAsia="Arial" w:hAnsi="Arial"/>
          <w:sz w:val="23"/>
          <w:szCs w:val="23"/>
          <w:color w:val="auto"/>
        </w:rPr>
      </w:pPr>
      <w:r>
        <w:rPr>
          <w:rFonts w:ascii="Arial" w:cs="Arial" w:eastAsia="Arial" w:hAnsi="Arial"/>
          <w:sz w:val="23"/>
          <w:szCs w:val="23"/>
          <w:color w:val="auto"/>
        </w:rPr>
        <w:t>There are no business relationships or related-party transactions involving the Partnership Entities or any other person required to be described in the Registration Statement and the Prospectus which have not been described as required or through incorporation by reference therein;</w:t>
      </w:r>
    </w:p>
    <w:p>
      <w:pPr>
        <w:spacing w:after="0" w:line="188" w:lineRule="exact"/>
        <w:rPr>
          <w:rFonts w:ascii="Arial" w:cs="Arial" w:eastAsia="Arial" w:hAnsi="Arial"/>
          <w:sz w:val="23"/>
          <w:szCs w:val="23"/>
          <w:color w:val="auto"/>
        </w:rPr>
      </w:pPr>
    </w:p>
    <w:p>
      <w:pPr>
        <w:jc w:val="both"/>
        <w:ind w:left="1" w:firstLine="683"/>
        <w:spacing w:after="0" w:line="245" w:lineRule="auto"/>
        <w:tabs>
          <w:tab w:leader="none" w:pos="1552" w:val="left"/>
        </w:tabs>
        <w:numPr>
          <w:ilvl w:val="0"/>
          <w:numId w:val="11"/>
        </w:numPr>
        <w:rPr>
          <w:rFonts w:ascii="Arial" w:cs="Arial" w:eastAsia="Arial" w:hAnsi="Arial"/>
          <w:sz w:val="23"/>
          <w:szCs w:val="23"/>
          <w:color w:val="auto"/>
        </w:rPr>
      </w:pPr>
      <w:r>
        <w:rPr>
          <w:rFonts w:ascii="Arial" w:cs="Arial" w:eastAsia="Arial" w:hAnsi="Arial"/>
          <w:sz w:val="23"/>
          <w:szCs w:val="23"/>
          <w:color w:val="auto"/>
        </w:rPr>
        <w:t>Any statistical and market-related data included in the Prospectus is based on or derived from sources that the Partnership Parties reasonably believe to be reliable and accurate, and the Partnership Parties have obtained the written consent for the use of such data from such sources to the extent required;</w:t>
      </w:r>
    </w:p>
    <w:p>
      <w:pPr>
        <w:spacing w:after="0" w:line="188" w:lineRule="exact"/>
        <w:rPr>
          <w:sz w:val="20"/>
          <w:szCs w:val="20"/>
          <w:color w:val="auto"/>
        </w:rPr>
      </w:pPr>
    </w:p>
    <w:p>
      <w:pPr>
        <w:jc w:val="both"/>
        <w:ind w:left="1" w:firstLine="683"/>
        <w:spacing w:after="0" w:line="245" w:lineRule="auto"/>
        <w:tabs>
          <w:tab w:leader="none" w:pos="1825" w:val="left"/>
        </w:tabs>
        <w:numPr>
          <w:ilvl w:val="1"/>
          <w:numId w:val="12"/>
        </w:numPr>
        <w:rPr>
          <w:rFonts w:ascii="Arial" w:cs="Arial" w:eastAsia="Arial" w:hAnsi="Arial"/>
          <w:sz w:val="23"/>
          <w:szCs w:val="23"/>
          <w:color w:val="auto"/>
        </w:rPr>
      </w:pPr>
      <w:r>
        <w:rPr>
          <w:rFonts w:ascii="Arial" w:cs="Arial" w:eastAsia="Arial" w:hAnsi="Arial"/>
          <w:sz w:val="23"/>
          <w:szCs w:val="23"/>
          <w:color w:val="auto"/>
        </w:rPr>
        <w:t>No forward-looking statement (within the meaning of Section 27A of the Act and Section 21E of the Exchange Act) contained in the Prospectus has been made or reaffirmed without a reasonable basis or has been disclosed other than in good faith;</w:t>
      </w:r>
    </w:p>
    <w:p>
      <w:pPr>
        <w:spacing w:after="0" w:line="188" w:lineRule="exact"/>
        <w:rPr>
          <w:rFonts w:ascii="Arial" w:cs="Arial" w:eastAsia="Arial" w:hAnsi="Arial"/>
          <w:sz w:val="23"/>
          <w:szCs w:val="23"/>
          <w:color w:val="auto"/>
        </w:rPr>
      </w:pPr>
    </w:p>
    <w:p>
      <w:pPr>
        <w:jc w:val="both"/>
        <w:ind w:left="1" w:firstLine="683"/>
        <w:spacing w:after="0" w:line="267" w:lineRule="auto"/>
        <w:tabs>
          <w:tab w:leader="none" w:pos="1494"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68" w:lineRule="exact"/>
        <w:rPr>
          <w:rFonts w:ascii="Arial" w:cs="Arial" w:eastAsia="Arial" w:hAnsi="Arial"/>
          <w:sz w:val="21"/>
          <w:szCs w:val="21"/>
          <w:color w:val="auto"/>
        </w:rPr>
      </w:pPr>
    </w:p>
    <w:p>
      <w:pPr>
        <w:jc w:val="both"/>
        <w:ind w:left="1" w:firstLine="683"/>
        <w:spacing w:after="0" w:line="270" w:lineRule="auto"/>
        <w:tabs>
          <w:tab w:leader="none" w:pos="1668" w:val="left"/>
        </w:tabs>
        <w:numPr>
          <w:ilvl w:val="1"/>
          <w:numId w:val="12"/>
        </w:numPr>
        <w:rPr>
          <w:rFonts w:ascii="Arial" w:cs="Arial" w:eastAsia="Arial" w:hAnsi="Arial"/>
          <w:sz w:val="20"/>
          <w:szCs w:val="20"/>
          <w:color w:val="auto"/>
        </w:rPr>
      </w:pPr>
      <w:r>
        <w:rPr>
          <w:rFonts w:ascii="Arial" w:cs="Arial" w:eastAsia="Arial" w:hAnsi="Arial"/>
          <w:sz w:val="20"/>
          <w:szCs w:val="20"/>
          <w:color w:val="auto"/>
        </w:rPr>
        <w:t>Other than as set forth in the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20"/>
          <w:szCs w:val="20"/>
          <w:u w:val="single" w:color="auto"/>
          <w:color w:val="auto"/>
        </w:rPr>
        <w:t>Environmental Laws</w:t>
      </w:r>
      <w:r>
        <w:rPr>
          <w:rFonts w:ascii="Arial" w:cs="Arial" w:eastAsia="Arial" w:hAnsi="Arial"/>
          <w:sz w:val="20"/>
          <w:szCs w:val="20"/>
          <w:color w:val="auto"/>
        </w:rPr>
        <w:t>”),</w:t>
      </w:r>
    </w:p>
    <w:p>
      <w:pPr>
        <w:spacing w:after="0" w:line="5" w:lineRule="exact"/>
        <w:rPr>
          <w:rFonts w:ascii="Arial" w:cs="Arial" w:eastAsia="Arial" w:hAnsi="Arial"/>
          <w:sz w:val="20"/>
          <w:szCs w:val="20"/>
          <w:color w:val="auto"/>
        </w:rPr>
      </w:pPr>
    </w:p>
    <w:p>
      <w:pPr>
        <w:ind w:left="361" w:hanging="361"/>
        <w:spacing w:after="0"/>
        <w:tabs>
          <w:tab w:leader="none" w:pos="361"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none of the Partnership Entities owns, operates or leases any real property contaminated with Hazardous Substances,</w:t>
      </w:r>
    </w:p>
    <w:p>
      <w:pPr>
        <w:spacing w:after="0" w:line="26" w:lineRule="exact"/>
        <w:rPr>
          <w:rFonts w:ascii="Arial" w:cs="Arial" w:eastAsia="Arial" w:hAnsi="Arial"/>
          <w:sz w:val="20"/>
          <w:szCs w:val="20"/>
          <w:color w:val="auto"/>
        </w:rPr>
      </w:pPr>
    </w:p>
    <w:p>
      <w:pPr>
        <w:jc w:val="both"/>
        <w:ind w:left="1" w:hanging="1"/>
        <w:spacing w:after="0" w:line="282" w:lineRule="auto"/>
        <w:tabs>
          <w:tab w:leader="none" w:pos="405"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w:t>
      </w:r>
    </w:p>
    <w:p>
      <w:pPr>
        <w:spacing w:after="0" w:line="183" w:lineRule="exact"/>
        <w:rPr>
          <w:sz w:val="20"/>
          <w:szCs w:val="20"/>
          <w:color w:val="auto"/>
        </w:rPr>
      </w:pPr>
    </w:p>
    <w:p>
      <w:pPr>
        <w:ind w:left="5261"/>
        <w:spacing w:after="0"/>
        <w:rPr>
          <w:sz w:val="20"/>
          <w:szCs w:val="20"/>
          <w:color w:val="auto"/>
        </w:rPr>
      </w:pPr>
      <w:r>
        <w:rPr>
          <w:rFonts w:ascii="Arial" w:cs="Arial" w:eastAsia="Arial" w:hAnsi="Arial"/>
          <w:sz w:val="23"/>
          <w:szCs w:val="2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80645</wp:posOffset>
            </wp:positionV>
            <wp:extent cx="7646670" cy="3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04" w:right="120" w:bottom="1440" w:gutter="0" w:footer="0" w:header="0"/>
        </w:sectPr>
      </w:pPr>
    </w:p>
    <w:bookmarkStart w:id="12" w:name="page13"/>
    <w:bookmarkEnd w:id="12"/>
    <w:p>
      <w:pPr>
        <w:jc w:val="both"/>
        <w:spacing w:after="0" w:line="246" w:lineRule="auto"/>
        <w:rPr>
          <w:sz w:val="20"/>
          <w:szCs w:val="20"/>
          <w:color w:val="auto"/>
        </w:rPr>
      </w:pPr>
      <w:r>
        <w:rPr>
          <w:rFonts w:ascii="Arial" w:cs="Arial" w:eastAsia="Arial" w:hAnsi="Arial"/>
          <w:sz w:val="22"/>
          <w:szCs w:val="22"/>
          <w:color w:val="auto"/>
        </w:rPr>
        <w:t>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Arial" w:cs="Arial" w:eastAsia="Arial" w:hAnsi="Arial"/>
          <w:sz w:val="22"/>
          <w:szCs w:val="22"/>
          <w:u w:val="single" w:color="auto"/>
          <w:color w:val="auto"/>
        </w:rPr>
        <w:t>Hazardous Substances</w:t>
      </w:r>
      <w:r>
        <w:rPr>
          <w:rFonts w:ascii="Arial" w:cs="Arial" w:eastAsia="Arial" w:hAnsi="Arial"/>
          <w:sz w:val="22"/>
          <w:szCs w:val="22"/>
          <w:color w:val="auto"/>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97" w:lineRule="exact"/>
        <w:rPr>
          <w:sz w:val="20"/>
          <w:szCs w:val="20"/>
          <w:color w:val="auto"/>
        </w:rPr>
      </w:pPr>
    </w:p>
    <w:p>
      <w:pPr>
        <w:jc w:val="both"/>
        <w:ind w:firstLine="683"/>
        <w:spacing w:after="0" w:line="252" w:lineRule="auto"/>
        <w:tabs>
          <w:tab w:leader="none" w:pos="1421" w:val="left"/>
        </w:tabs>
        <w:numPr>
          <w:ilvl w:val="0"/>
          <w:numId w:val="14"/>
        </w:numPr>
        <w:rPr>
          <w:rFonts w:ascii="Arial" w:cs="Arial" w:eastAsia="Arial" w:hAnsi="Arial"/>
          <w:sz w:val="22"/>
          <w:szCs w:val="22"/>
          <w:color w:val="auto"/>
        </w:rPr>
      </w:pPr>
      <w:r>
        <w:rPr>
          <w:rFonts w:ascii="Arial" w:cs="Arial" w:eastAsia="Arial" w:hAnsi="Arial"/>
          <w:sz w:val="22"/>
          <w:szCs w:val="22"/>
          <w:color w:val="auto"/>
        </w:rPr>
        <w:t>Other than as set forth in the Prospectus, the Partnership Parties have reasonably concluded that none of the Partnership Entities have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83" w:lineRule="exact"/>
        <w:rPr>
          <w:rFonts w:ascii="Arial" w:cs="Arial" w:eastAsia="Arial" w:hAnsi="Arial"/>
          <w:sz w:val="22"/>
          <w:szCs w:val="22"/>
          <w:color w:val="auto"/>
        </w:rPr>
      </w:pPr>
    </w:p>
    <w:p>
      <w:pPr>
        <w:jc w:val="both"/>
        <w:ind w:firstLine="683"/>
        <w:spacing w:after="0" w:line="265" w:lineRule="auto"/>
        <w:tabs>
          <w:tab w:leader="none" w:pos="1481" w:val="left"/>
        </w:tabs>
        <w:numPr>
          <w:ilvl w:val="0"/>
          <w:numId w:val="14"/>
        </w:numPr>
        <w:rPr>
          <w:rFonts w:ascii="Arial" w:cs="Arial" w:eastAsia="Arial" w:hAnsi="Arial"/>
          <w:sz w:val="21"/>
          <w:szCs w:val="21"/>
          <w:color w:val="auto"/>
        </w:rPr>
      </w:pPr>
      <w:r>
        <w:rPr>
          <w:rFonts w:ascii="Arial" w:cs="Arial" w:eastAsia="Arial" w:hAnsi="Arial"/>
          <w:sz w:val="21"/>
          <w:szCs w:val="21"/>
          <w:color w:val="auto"/>
        </w:rPr>
        <w:t>Other than as set forth in the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68" w:lineRule="exact"/>
        <w:rPr>
          <w:rFonts w:ascii="Arial" w:cs="Arial" w:eastAsia="Arial" w:hAnsi="Arial"/>
          <w:sz w:val="21"/>
          <w:szCs w:val="21"/>
          <w:color w:val="auto"/>
        </w:rPr>
      </w:pPr>
    </w:p>
    <w:p>
      <w:pPr>
        <w:jc w:val="both"/>
        <w:ind w:firstLine="683"/>
        <w:spacing w:after="0" w:line="280" w:lineRule="auto"/>
        <w:tabs>
          <w:tab w:leader="none" w:pos="1369"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13" w:name="page14"/>
    <w:bookmarkEnd w:id="13"/>
    <w:p>
      <w:pPr>
        <w:ind w:left="-640" w:firstLine="683"/>
        <w:spacing w:after="0" w:line="257" w:lineRule="auto"/>
        <w:tabs>
          <w:tab w:leader="none" w:pos="738" w:val="left"/>
        </w:tabs>
        <w:numPr>
          <w:ilvl w:val="0"/>
          <w:numId w:val="15"/>
        </w:numPr>
        <w:rPr>
          <w:rFonts w:ascii="Arial" w:cs="Arial" w:eastAsia="Arial" w:hAnsi="Arial"/>
          <w:sz w:val="23"/>
          <w:szCs w:val="23"/>
          <w:color w:val="auto"/>
        </w:rPr>
      </w:pPr>
      <w:r>
        <w:rPr>
          <w:rFonts w:ascii="Arial" w:cs="Arial" w:eastAsia="Arial" w:hAnsi="Arial"/>
          <w:sz w:val="23"/>
          <w:szCs w:val="23"/>
          <w:color w:val="auto"/>
        </w:rPr>
        <w:t>No material labor dispute, work stoppage, slow down or other conflict with the employees of the Partnership Parties exists or, to the Partnership Parties’ knowledge, is threatened or contemplated;</w:t>
      </w:r>
    </w:p>
    <w:p>
      <w:pPr>
        <w:spacing w:after="0" w:line="175" w:lineRule="exact"/>
        <w:rPr>
          <w:rFonts w:ascii="Arial" w:cs="Arial" w:eastAsia="Arial" w:hAnsi="Arial"/>
          <w:sz w:val="23"/>
          <w:szCs w:val="23"/>
          <w:color w:val="auto"/>
        </w:rPr>
      </w:pPr>
    </w:p>
    <w:p>
      <w:pPr>
        <w:jc w:val="both"/>
        <w:ind w:left="-640" w:firstLine="683"/>
        <w:spacing w:after="0" w:line="250" w:lineRule="auto"/>
        <w:tabs>
          <w:tab w:leader="none" w:pos="1166"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rFonts w:ascii="Arial" w:cs="Arial" w:eastAsia="Arial" w:hAnsi="Arial"/>
          <w:sz w:val="22"/>
          <w:szCs w:val="22"/>
          <w:color w:val="auto"/>
        </w:rPr>
      </w:pPr>
    </w:p>
    <w:p>
      <w:pPr>
        <w:ind w:left="-640" w:firstLine="683"/>
        <w:spacing w:after="0" w:line="257" w:lineRule="auto"/>
        <w:tabs>
          <w:tab w:leader="none" w:pos="1350" w:val="left"/>
        </w:tabs>
        <w:numPr>
          <w:ilvl w:val="0"/>
          <w:numId w:val="15"/>
        </w:numPr>
        <w:rPr>
          <w:rFonts w:ascii="Arial" w:cs="Arial" w:eastAsia="Arial" w:hAnsi="Arial"/>
          <w:sz w:val="23"/>
          <w:szCs w:val="23"/>
          <w:color w:val="auto"/>
        </w:rPr>
      </w:pPr>
      <w:r>
        <w:rPr>
          <w:rFonts w:ascii="Arial" w:cs="Arial" w:eastAsia="Arial" w:hAnsi="Arial"/>
          <w:sz w:val="23"/>
          <w:szCs w:val="23"/>
          <w:color w:val="auto"/>
        </w:rPr>
        <w:t>None of the Partnership Entities has any off-balance sheet arrangements, except as described in the Registration Statement and the Prospectus;</w:t>
      </w:r>
    </w:p>
    <w:p>
      <w:pPr>
        <w:spacing w:after="0" w:line="175" w:lineRule="exact"/>
        <w:rPr>
          <w:rFonts w:ascii="Arial" w:cs="Arial" w:eastAsia="Arial" w:hAnsi="Arial"/>
          <w:sz w:val="23"/>
          <w:szCs w:val="23"/>
          <w:color w:val="auto"/>
        </w:rPr>
      </w:pPr>
    </w:p>
    <w:p>
      <w:pPr>
        <w:jc w:val="both"/>
        <w:ind w:left="-640" w:firstLine="683"/>
        <w:spacing w:after="0" w:line="272" w:lineRule="auto"/>
        <w:tabs>
          <w:tab w:leader="none" w:pos="1222"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(collectively, “</w:t>
      </w:r>
      <w:r>
        <w:rPr>
          <w:rFonts w:ascii="Arial" w:cs="Arial" w:eastAsia="Arial" w:hAnsi="Arial"/>
          <w:sz w:val="20"/>
          <w:szCs w:val="20"/>
          <w:u w:val="single" w:color="auto"/>
          <w:color w:val="auto"/>
        </w:rPr>
        <w:t>Sanctions</w:t>
      </w:r>
      <w:r>
        <w:rPr>
          <w:rFonts w:ascii="Arial" w:cs="Arial" w:eastAsia="Arial" w:hAnsi="Arial"/>
          <w:sz w:val="20"/>
          <w:szCs w:val="20"/>
          <w:color w:val="auto"/>
        </w:rPr>
        <w:t>”); or (ii) knowingly supports or facilitates any such business or project, in each case other than as permitted under such Sanctions; (B) none of the Partnership Parties is controlled (within the meaning of the Executive Orders or regulations promulgating such Sanctions or the laws authorizing such promulgation) by any such government or person; (C) the proceeds from the offering of the Units contemplated hereby will not be used to fund any operations in, to finance any investments, projects or activities in, or to make any payments to, any country, or to make any payments to, or finance any activities with, any person targeted by any of such Sanctions; and (D) the Partnership Parties maintain and have implemented adequate internal controls and procedures to monitor and audit transactions that are reasonably designed to detect and prevent any use of the proceeds from the offering of the Units contemplated hereby that is inconsistent with any of the representations and obligations under clause (C) of this paragraph or in the Registration Statement or Prospectus;</w:t>
      </w:r>
    </w:p>
    <w:p>
      <w:pPr>
        <w:spacing w:after="0" w:line="172" w:lineRule="exact"/>
        <w:rPr>
          <w:rFonts w:ascii="Arial" w:cs="Arial" w:eastAsia="Arial" w:hAnsi="Arial"/>
          <w:sz w:val="20"/>
          <w:szCs w:val="20"/>
          <w:color w:val="auto"/>
        </w:rPr>
      </w:pPr>
    </w:p>
    <w:p>
      <w:pPr>
        <w:jc w:val="both"/>
        <w:ind w:left="-640" w:firstLine="683"/>
        <w:spacing w:after="0" w:line="237" w:lineRule="auto"/>
        <w:tabs>
          <w:tab w:leader="none" w:pos="838" w:val="left"/>
        </w:tabs>
        <w:numPr>
          <w:ilvl w:val="0"/>
          <w:numId w:val="15"/>
        </w:numPr>
        <w:rPr>
          <w:rFonts w:ascii="Arial" w:cs="Arial" w:eastAsia="Arial" w:hAnsi="Arial"/>
          <w:sz w:val="23"/>
          <w:szCs w:val="23"/>
          <w:color w:val="auto"/>
        </w:rPr>
      </w:pPr>
      <w:r>
        <w:rPr>
          <w:rFonts w:ascii="Arial" w:cs="Arial" w:eastAsia="Arial" w:hAnsi="Arial"/>
          <w:sz w:val="23"/>
          <w:szCs w:val="23"/>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23"/>
          <w:szCs w:val="2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80645</wp:posOffset>
            </wp:positionV>
            <wp:extent cx="764667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440" w:top="204" w:right="120"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21"/>
          <w:szCs w:val="21"/>
          <w:color w:val="auto"/>
        </w:rPr>
        <w:t>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64" w:lineRule="exact"/>
        <w:rPr>
          <w:sz w:val="20"/>
          <w:szCs w:val="20"/>
          <w:color w:val="auto"/>
        </w:rPr>
      </w:pPr>
    </w:p>
    <w:p>
      <w:pPr>
        <w:jc w:val="both"/>
        <w:ind w:firstLine="683"/>
        <w:spacing w:after="0" w:line="261" w:lineRule="auto"/>
        <w:tabs>
          <w:tab w:leader="none" w:pos="1762"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21"/>
          <w:szCs w:val="21"/>
          <w:u w:val="single" w:color="auto"/>
          <w:color w:val="auto"/>
        </w:rPr>
        <w:t>Money Laundering Laws</w:t>
      </w:r>
      <w:r>
        <w:rPr>
          <w:rFonts w:ascii="Arial" w:cs="Arial" w:eastAsia="Arial" w:hAnsi="Arial"/>
          <w:sz w:val="21"/>
          <w:szCs w:val="21"/>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174" w:lineRule="exact"/>
        <w:rPr>
          <w:rFonts w:ascii="Arial" w:cs="Arial" w:eastAsia="Arial" w:hAnsi="Arial"/>
          <w:sz w:val="21"/>
          <w:szCs w:val="21"/>
          <w:color w:val="auto"/>
        </w:rPr>
      </w:pPr>
    </w:p>
    <w:p>
      <w:pPr>
        <w:jc w:val="both"/>
        <w:ind w:firstLine="683"/>
        <w:spacing w:after="0" w:line="239" w:lineRule="auto"/>
        <w:tabs>
          <w:tab w:leader="none" w:pos="1819" w:val="left"/>
        </w:tabs>
        <w:numPr>
          <w:ilvl w:val="0"/>
          <w:numId w:val="16"/>
        </w:numPr>
        <w:rPr>
          <w:rFonts w:ascii="Arial" w:cs="Arial" w:eastAsia="Arial" w:hAnsi="Arial"/>
          <w:sz w:val="23"/>
          <w:szCs w:val="23"/>
          <w:color w:val="auto"/>
        </w:rPr>
      </w:pPr>
      <w:r>
        <w:rPr>
          <w:rFonts w:ascii="Arial" w:cs="Arial" w:eastAsia="Arial" w:hAnsi="Arial"/>
          <w:sz w:val="23"/>
          <w:szCs w:val="23"/>
          <w:color w:val="auto"/>
        </w:rPr>
        <w:t>As of the effective date of the Registration Statement, the Partnership and, to the knowledge of the Partnership Parties, the officers and directors of the Partnership, in their capacities as such, were, and at the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194" w:lineRule="exact"/>
        <w:rPr>
          <w:rFonts w:ascii="Arial" w:cs="Arial" w:eastAsia="Arial" w:hAnsi="Arial"/>
          <w:sz w:val="23"/>
          <w:szCs w:val="23"/>
          <w:color w:val="auto"/>
        </w:rPr>
      </w:pPr>
    </w:p>
    <w:p>
      <w:pPr>
        <w:ind w:left="1380" w:hanging="697"/>
        <w:spacing w:after="0"/>
        <w:tabs>
          <w:tab w:leader="none" w:pos="13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There are no restrictions on subsequent transfers of the Units under the laws of the Republic of The Marshall</w:t>
      </w:r>
    </w:p>
    <w:p>
      <w:pPr>
        <w:spacing w:after="0" w:line="4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3"/>
          <w:szCs w:val="23"/>
          <w:color w:val="auto"/>
        </w:rPr>
        <w:t>Islands;</w:t>
      </w:r>
    </w:p>
    <w:p>
      <w:pPr>
        <w:spacing w:after="0" w:line="200" w:lineRule="exact"/>
        <w:rPr>
          <w:rFonts w:ascii="Arial" w:cs="Arial" w:eastAsia="Arial" w:hAnsi="Arial"/>
          <w:sz w:val="20"/>
          <w:szCs w:val="20"/>
          <w:color w:val="auto"/>
        </w:rPr>
      </w:pPr>
    </w:p>
    <w:p>
      <w:pPr>
        <w:jc w:val="both"/>
        <w:ind w:firstLine="683"/>
        <w:spacing w:after="0" w:line="271" w:lineRule="auto"/>
        <w:tabs>
          <w:tab w:leader="none" w:pos="1664" w:val="left"/>
        </w:tabs>
        <w:numPr>
          <w:ilvl w:val="0"/>
          <w:numId w:val="16"/>
        </w:numPr>
        <w:rPr>
          <w:rFonts w:ascii="Arial" w:cs="Arial" w:eastAsia="Arial" w:hAnsi="Arial"/>
          <w:sz w:val="21"/>
          <w:szCs w:val="21"/>
          <w:color w:val="auto"/>
        </w:rPr>
      </w:pPr>
      <w:r>
        <w:rPr>
          <w:rFonts w:ascii="Arial" w:cs="Arial" w:eastAsia="Arial" w:hAnsi="Arial"/>
          <w:sz w:val="21"/>
          <w:szCs w:val="21"/>
          <w:color w:val="auto"/>
        </w:rPr>
        <w:t>Except as disclosed in the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164" w:lineRule="exact"/>
        <w:rPr>
          <w:rFonts w:ascii="Arial" w:cs="Arial" w:eastAsia="Arial" w:hAnsi="Arial"/>
          <w:sz w:val="21"/>
          <w:szCs w:val="21"/>
          <w:color w:val="auto"/>
        </w:rPr>
      </w:pPr>
    </w:p>
    <w:p>
      <w:pPr>
        <w:ind w:firstLine="683"/>
        <w:spacing w:after="0" w:line="257" w:lineRule="auto"/>
        <w:tabs>
          <w:tab w:leader="none" w:pos="1621" w:val="left"/>
        </w:tabs>
        <w:numPr>
          <w:ilvl w:val="0"/>
          <w:numId w:val="16"/>
        </w:numPr>
        <w:rPr>
          <w:rFonts w:ascii="Arial" w:cs="Arial" w:eastAsia="Arial" w:hAnsi="Arial"/>
          <w:sz w:val="23"/>
          <w:szCs w:val="23"/>
          <w:color w:val="auto"/>
        </w:rPr>
      </w:pPr>
      <w:r>
        <w:rPr>
          <w:rFonts w:ascii="Arial" w:cs="Arial" w:eastAsia="Arial" w:hAnsi="Arial"/>
          <w:sz w:val="23"/>
          <w:szCs w:val="23"/>
          <w:color w:val="auto"/>
        </w:rPr>
        <w:t>The Common Units are listed on the New York Stock Exchange (the “</w:t>
      </w:r>
      <w:r>
        <w:rPr>
          <w:rFonts w:ascii="Arial" w:cs="Arial" w:eastAsia="Arial" w:hAnsi="Arial"/>
          <w:sz w:val="23"/>
          <w:szCs w:val="23"/>
          <w:u w:val="single" w:color="auto"/>
          <w:color w:val="auto"/>
        </w:rPr>
        <w:t>NYSE</w:t>
      </w:r>
      <w:r>
        <w:rPr>
          <w:rFonts w:ascii="Arial" w:cs="Arial" w:eastAsia="Arial" w:hAnsi="Arial"/>
          <w:sz w:val="23"/>
          <w:szCs w:val="23"/>
          <w:color w:val="auto"/>
        </w:rPr>
        <w:t>”), and the Units have been authorized for listing on the NYSE, subject to official notice of issuance;</w:t>
      </w:r>
    </w:p>
    <w:p>
      <w:pPr>
        <w:spacing w:after="0" w:line="175" w:lineRule="exact"/>
        <w:rPr>
          <w:rFonts w:ascii="Arial" w:cs="Arial" w:eastAsia="Arial" w:hAnsi="Arial"/>
          <w:sz w:val="23"/>
          <w:szCs w:val="23"/>
          <w:color w:val="auto"/>
        </w:rPr>
      </w:pPr>
    </w:p>
    <w:p>
      <w:pPr>
        <w:jc w:val="both"/>
        <w:ind w:firstLine="683"/>
        <w:spacing w:after="0" w:line="245" w:lineRule="auto"/>
        <w:tabs>
          <w:tab w:leader="none" w:pos="1435" w:val="left"/>
        </w:tabs>
        <w:numPr>
          <w:ilvl w:val="0"/>
          <w:numId w:val="16"/>
        </w:numPr>
        <w:rPr>
          <w:rFonts w:ascii="Arial" w:cs="Arial" w:eastAsia="Arial" w:hAnsi="Arial"/>
          <w:sz w:val="23"/>
          <w:szCs w:val="23"/>
          <w:color w:val="auto"/>
        </w:rPr>
      </w:pPr>
      <w:r>
        <w:rPr>
          <w:rFonts w:ascii="Arial" w:cs="Arial" w:eastAsia="Arial" w:hAnsi="Arial"/>
          <w:sz w:val="23"/>
          <w:szCs w:val="23"/>
          <w:color w:val="auto"/>
        </w:rPr>
        <w:t>The Partnership Parties have taken all necessary actions to comply with all applicable corporate governance requirements of the NYSE that are, or will be, applicable to the Partnership, except for such requirements that have been waived and disclosed in the Prospectus;</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15" w:name="page16"/>
    <w:bookmarkEnd w:id="15"/>
    <w:p>
      <w:pPr>
        <w:jc w:val="both"/>
        <w:ind w:left="-640" w:firstLine="683"/>
        <w:spacing w:after="0" w:line="245" w:lineRule="auto"/>
        <w:tabs>
          <w:tab w:leader="none" w:pos="791" w:val="left"/>
        </w:tabs>
        <w:numPr>
          <w:ilvl w:val="0"/>
          <w:numId w:val="17"/>
        </w:numPr>
        <w:rPr>
          <w:rFonts w:ascii="Arial" w:cs="Arial" w:eastAsia="Arial" w:hAnsi="Arial"/>
          <w:sz w:val="23"/>
          <w:szCs w:val="23"/>
          <w:color w:val="auto"/>
        </w:rPr>
      </w:pPr>
      <w:r>
        <w:rPr>
          <w:rFonts w:ascii="Arial" w:cs="Arial" w:eastAsia="Arial" w:hAnsi="Arial"/>
          <w:sz w:val="23"/>
          <w:szCs w:val="23"/>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Units;</w:t>
      </w:r>
    </w:p>
    <w:p>
      <w:pPr>
        <w:spacing w:after="0" w:line="188" w:lineRule="exact"/>
        <w:rPr>
          <w:rFonts w:ascii="Arial" w:cs="Arial" w:eastAsia="Arial" w:hAnsi="Arial"/>
          <w:sz w:val="23"/>
          <w:szCs w:val="23"/>
          <w:color w:val="auto"/>
        </w:rPr>
      </w:pPr>
    </w:p>
    <w:p>
      <w:pPr>
        <w:jc w:val="both"/>
        <w:ind w:left="-640" w:firstLine="683"/>
        <w:spacing w:after="0" w:line="255" w:lineRule="auto"/>
        <w:tabs>
          <w:tab w:leader="none" w:pos="7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179" w:lineRule="exact"/>
        <w:rPr>
          <w:rFonts w:ascii="Arial" w:cs="Arial" w:eastAsia="Arial" w:hAnsi="Arial"/>
          <w:sz w:val="22"/>
          <w:szCs w:val="22"/>
          <w:color w:val="auto"/>
        </w:rPr>
      </w:pPr>
    </w:p>
    <w:p>
      <w:pPr>
        <w:jc w:val="both"/>
        <w:ind w:left="-640" w:firstLine="683"/>
        <w:spacing w:after="0" w:line="245" w:lineRule="auto"/>
        <w:tabs>
          <w:tab w:leader="none" w:pos="808" w:val="left"/>
        </w:tabs>
        <w:numPr>
          <w:ilvl w:val="0"/>
          <w:numId w:val="17"/>
        </w:numPr>
        <w:rPr>
          <w:rFonts w:ascii="Arial" w:cs="Arial" w:eastAsia="Arial" w:hAnsi="Arial"/>
          <w:sz w:val="23"/>
          <w:szCs w:val="23"/>
          <w:color w:val="auto"/>
        </w:rPr>
      </w:pPr>
      <w:r>
        <w:rPr>
          <w:rFonts w:ascii="Arial" w:cs="Arial" w:eastAsia="Arial" w:hAnsi="Arial"/>
          <w:sz w:val="23"/>
          <w:szCs w:val="23"/>
          <w:color w:val="auto"/>
        </w:rPr>
        <w:t>The Partnership is not and, after giving effect to the offering and sale of the Units and the application of the proceeds thereof, will not be required to register as an “investment company”, as such term is defined in the Investment Company Act of 1940, as amended (“</w:t>
      </w:r>
      <w:r>
        <w:rPr>
          <w:rFonts w:ascii="Arial" w:cs="Arial" w:eastAsia="Arial" w:hAnsi="Arial"/>
          <w:sz w:val="23"/>
          <w:szCs w:val="23"/>
          <w:u w:val="single" w:color="auto"/>
          <w:color w:val="auto"/>
        </w:rPr>
        <w:t>1940 Act</w:t>
      </w:r>
      <w:r>
        <w:rPr>
          <w:rFonts w:ascii="Arial" w:cs="Arial" w:eastAsia="Arial" w:hAnsi="Arial"/>
          <w:sz w:val="23"/>
          <w:szCs w:val="23"/>
          <w:color w:val="auto"/>
        </w:rPr>
        <w:t>”);</w:t>
      </w:r>
    </w:p>
    <w:p>
      <w:pPr>
        <w:spacing w:after="0" w:line="188" w:lineRule="exact"/>
        <w:rPr>
          <w:rFonts w:ascii="Arial" w:cs="Arial" w:eastAsia="Arial" w:hAnsi="Arial"/>
          <w:sz w:val="23"/>
          <w:szCs w:val="23"/>
          <w:color w:val="auto"/>
        </w:rPr>
      </w:pPr>
    </w:p>
    <w:p>
      <w:pPr>
        <w:ind w:left="-640" w:firstLine="683"/>
        <w:spacing w:after="0" w:line="257" w:lineRule="auto"/>
        <w:tabs>
          <w:tab w:leader="none" w:pos="767" w:val="left"/>
        </w:tabs>
        <w:numPr>
          <w:ilvl w:val="0"/>
          <w:numId w:val="17"/>
        </w:numPr>
        <w:rPr>
          <w:rFonts w:ascii="Arial" w:cs="Arial" w:eastAsia="Arial" w:hAnsi="Arial"/>
          <w:sz w:val="23"/>
          <w:szCs w:val="23"/>
          <w:color w:val="auto"/>
        </w:rPr>
      </w:pPr>
      <w:r>
        <w:rPr>
          <w:rFonts w:ascii="Arial" w:cs="Arial" w:eastAsia="Arial" w:hAnsi="Arial"/>
          <w:sz w:val="23"/>
          <w:szCs w:val="23"/>
          <w:color w:val="auto"/>
        </w:rPr>
        <w:t>At the time of filing the Registration Statement and as of each Applicable Time, the Partnership was not and is not an “ineligible issuer”, as defined under Rule 405 under the Act;</w:t>
      </w:r>
    </w:p>
    <w:p>
      <w:pPr>
        <w:spacing w:after="0" w:line="175" w:lineRule="exact"/>
        <w:rPr>
          <w:rFonts w:ascii="Arial" w:cs="Arial" w:eastAsia="Arial" w:hAnsi="Arial"/>
          <w:sz w:val="23"/>
          <w:szCs w:val="23"/>
          <w:color w:val="auto"/>
        </w:rPr>
      </w:pPr>
    </w:p>
    <w:p>
      <w:pPr>
        <w:jc w:val="both"/>
        <w:ind w:left="-640" w:firstLine="683"/>
        <w:spacing w:after="0" w:line="245" w:lineRule="auto"/>
        <w:tabs>
          <w:tab w:leader="none" w:pos="867" w:val="left"/>
        </w:tabs>
        <w:numPr>
          <w:ilvl w:val="0"/>
          <w:numId w:val="17"/>
        </w:numPr>
        <w:rPr>
          <w:rFonts w:ascii="Arial" w:cs="Arial" w:eastAsia="Arial" w:hAnsi="Arial"/>
          <w:sz w:val="23"/>
          <w:szCs w:val="23"/>
          <w:color w:val="auto"/>
        </w:rPr>
      </w:pPr>
      <w:r>
        <w:rPr>
          <w:rFonts w:ascii="Arial" w:cs="Arial" w:eastAsia="Arial" w:hAnsi="Arial"/>
          <w:sz w:val="23"/>
          <w:szCs w:val="23"/>
          <w:color w:val="auto"/>
        </w:rPr>
        <w:t>As described in the Registration Statement and subject to the limitations and restrictions described therein, the Partnership Parties believe that the Partnership should not be a “passive foreign investment company” (“</w:t>
      </w:r>
      <w:r>
        <w:rPr>
          <w:rFonts w:ascii="Arial" w:cs="Arial" w:eastAsia="Arial" w:hAnsi="Arial"/>
          <w:sz w:val="23"/>
          <w:szCs w:val="23"/>
          <w:u w:val="single" w:color="auto"/>
          <w:color w:val="auto"/>
        </w:rPr>
        <w:t>PFIC</w:t>
      </w:r>
      <w:r>
        <w:rPr>
          <w:rFonts w:ascii="Arial" w:cs="Arial" w:eastAsia="Arial" w:hAnsi="Arial"/>
          <w:sz w:val="23"/>
          <w:szCs w:val="23"/>
          <w:color w:val="auto"/>
        </w:rPr>
        <w:t>”) as defined in the Internal Revenue Code of 1986, as amended (the “</w:t>
      </w:r>
      <w:r>
        <w:rPr>
          <w:rFonts w:ascii="Arial" w:cs="Arial" w:eastAsia="Arial" w:hAnsi="Arial"/>
          <w:sz w:val="23"/>
          <w:szCs w:val="23"/>
          <w:u w:val="single" w:color="auto"/>
          <w:color w:val="auto"/>
        </w:rPr>
        <w:t>Code</w:t>
      </w:r>
      <w:r>
        <w:rPr>
          <w:rFonts w:ascii="Arial" w:cs="Arial" w:eastAsia="Arial" w:hAnsi="Arial"/>
          <w:sz w:val="23"/>
          <w:szCs w:val="23"/>
          <w:color w:val="auto"/>
        </w:rPr>
        <w:t>”);</w:t>
      </w:r>
    </w:p>
    <w:p>
      <w:pPr>
        <w:spacing w:after="0" w:line="188" w:lineRule="exact"/>
        <w:rPr>
          <w:rFonts w:ascii="Arial" w:cs="Arial" w:eastAsia="Arial" w:hAnsi="Arial"/>
          <w:sz w:val="23"/>
          <w:szCs w:val="23"/>
          <w:color w:val="auto"/>
        </w:rPr>
      </w:pPr>
    </w:p>
    <w:p>
      <w:pPr>
        <w:ind w:left="720" w:hanging="677"/>
        <w:spacing w:after="0"/>
        <w:tabs>
          <w:tab w:leader="none" w:pos="720" w:val="left"/>
        </w:tabs>
        <w:numPr>
          <w:ilvl w:val="0"/>
          <w:numId w:val="17"/>
        </w:numPr>
        <w:rPr>
          <w:rFonts w:ascii="Arial" w:cs="Arial" w:eastAsia="Arial" w:hAnsi="Arial"/>
          <w:sz w:val="23"/>
          <w:szCs w:val="23"/>
          <w:color w:val="auto"/>
        </w:rPr>
      </w:pPr>
      <w:r>
        <w:rPr>
          <w:rFonts w:ascii="Arial" w:cs="Arial" w:eastAsia="Arial" w:hAnsi="Arial"/>
          <w:sz w:val="23"/>
          <w:szCs w:val="23"/>
          <w:color w:val="auto"/>
        </w:rPr>
        <w:t>The Partnership is a “foreign private issuer” as defined in Rule 405 under the Act;</w:t>
      </w:r>
    </w:p>
    <w:p>
      <w:pPr>
        <w:spacing w:after="0" w:line="220" w:lineRule="exact"/>
        <w:rPr>
          <w:rFonts w:ascii="Arial" w:cs="Arial" w:eastAsia="Arial" w:hAnsi="Arial"/>
          <w:sz w:val="23"/>
          <w:szCs w:val="23"/>
          <w:color w:val="auto"/>
        </w:rPr>
      </w:pPr>
    </w:p>
    <w:p>
      <w:pPr>
        <w:jc w:val="both"/>
        <w:ind w:left="-640" w:firstLine="683"/>
        <w:spacing w:after="0" w:line="238" w:lineRule="auto"/>
        <w:tabs>
          <w:tab w:leader="none" w:pos="895" w:val="left"/>
        </w:tabs>
        <w:numPr>
          <w:ilvl w:val="0"/>
          <w:numId w:val="17"/>
        </w:numPr>
        <w:rPr>
          <w:rFonts w:ascii="Arial" w:cs="Arial" w:eastAsia="Arial" w:hAnsi="Arial"/>
          <w:sz w:val="23"/>
          <w:szCs w:val="23"/>
          <w:color w:val="auto"/>
        </w:rPr>
      </w:pPr>
      <w:r>
        <w:rPr>
          <w:rFonts w:ascii="Arial" w:cs="Arial" w:eastAsia="Arial" w:hAnsi="Arial"/>
          <w:sz w:val="23"/>
          <w:szCs w:val="23"/>
          <w:color w:val="auto"/>
        </w:rPr>
        <w:t>Except as described in the Prospectus, there are no affiliations or associations between any member of the Financial Industry Regulatory Authority (“</w:t>
      </w:r>
      <w:r>
        <w:rPr>
          <w:rFonts w:ascii="Arial" w:cs="Arial" w:eastAsia="Arial" w:hAnsi="Arial"/>
          <w:sz w:val="23"/>
          <w:szCs w:val="23"/>
          <w:u w:val="single" w:color="auto"/>
          <w:color w:val="auto"/>
        </w:rPr>
        <w:t>FINRA</w:t>
      </w:r>
      <w:r>
        <w:rPr>
          <w:rFonts w:ascii="Arial" w:cs="Arial" w:eastAsia="Arial" w:hAnsi="Arial"/>
          <w:sz w:val="23"/>
          <w:szCs w:val="23"/>
          <w:color w:val="auto"/>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194" w:lineRule="exact"/>
        <w:rPr>
          <w:rFonts w:ascii="Arial" w:cs="Arial" w:eastAsia="Arial" w:hAnsi="Arial"/>
          <w:sz w:val="23"/>
          <w:szCs w:val="23"/>
          <w:color w:val="auto"/>
        </w:rPr>
      </w:pPr>
    </w:p>
    <w:p>
      <w:pPr>
        <w:jc w:val="both"/>
        <w:ind w:left="-640" w:right="300" w:firstLine="683"/>
        <w:spacing w:after="0" w:line="261" w:lineRule="auto"/>
        <w:tabs>
          <w:tab w:leader="none" w:pos="738"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Deloitte LLP, who have certified certain financial statements included or incorporated by reference in the Registration Statement and the Prospectus, are independent public accountants with respect to the Partnership Entities as required by the Act and the rules and regulations of the Commission thereunder;</w:t>
      </w:r>
    </w:p>
    <w:p>
      <w:pPr>
        <w:spacing w:after="0" w:line="172" w:lineRule="exact"/>
        <w:rPr>
          <w:rFonts w:ascii="Arial" w:cs="Arial" w:eastAsia="Arial" w:hAnsi="Arial"/>
          <w:sz w:val="22"/>
          <w:szCs w:val="22"/>
          <w:color w:val="auto"/>
        </w:rPr>
      </w:pPr>
    </w:p>
    <w:p>
      <w:pPr>
        <w:jc w:val="both"/>
        <w:ind w:left="-640" w:firstLine="683"/>
        <w:spacing w:after="0" w:line="279" w:lineRule="auto"/>
        <w:tabs>
          <w:tab w:leader="none" w:pos="927"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w:t>
      </w:r>
    </w:p>
    <w:p>
      <w:pPr>
        <w:spacing w:after="0" w:line="185" w:lineRule="exact"/>
        <w:rPr>
          <w:sz w:val="20"/>
          <w:szCs w:val="20"/>
          <w:color w:val="auto"/>
        </w:rPr>
      </w:pPr>
    </w:p>
    <w:p>
      <w:pPr>
        <w:ind w:left="4560"/>
        <w:spacing w:after="0"/>
        <w:rPr>
          <w:sz w:val="20"/>
          <w:szCs w:val="20"/>
          <w:color w:val="auto"/>
        </w:rPr>
      </w:pPr>
      <w:r>
        <w:rPr>
          <w:rFonts w:ascii="Arial" w:cs="Arial" w:eastAsia="Arial" w:hAnsi="Arial"/>
          <w:sz w:val="23"/>
          <w:szCs w:val="2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80645</wp:posOffset>
            </wp:positionV>
            <wp:extent cx="7646670"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440" w:top="204" w:right="120" w:bottom="1440" w:gutter="0" w:footer="0" w:header="0"/>
        </w:sectPr>
      </w:pPr>
    </w:p>
    <w:bookmarkStart w:id="16" w:name="page17"/>
    <w:bookmarkEnd w:id="16"/>
    <w:p>
      <w:pPr>
        <w:jc w:val="both"/>
        <w:spacing w:after="0" w:line="241" w:lineRule="auto"/>
        <w:rPr>
          <w:sz w:val="20"/>
          <w:szCs w:val="20"/>
          <w:color w:val="auto"/>
        </w:rPr>
      </w:pPr>
      <w:r>
        <w:rPr>
          <w:rFonts w:ascii="Arial" w:cs="Arial" w:eastAsia="Arial" w:hAnsi="Arial"/>
          <w:sz w:val="23"/>
          <w:szCs w:val="23"/>
          <w:color w:val="auto"/>
        </w:rPr>
        <w:t>financial reporting standards as adopted by the International Accounting Standards Board (“</w:t>
      </w:r>
      <w:r>
        <w:rPr>
          <w:rFonts w:ascii="Arial" w:cs="Arial" w:eastAsia="Arial" w:hAnsi="Arial"/>
          <w:sz w:val="23"/>
          <w:szCs w:val="23"/>
          <w:u w:val="single" w:color="auto"/>
          <w:color w:val="auto"/>
        </w:rPr>
        <w:t>IFRS</w:t>
      </w:r>
      <w:r>
        <w:rPr>
          <w:rFonts w:ascii="Arial" w:cs="Arial" w:eastAsia="Arial" w:hAnsi="Arial"/>
          <w:sz w:val="23"/>
          <w:szCs w:val="23"/>
          <w:color w:val="auto"/>
        </w:rPr>
        <w:t>”) and such system will comply in all material respects with the requirements of the Exchange Act when so required. Except as set forth in the Prospectus, the Partnership’s internal control over financial reporting is effective, and the Partnership is not aware of any material weaknesses in its internal control over financial reporting;</w:t>
      </w:r>
    </w:p>
    <w:p>
      <w:pPr>
        <w:spacing w:after="0" w:line="193" w:lineRule="exact"/>
        <w:rPr>
          <w:sz w:val="20"/>
          <w:szCs w:val="20"/>
          <w:color w:val="auto"/>
        </w:rPr>
      </w:pPr>
    </w:p>
    <w:p>
      <w:pPr>
        <w:jc w:val="both"/>
        <w:ind w:firstLine="683"/>
        <w:spacing w:after="0" w:line="241" w:lineRule="auto"/>
        <w:tabs>
          <w:tab w:leader="none" w:pos="1839" w:val="left"/>
        </w:tabs>
        <w:numPr>
          <w:ilvl w:val="0"/>
          <w:numId w:val="18"/>
        </w:numPr>
        <w:rPr>
          <w:rFonts w:ascii="Arial" w:cs="Arial" w:eastAsia="Arial" w:hAnsi="Arial"/>
          <w:sz w:val="23"/>
          <w:szCs w:val="23"/>
          <w:color w:val="auto"/>
        </w:rPr>
      </w:pPr>
      <w:r>
        <w:rPr>
          <w:rFonts w:ascii="Arial" w:cs="Arial" w:eastAsia="Arial" w:hAnsi="Arial"/>
          <w:sz w:val="23"/>
          <w:szCs w:val="23"/>
          <w:color w:val="auto"/>
        </w:rPr>
        <w:t>Since the date of the latest audited financial statements included or incorporated by reference in the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23"/>
          <w:szCs w:val="23"/>
          <w:u w:val="single" w:color="auto"/>
          <w:color w:val="auto"/>
        </w:rPr>
        <w:t>Internal Control Event</w:t>
      </w:r>
      <w:r>
        <w:rPr>
          <w:rFonts w:ascii="Arial" w:cs="Arial" w:eastAsia="Arial" w:hAnsi="Arial"/>
          <w:sz w:val="23"/>
          <w:szCs w:val="23"/>
          <w:color w:val="auto"/>
        </w:rPr>
        <w:t>”);</w:t>
      </w:r>
    </w:p>
    <w:p>
      <w:pPr>
        <w:spacing w:after="0" w:line="192" w:lineRule="exact"/>
        <w:rPr>
          <w:rFonts w:ascii="Arial" w:cs="Arial" w:eastAsia="Arial" w:hAnsi="Arial"/>
          <w:sz w:val="23"/>
          <w:szCs w:val="23"/>
          <w:color w:val="auto"/>
        </w:rPr>
      </w:pPr>
    </w:p>
    <w:p>
      <w:pPr>
        <w:jc w:val="both"/>
        <w:ind w:firstLine="683"/>
        <w:spacing w:after="0" w:line="239" w:lineRule="auto"/>
        <w:tabs>
          <w:tab w:leader="none" w:pos="1835" w:val="left"/>
        </w:tabs>
        <w:numPr>
          <w:ilvl w:val="0"/>
          <w:numId w:val="18"/>
        </w:numPr>
        <w:rPr>
          <w:rFonts w:ascii="Arial" w:cs="Arial" w:eastAsia="Arial" w:hAnsi="Arial"/>
          <w:sz w:val="23"/>
          <w:szCs w:val="23"/>
          <w:color w:val="auto"/>
        </w:rPr>
      </w:pPr>
      <w:r>
        <w:rPr>
          <w:rFonts w:ascii="Arial" w:cs="Arial" w:eastAsia="Arial" w:hAnsi="Arial"/>
          <w:sz w:val="23"/>
          <w:szCs w:val="23"/>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194" w:lineRule="exact"/>
        <w:rPr>
          <w:rFonts w:ascii="Arial" w:cs="Arial" w:eastAsia="Arial" w:hAnsi="Arial"/>
          <w:sz w:val="23"/>
          <w:szCs w:val="23"/>
          <w:color w:val="auto"/>
        </w:rPr>
      </w:pPr>
    </w:p>
    <w:p>
      <w:pPr>
        <w:jc w:val="both"/>
        <w:ind w:firstLine="683"/>
        <w:spacing w:after="0" w:line="258" w:lineRule="auto"/>
        <w:tabs>
          <w:tab w:leader="none" w:pos="1411"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financial statements of the Partnership included or incorporated by reference in the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Prospectus, if any, present fairly the information required to be stated therein. The selected financial data and the summary financial information included or incorporated by reference in the Prospectus present fairly the information shown therein and have been compiled on a basis consistent with that of the audited and unaudited financial statements included in the Prospectus. Any pro forma financial information included or incorporated by reference in the Prospectus complies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Prospectus. All disclosures contained in the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184" w:lineRule="exact"/>
        <w:rPr>
          <w:rFonts w:ascii="Arial" w:cs="Arial" w:eastAsia="Arial" w:hAnsi="Arial"/>
          <w:sz w:val="21"/>
          <w:szCs w:val="21"/>
          <w:color w:val="auto"/>
        </w:rPr>
      </w:pPr>
    </w:p>
    <w:p>
      <w:pPr>
        <w:jc w:val="both"/>
        <w:ind w:firstLine="683"/>
        <w:spacing w:after="0" w:line="279" w:lineRule="auto"/>
        <w:tabs>
          <w:tab w:leader="none" w:pos="1592" w:val="left"/>
        </w:tabs>
        <w:numPr>
          <w:ilvl w:val="0"/>
          <w:numId w:val="18"/>
        </w:numPr>
        <w:rPr>
          <w:rFonts w:ascii="Arial" w:cs="Arial" w:eastAsia="Arial" w:hAnsi="Arial"/>
          <w:sz w:val="21"/>
          <w:szCs w:val="21"/>
          <w:color w:val="auto"/>
        </w:rPr>
      </w:pPr>
      <w:r>
        <w:rPr>
          <w:rFonts w:ascii="Arial" w:cs="Arial" w:eastAsia="Arial" w:hAnsi="Arial"/>
          <w:sz w:val="21"/>
          <w:szCs w:val="21"/>
          <w:color w:val="auto"/>
        </w:rPr>
        <w:t>Except as otherwise described in the Prospectus, neither the Partnership’s independent auditors nor any internal auditor has recommended that the Partnership’s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review or investigate, (i) adding to, deleting, changing the application of, or changing the Partnership’s disclosure with respect to, any of the</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23"/>
          <w:szCs w:val="23"/>
          <w:color w:val="auto"/>
        </w:rPr>
        <w:t>Partnership’s material accounting policies; (ii) any matter which could result in a restatement of the Partnership’s audited balance sheet included in the Registration Statement; or (iii) any Internal Control Event;</w:t>
      </w:r>
    </w:p>
    <w:p>
      <w:pPr>
        <w:spacing w:after="0" w:line="175" w:lineRule="exact"/>
        <w:rPr>
          <w:sz w:val="20"/>
          <w:szCs w:val="20"/>
          <w:color w:val="auto"/>
        </w:rPr>
      </w:pPr>
    </w:p>
    <w:p>
      <w:pPr>
        <w:jc w:val="both"/>
        <w:ind w:firstLine="683"/>
        <w:spacing w:after="0" w:line="246" w:lineRule="auto"/>
        <w:tabs>
          <w:tab w:leader="none" w:pos="14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Except as otherwise described in the Prospectus, the Vessels are owned directly by the respective Operating Subsidiary listed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 each of the Vessels has been duly registered as a vessel under the laws and regulations and flag of the jurisdiction set forth opposite its name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in the sole ownership of the subsidiary set forth opposite its name on </w:t>
      </w:r>
      <w:r>
        <w:rPr>
          <w:rFonts w:ascii="Arial" w:cs="Arial" w:eastAsia="Arial" w:hAnsi="Arial"/>
          <w:sz w:val="22"/>
          <w:szCs w:val="22"/>
          <w:u w:val="single" w:color="auto"/>
          <w:color w:val="auto"/>
        </w:rPr>
        <w:t>Schedule I</w:t>
      </w:r>
      <w:r>
        <w:rPr>
          <w:rFonts w:ascii="Arial" w:cs="Arial" w:eastAsia="Arial" w:hAnsi="Arial"/>
          <w:sz w:val="22"/>
          <w:szCs w:val="22"/>
          <w:color w:val="auto"/>
        </w:rPr>
        <w:t>,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 claims arising under credit facilities, each as disclosed in the Registration Statement and the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spacing w:after="0" w:line="197" w:lineRule="exact"/>
        <w:rPr>
          <w:rFonts w:ascii="Arial" w:cs="Arial" w:eastAsia="Arial" w:hAnsi="Arial"/>
          <w:sz w:val="22"/>
          <w:szCs w:val="22"/>
          <w:color w:val="auto"/>
        </w:rPr>
      </w:pPr>
    </w:p>
    <w:p>
      <w:pPr>
        <w:jc w:val="both"/>
        <w:ind w:firstLine="683"/>
        <w:spacing w:after="0" w:line="273" w:lineRule="auto"/>
        <w:tabs>
          <w:tab w:leader="none" w:pos="1741"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Except as otherwise described in the Prospectus, 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20"/>
          <w:szCs w:val="20"/>
          <w:u w:val="single" w:color="auto"/>
          <w:color w:val="auto"/>
        </w:rPr>
        <w:t>Maritime Guidelines</w:t>
      </w:r>
      <w:r>
        <w:rPr>
          <w:rFonts w:ascii="Arial" w:cs="Arial" w:eastAsia="Arial" w:hAnsi="Arial"/>
          <w:sz w:val="20"/>
          <w:szCs w:val="20"/>
          <w:color w:val="auto"/>
        </w:rPr>
        <w:t>”) and all applicable international, national, state and local conventions, laws, regulations, orders, governmental licenses and other requirements (including, without limitation, 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69" w:lineRule="exact"/>
        <w:rPr>
          <w:rFonts w:ascii="Arial" w:cs="Arial" w:eastAsia="Arial" w:hAnsi="Arial"/>
          <w:sz w:val="20"/>
          <w:szCs w:val="20"/>
          <w:color w:val="auto"/>
        </w:rPr>
      </w:pPr>
    </w:p>
    <w:p>
      <w:pPr>
        <w:jc w:val="both"/>
        <w:ind w:firstLine="683"/>
        <w:spacing w:after="0" w:line="245" w:lineRule="auto"/>
        <w:tabs>
          <w:tab w:leader="none" w:pos="1407" w:val="left"/>
        </w:tabs>
        <w:numPr>
          <w:ilvl w:val="0"/>
          <w:numId w:val="19"/>
        </w:numPr>
        <w:rPr>
          <w:rFonts w:ascii="Arial" w:cs="Arial" w:eastAsia="Arial" w:hAnsi="Arial"/>
          <w:sz w:val="23"/>
          <w:szCs w:val="23"/>
          <w:color w:val="auto"/>
        </w:rPr>
      </w:pPr>
      <w:r>
        <w:rPr>
          <w:rFonts w:ascii="Arial" w:cs="Arial" w:eastAsia="Arial" w:hAnsi="Arial"/>
          <w:sz w:val="23"/>
          <w:szCs w:val="23"/>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188" w:lineRule="exact"/>
        <w:rPr>
          <w:rFonts w:ascii="Arial" w:cs="Arial" w:eastAsia="Arial" w:hAnsi="Arial"/>
          <w:sz w:val="23"/>
          <w:szCs w:val="23"/>
          <w:color w:val="auto"/>
        </w:rPr>
      </w:pPr>
    </w:p>
    <w:p>
      <w:pPr>
        <w:ind w:firstLine="683"/>
        <w:spacing w:after="0" w:line="257" w:lineRule="auto"/>
        <w:tabs>
          <w:tab w:leader="none" w:pos="1407" w:val="left"/>
        </w:tabs>
        <w:numPr>
          <w:ilvl w:val="0"/>
          <w:numId w:val="19"/>
        </w:numPr>
        <w:rPr>
          <w:rFonts w:ascii="Arial" w:cs="Arial" w:eastAsia="Arial" w:hAnsi="Arial"/>
          <w:sz w:val="23"/>
          <w:szCs w:val="23"/>
          <w:color w:val="auto"/>
        </w:rPr>
      </w:pPr>
      <w:r>
        <w:rPr>
          <w:rFonts w:ascii="Arial" w:cs="Arial" w:eastAsia="Arial" w:hAnsi="Arial"/>
          <w:sz w:val="23"/>
          <w:szCs w:val="23"/>
          <w:color w:val="auto"/>
        </w:rPr>
        <w:t>The Partnership Entities have filed all United States federal, state and local and non-U.S. tax returns that are required to be filed or have requested extensions thereof</w:t>
      </w:r>
    </w:p>
    <w:p>
      <w:pPr>
        <w:spacing w:after="0" w:line="204"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21"/>
          <w:szCs w:val="21"/>
          <w:color w:val="auto"/>
        </w:rPr>
        <w:t>(except in any case in which the failure so to file would not, individually or in the aggregate, have a Material Adverse Effect); except as set forth in the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Managers in connection with the sale and delivery by the Partnership of the Units to or for the account of the Managers or the sale and delivery by the Managers of the Units to the initial purchasers thereof.</w:t>
      </w:r>
    </w:p>
    <w:p>
      <w:pPr>
        <w:spacing w:after="0" w:line="173" w:lineRule="exact"/>
        <w:rPr>
          <w:sz w:val="20"/>
          <w:szCs w:val="20"/>
          <w:color w:val="auto"/>
        </w:rPr>
      </w:pPr>
    </w:p>
    <w:p>
      <w:pPr>
        <w:ind w:left="1360" w:hanging="677"/>
        <w:spacing w:after="0"/>
        <w:tabs>
          <w:tab w:leader="none" w:pos="1360" w:val="left"/>
        </w:tabs>
        <w:numPr>
          <w:ilvl w:val="0"/>
          <w:numId w:val="20"/>
        </w:numPr>
        <w:rPr>
          <w:rFonts w:ascii="Arial" w:cs="Arial" w:eastAsia="Arial" w:hAnsi="Arial"/>
          <w:sz w:val="23"/>
          <w:szCs w:val="23"/>
          <w:color w:val="auto"/>
        </w:rPr>
      </w:pPr>
      <w:r>
        <w:rPr>
          <w:rFonts w:ascii="Arial" w:cs="Arial" w:eastAsia="Arial" w:hAnsi="Arial"/>
          <w:sz w:val="23"/>
          <w:szCs w:val="23"/>
          <w:color w:val="auto"/>
        </w:rPr>
        <w:t>Sale and Delivery of Units.</w:t>
      </w:r>
    </w:p>
    <w:p>
      <w:pPr>
        <w:spacing w:after="0" w:line="220" w:lineRule="exact"/>
        <w:rPr>
          <w:sz w:val="20"/>
          <w:szCs w:val="20"/>
          <w:color w:val="auto"/>
        </w:rPr>
      </w:pPr>
    </w:p>
    <w:p>
      <w:pPr>
        <w:jc w:val="both"/>
        <w:ind w:firstLine="683"/>
        <w:spacing w:after="0" w:line="241" w:lineRule="auto"/>
        <w:tabs>
          <w:tab w:leader="none" w:pos="1622" w:val="left"/>
        </w:tabs>
        <w:numPr>
          <w:ilvl w:val="0"/>
          <w:numId w:val="21"/>
        </w:numPr>
        <w:rPr>
          <w:rFonts w:ascii="Arial" w:cs="Arial" w:eastAsia="Arial" w:hAnsi="Arial"/>
          <w:sz w:val="23"/>
          <w:szCs w:val="23"/>
          <w:color w:val="auto"/>
        </w:rPr>
      </w:pPr>
      <w:r>
        <w:rPr>
          <w:rFonts w:ascii="Arial" w:cs="Arial" w:eastAsia="Arial" w:hAnsi="Arial"/>
          <w:sz w:val="23"/>
          <w:szCs w:val="23"/>
          <w:i w:val="1"/>
          <w:iCs w:val="1"/>
          <w:color w:val="auto"/>
        </w:rPr>
        <w:t>Sale of Units by Managers, as Sales Agents</w:t>
      </w:r>
      <w:r>
        <w:rPr>
          <w:rFonts w:ascii="Arial" w:cs="Arial" w:eastAsia="Arial" w:hAnsi="Arial"/>
          <w:sz w:val="23"/>
          <w:szCs w:val="23"/>
          <w:color w:val="auto"/>
        </w:rPr>
        <w:t>. Subject to the terms and conditions and in reliance upon the</w:t>
      </w:r>
      <w:r>
        <w:rPr>
          <w:rFonts w:ascii="Arial" w:cs="Arial" w:eastAsia="Arial" w:hAnsi="Arial"/>
          <w:sz w:val="23"/>
          <w:szCs w:val="23"/>
          <w:i w:val="1"/>
          <w:iCs w:val="1"/>
          <w:color w:val="auto"/>
        </w:rPr>
        <w:t xml:space="preserve"> </w:t>
      </w:r>
      <w:r>
        <w:rPr>
          <w:rFonts w:ascii="Arial" w:cs="Arial" w:eastAsia="Arial" w:hAnsi="Arial"/>
          <w:sz w:val="23"/>
          <w:szCs w:val="23"/>
          <w:color w:val="auto"/>
        </w:rPr>
        <w:t>representations and warranties herein set forth, the Partnership agrees to issue and sell Units from time to time through the Managers, acting as sales agents, and the Managers agree to use their reasonable efforts to sell, as sales agents for the Partnership, such Units on the following terms.</w:t>
      </w:r>
    </w:p>
    <w:p>
      <w:pPr>
        <w:spacing w:after="0" w:line="192" w:lineRule="exact"/>
        <w:rPr>
          <w:rFonts w:ascii="Arial" w:cs="Arial" w:eastAsia="Arial" w:hAnsi="Arial"/>
          <w:sz w:val="23"/>
          <w:szCs w:val="23"/>
          <w:color w:val="auto"/>
        </w:rPr>
      </w:pPr>
    </w:p>
    <w:p>
      <w:pPr>
        <w:jc w:val="both"/>
        <w:ind w:left="600" w:firstLine="682"/>
        <w:spacing w:after="0" w:line="259" w:lineRule="auto"/>
        <w:tabs>
          <w:tab w:leader="none" w:pos="2099" w:val="left"/>
        </w:tabs>
        <w:numPr>
          <w:ilvl w:val="1"/>
          <w:numId w:val="21"/>
        </w:numPr>
        <w:rPr>
          <w:rFonts w:ascii="Arial" w:cs="Arial" w:eastAsia="Arial" w:hAnsi="Arial"/>
          <w:sz w:val="21"/>
          <w:szCs w:val="21"/>
          <w:color w:val="auto"/>
        </w:rPr>
      </w:pPr>
      <w:r>
        <w:rPr>
          <w:rFonts w:ascii="Arial" w:cs="Arial" w:eastAsia="Arial" w:hAnsi="Arial"/>
          <w:sz w:val="21"/>
          <w:szCs w:val="21"/>
          <w:color w:val="auto"/>
        </w:rPr>
        <w:t>The Units are to be sold on a daily basis or otherwise as shall be agreed to by the Partnership and the Managers on any day that (A) is a trading day for the NYSE, (B) the Partnership has instructed the Managers by telephone (confirmed promptly by electronic mail) to make such sales and (C) the Partnership has satisfied its obligations under Section 6 of this Agreement, provided that the Partnership shall not request sales during any period in which the Partnership is, or could be deemed to be, in possession of material non-public information. The Partnership will designate the maximum amount of the Units to be sold by the Managers daily as agreed to by the Managers (in any event not in excess of the amount available for issuance under the Prospectus and the currently effective Registration Statement) and the minimum price per Unit at which such Units may be sold. Subject to the terms and conditions hereof, the Managers shall use their reasonable efforts to sell on a particular day all of the Units designated for sale by the Partnership on such day. Unless otherwise properly authorized by the Board, the gross sales price of the Units sold under this Section 3(a) shall be the market price for the Partnership’s Common Units sold by the Managers under this Section 3(a) on the NYSE at the time of sale of such Units. In any event, the Managers cannot and will not sell fractional Units.</w:t>
      </w:r>
    </w:p>
    <w:p>
      <w:pPr>
        <w:spacing w:after="0" w:line="177" w:lineRule="exact"/>
        <w:rPr>
          <w:rFonts w:ascii="Arial" w:cs="Arial" w:eastAsia="Arial" w:hAnsi="Arial"/>
          <w:sz w:val="21"/>
          <w:szCs w:val="21"/>
          <w:color w:val="auto"/>
        </w:rPr>
      </w:pPr>
    </w:p>
    <w:p>
      <w:pPr>
        <w:jc w:val="both"/>
        <w:ind w:left="600" w:firstLine="682"/>
        <w:spacing w:after="0" w:line="267" w:lineRule="auto"/>
        <w:tabs>
          <w:tab w:leader="none" w:pos="2177" w:val="left"/>
        </w:tabs>
        <w:numPr>
          <w:ilvl w:val="1"/>
          <w:numId w:val="21"/>
        </w:numPr>
        <w:rPr>
          <w:rFonts w:ascii="Arial" w:cs="Arial" w:eastAsia="Arial" w:hAnsi="Arial"/>
          <w:sz w:val="21"/>
          <w:szCs w:val="21"/>
          <w:color w:val="auto"/>
        </w:rPr>
      </w:pPr>
      <w:r>
        <w:rPr>
          <w:rFonts w:ascii="Arial" w:cs="Arial" w:eastAsia="Arial" w:hAnsi="Arial"/>
          <w:sz w:val="21"/>
          <w:szCs w:val="21"/>
          <w:color w:val="auto"/>
        </w:rPr>
        <w:t>The Partnership acknowledges and agrees that (A) there can be no assurance that the Managers will be successful in selling the Units, (B) the Managers will incur no liability or obligation to the Partnership or any other person or entity if it does not sell Units for any reason other than a failure by the Managers to use their reasonable efforts consistent with their normal trading and sales practices and applicable law and regulations to sell such Units as required under this Agreement, and (C) the Managers shall be under no obligation to</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23"/>
          <w:szCs w:val="23"/>
          <w:color w:val="auto"/>
        </w:rPr>
        <w:t>purchase Units on a principal basis pursuant to this Agreement, except as otherwise specifically agreed by the Managers and the Partnership.</w:t>
      </w:r>
    </w:p>
    <w:p>
      <w:pPr>
        <w:spacing w:after="0" w:line="175" w:lineRule="exact"/>
        <w:rPr>
          <w:sz w:val="20"/>
          <w:szCs w:val="20"/>
          <w:color w:val="auto"/>
        </w:rPr>
      </w:pPr>
    </w:p>
    <w:p>
      <w:pPr>
        <w:jc w:val="both"/>
        <w:ind w:firstLine="682"/>
        <w:spacing w:after="0" w:line="259" w:lineRule="auto"/>
        <w:tabs>
          <w:tab w:leader="none" w:pos="1768"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The Partnership shall not authorize the issuance and sale of, and the Managers shall not sell, any Unit at a price lower than the minimum price therefor designated, if any, from time to time by the Board, a duly authorized committee thereof or any individual to whom such authority has been duly and properly delegated by the Board or a duly authorized committee thereof and notified to the Managers in writing. The Partnership or the Managers may, upon notice to the other party hereto by telephone (confirmed promptly by electronic mail), suspend or terminate the offering of the Units for any reason and at any time;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 documents referred to in Sections 4(k) - 4(o) and Section 4(q), be deemed to affirm any of the representations or warranties contained in this Agreement pursuant to Sections 2 or 4 hereof, or be obligated to conduct any due diligence session as referred to in Section 4(r) until the termination of the suspension and the recommencement of the offering of the Units pursuant to this Agreement (which termination shall constitute a Representation Date, as defined in Section 4(k)).</w:t>
      </w:r>
    </w:p>
    <w:p>
      <w:pPr>
        <w:spacing w:after="0" w:line="177" w:lineRule="exact"/>
        <w:rPr>
          <w:rFonts w:ascii="Arial" w:cs="Arial" w:eastAsia="Arial" w:hAnsi="Arial"/>
          <w:sz w:val="21"/>
          <w:szCs w:val="21"/>
          <w:color w:val="auto"/>
        </w:rPr>
      </w:pPr>
    </w:p>
    <w:p>
      <w:pPr>
        <w:jc w:val="both"/>
        <w:ind w:firstLine="682"/>
        <w:spacing w:after="0" w:line="252" w:lineRule="auto"/>
        <w:tabs>
          <w:tab w:leader="none" w:pos="1984"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Managers hereby covenant and agree not to make any sales of the Units on behalf of the Partnership, pursuant to this Section 3(a), other than (A) by means of ordinary brokers’ transactions between members of the NYSE that qualify for delivery of a Prospectus to the NYSE in accordance with Rule 153 under the Act and (B) such other sales of the Units on behalf of the Partnership in their capacity as agents of the Partnership as shall be agreed by the Partnership and the Managers.</w:t>
      </w:r>
    </w:p>
    <w:p>
      <w:pPr>
        <w:spacing w:after="0" w:line="183" w:lineRule="exact"/>
        <w:rPr>
          <w:rFonts w:ascii="Arial" w:cs="Arial" w:eastAsia="Arial" w:hAnsi="Arial"/>
          <w:sz w:val="22"/>
          <w:szCs w:val="22"/>
          <w:color w:val="auto"/>
        </w:rPr>
      </w:pPr>
    </w:p>
    <w:p>
      <w:pPr>
        <w:jc w:val="both"/>
        <w:ind w:firstLine="682"/>
        <w:spacing w:after="0" w:line="261" w:lineRule="auto"/>
        <w:tabs>
          <w:tab w:leader="none" w:pos="1607"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compensation to the Managers for sales of the Units with respect to which the Managers act as sales agents under this Agreement shall be at a mutually agreed rate, not to exceed 2.0%, of the gross sales price of the Units sold pursuant to this Section 3(a) and payable as described in the succeeding subsection 3(a)(vi) below. The foregoing rate of compensation shall not apply when the Managers act as principals, in which case the Partnership may sell Units to the Managers as principals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21"/>
          <w:szCs w:val="21"/>
          <w:u w:val="single" w:color="auto"/>
          <w:color w:val="auto"/>
        </w:rPr>
        <w:t>Transaction Fees</w:t>
      </w:r>
      <w:r>
        <w:rPr>
          <w:rFonts w:ascii="Arial" w:cs="Arial" w:eastAsia="Arial" w:hAnsi="Arial"/>
          <w:sz w:val="21"/>
          <w:szCs w:val="21"/>
          <w:color w:val="auto"/>
        </w:rPr>
        <w:t>”), shall constitute the net proceeds to the Partnership for such Units (the “</w:t>
      </w:r>
      <w:r>
        <w:rPr>
          <w:rFonts w:ascii="Arial" w:cs="Arial" w:eastAsia="Arial" w:hAnsi="Arial"/>
          <w:sz w:val="21"/>
          <w:szCs w:val="21"/>
          <w:u w:val="single" w:color="auto"/>
          <w:color w:val="auto"/>
        </w:rPr>
        <w:t>Net Proceeds</w:t>
      </w:r>
      <w:r>
        <w:rPr>
          <w:rFonts w:ascii="Arial" w:cs="Arial" w:eastAsia="Arial" w:hAnsi="Arial"/>
          <w:sz w:val="21"/>
          <w:szCs w:val="21"/>
          <w:color w:val="auto"/>
        </w:rPr>
        <w:t>”). The Managers shall notify the Partnership as promptly as practicable if any deduction referenced in the preceding sentence will be made.</w:t>
      </w:r>
    </w:p>
    <w:p>
      <w:pPr>
        <w:spacing w:after="0" w:line="174" w:lineRule="exact"/>
        <w:rPr>
          <w:rFonts w:ascii="Arial" w:cs="Arial" w:eastAsia="Arial" w:hAnsi="Arial"/>
          <w:sz w:val="21"/>
          <w:szCs w:val="21"/>
          <w:color w:val="auto"/>
        </w:rPr>
      </w:pPr>
    </w:p>
    <w:p>
      <w:pPr>
        <w:ind w:firstLine="682"/>
        <w:spacing w:after="0" w:line="257" w:lineRule="auto"/>
        <w:tabs>
          <w:tab w:leader="none" w:pos="1599" w:val="left"/>
        </w:tabs>
        <w:numPr>
          <w:ilvl w:val="0"/>
          <w:numId w:val="22"/>
        </w:numPr>
        <w:rPr>
          <w:rFonts w:ascii="Arial" w:cs="Arial" w:eastAsia="Arial" w:hAnsi="Arial"/>
          <w:sz w:val="23"/>
          <w:szCs w:val="23"/>
          <w:color w:val="auto"/>
        </w:rPr>
      </w:pPr>
      <w:r>
        <w:rPr>
          <w:rFonts w:ascii="Arial" w:cs="Arial" w:eastAsia="Arial" w:hAnsi="Arial"/>
          <w:sz w:val="23"/>
          <w:szCs w:val="23"/>
          <w:color w:val="auto"/>
        </w:rPr>
        <w:t>The Managers shall provide written confirmation (which may be by facsimile or electronic mail) to the Partnership following the close of trading on</w:t>
      </w:r>
    </w:p>
    <w:p>
      <w:pPr>
        <w:spacing w:after="0" w:line="204" w:lineRule="exact"/>
        <w:rPr>
          <w:sz w:val="20"/>
          <w:szCs w:val="20"/>
          <w:color w:val="auto"/>
        </w:rPr>
      </w:pPr>
    </w:p>
    <w:p>
      <w:pPr>
        <w:ind w:left="4600"/>
        <w:spacing w:after="0"/>
        <w:rPr>
          <w:sz w:val="20"/>
          <w:szCs w:val="20"/>
          <w:color w:val="auto"/>
        </w:rPr>
      </w:pPr>
      <w:r>
        <w:rPr>
          <w:rFonts w:ascii="Arial" w:cs="Arial" w:eastAsia="Arial" w:hAnsi="Arial"/>
          <w:sz w:val="23"/>
          <w:szCs w:val="2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80645</wp:posOffset>
            </wp:positionV>
            <wp:extent cx="7646670"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720"/>
          </w:cols>
          <w:pgMar w:left="1400" w:top="233" w:right="120" w:bottom="1440" w:gutter="0" w:footer="0" w:header="0"/>
        </w:sectPr>
      </w:pPr>
    </w:p>
    <w:bookmarkStart w:id="20" w:name="page21"/>
    <w:bookmarkEnd w:id="20"/>
    <w:p>
      <w:pPr>
        <w:jc w:val="both"/>
        <w:spacing w:after="0" w:line="239" w:lineRule="auto"/>
        <w:rPr>
          <w:sz w:val="20"/>
          <w:szCs w:val="20"/>
          <w:color w:val="auto"/>
        </w:rPr>
      </w:pPr>
      <w:r>
        <w:rPr>
          <w:rFonts w:ascii="Arial" w:cs="Arial" w:eastAsia="Arial" w:hAnsi="Arial"/>
          <w:sz w:val="23"/>
          <w:szCs w:val="23"/>
          <w:color w:val="auto"/>
        </w:rPr>
        <w:t>the NYSE each day in which the Units are sold under this Section 3(a) setting forth the number of the Units sold on such day, the aggregate gross sales proceeds and the Net Proceeds to the Partnership, and the compensation payable by the Partnership to the Managers with respect to such sales. Such compensation shall be set forth and invoiced in periodic statements from the Managers to the Partnership, with payment to be made by the Partnership promptly after its receipt thereof.</w:t>
      </w:r>
    </w:p>
    <w:p>
      <w:pPr>
        <w:spacing w:after="0" w:line="195" w:lineRule="exact"/>
        <w:rPr>
          <w:sz w:val="20"/>
          <w:szCs w:val="20"/>
          <w:color w:val="auto"/>
        </w:rPr>
      </w:pPr>
    </w:p>
    <w:p>
      <w:pPr>
        <w:jc w:val="both"/>
        <w:ind w:firstLine="682"/>
        <w:spacing w:after="0" w:line="258" w:lineRule="auto"/>
        <w:tabs>
          <w:tab w:leader="none" w:pos="1519" w:val="left"/>
        </w:tabs>
        <w:numPr>
          <w:ilvl w:val="1"/>
          <w:numId w:val="23"/>
        </w:numPr>
        <w:rPr>
          <w:rFonts w:ascii="Arial" w:cs="Arial" w:eastAsia="Arial" w:hAnsi="Arial"/>
          <w:sz w:val="21"/>
          <w:szCs w:val="21"/>
          <w:color w:val="auto"/>
        </w:rPr>
      </w:pPr>
      <w:r>
        <w:rPr>
          <w:rFonts w:ascii="Arial" w:cs="Arial" w:eastAsia="Arial" w:hAnsi="Arial"/>
          <w:sz w:val="21"/>
          <w:szCs w:val="21"/>
          <w:color w:val="auto"/>
        </w:rPr>
        <w:t>Settlement for sales of the Units pursuant to this Section 3(a) will occur on the second Business Day following the date on which such sales are made (each such day, a “</w:t>
      </w:r>
      <w:r>
        <w:rPr>
          <w:rFonts w:ascii="Arial" w:cs="Arial" w:eastAsia="Arial" w:hAnsi="Arial"/>
          <w:sz w:val="21"/>
          <w:szCs w:val="21"/>
          <w:u w:val="single" w:color="auto"/>
          <w:color w:val="auto"/>
        </w:rPr>
        <w:t>Settlement Date</w:t>
      </w:r>
      <w:r>
        <w:rPr>
          <w:rFonts w:ascii="Arial" w:cs="Arial" w:eastAsia="Arial" w:hAnsi="Arial"/>
          <w:sz w:val="21"/>
          <w:szCs w:val="21"/>
          <w:color w:val="auto"/>
        </w:rPr>
        <w:t>”). On each Settlement Date, the Units sold through the Managers for settlement on such date shall be issued and delivered by the Partnership to the Managers against payment of the aggregate gross sales proceeds less any Transaction Fees for the sale of such Units. Settlement for all such Units shall be effected by free delivery of the Units to the Managers’ or the Managers’ designees’ account at The Depository Trust Company (“</w:t>
      </w:r>
      <w:r>
        <w:rPr>
          <w:rFonts w:ascii="Arial" w:cs="Arial" w:eastAsia="Arial" w:hAnsi="Arial"/>
          <w:sz w:val="21"/>
          <w:szCs w:val="21"/>
          <w:u w:val="single" w:color="auto"/>
          <w:color w:val="auto"/>
        </w:rPr>
        <w:t>DTC</w:t>
      </w:r>
      <w:r>
        <w:rPr>
          <w:rFonts w:ascii="Arial" w:cs="Arial" w:eastAsia="Arial" w:hAnsi="Arial"/>
          <w:sz w:val="21"/>
          <w:szCs w:val="21"/>
          <w:color w:val="auto"/>
        </w:rPr>
        <w:t>”) in return for payments in same day funds delivered to the Partnership by federal funds wire transfer to the account designated by the Partnership. If the Partnership or its transfer agent (if applicable) shall default on its obligation to deliver the Units on any Settlement Date, the Partnership shall (A) indemnify and hold the Managers harmless against any loss, claim or damage arising from or as a result of such default by the Partnership and (B) pay the Managers any commission to which it would otherwise be entitled absent such default. If the Managers breach this Agreement by failing to deliver the aggregate gross sales proceeds less any Transaction Fees to the Partnership on any Settlement Date for the Units delivered by the Partnership, the Managers will pay the Partnership interest based on the effective overnight federal funds rate on such unpaid amount less any compensation due to the Managers. The applicable Net Proceeds on any Settlement Date shall be delivered simultaneously with the Units delivered by the Partnership.</w:t>
      </w:r>
    </w:p>
    <w:p>
      <w:pPr>
        <w:spacing w:after="0" w:line="184" w:lineRule="exact"/>
        <w:rPr>
          <w:rFonts w:ascii="Arial" w:cs="Arial" w:eastAsia="Arial" w:hAnsi="Arial"/>
          <w:sz w:val="21"/>
          <w:szCs w:val="21"/>
          <w:color w:val="auto"/>
        </w:rPr>
      </w:pPr>
    </w:p>
    <w:p>
      <w:pPr>
        <w:jc w:val="both"/>
        <w:ind w:firstLine="682"/>
        <w:spacing w:after="0" w:line="262" w:lineRule="auto"/>
        <w:tabs>
          <w:tab w:leader="none" w:pos="1554" w:val="left"/>
        </w:tabs>
        <w:numPr>
          <w:ilvl w:val="1"/>
          <w:numId w:val="23"/>
        </w:numPr>
        <w:rPr>
          <w:rFonts w:ascii="Arial" w:cs="Arial" w:eastAsia="Arial" w:hAnsi="Arial"/>
          <w:sz w:val="21"/>
          <w:szCs w:val="21"/>
          <w:color w:val="auto"/>
        </w:rPr>
      </w:pPr>
      <w:r>
        <w:rPr>
          <w:rFonts w:ascii="Arial" w:cs="Arial" w:eastAsia="Arial" w:hAnsi="Arial"/>
          <w:sz w:val="21"/>
          <w:szCs w:val="21"/>
          <w:color w:val="auto"/>
        </w:rPr>
        <w:t>At each Applicable Time, Settlement Date and Representation Date (as defined in Section 4(k)), the Partnership shall be deemed to have affirmed each representation and warranty contained in this Agreement as if such representation and warranty were made as of such date, provided that all such representations and warranties shall be deemed modified as necessary to relate to the Registration Statement and the Prospectus as amended or supplemented as of such date. Any obligation of the Managers to use their reasonable efforts to sell the Units on behalf of the Partnership shall be subject to the continuing accuracy of the representations and warranties of the Partnership herein, to the performance by the Partnership of its obligations hereunder and to the continuing satisfaction of the additional conditions specified in Section 6 of this Agreement.</w:t>
      </w:r>
    </w:p>
    <w:p>
      <w:pPr>
        <w:spacing w:after="0" w:line="172" w:lineRule="exact"/>
        <w:rPr>
          <w:rFonts w:ascii="Arial" w:cs="Arial" w:eastAsia="Arial" w:hAnsi="Arial"/>
          <w:sz w:val="21"/>
          <w:szCs w:val="21"/>
          <w:color w:val="auto"/>
        </w:rPr>
      </w:pPr>
    </w:p>
    <w:p>
      <w:pPr>
        <w:jc w:val="both"/>
        <w:ind w:left="-600" w:firstLine="683"/>
        <w:spacing w:after="0" w:line="261" w:lineRule="auto"/>
        <w:tabs>
          <w:tab w:leader="none" w:pos="950"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Sale of Units by Managers, as Principals</w:t>
      </w:r>
      <w:r>
        <w:rPr>
          <w:rFonts w:ascii="Arial" w:cs="Arial" w:eastAsia="Arial" w:hAnsi="Arial"/>
          <w:sz w:val="22"/>
          <w:szCs w:val="22"/>
          <w:color w:val="auto"/>
        </w:rPr>
        <w:t>. If the Partnership wishes to issue and sell Units pursuant 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but other than as set forth in Section 3(a) of this Agreement (each, a “</w:t>
      </w:r>
      <w:r>
        <w:rPr>
          <w:rFonts w:ascii="Arial" w:cs="Arial" w:eastAsia="Arial" w:hAnsi="Arial"/>
          <w:sz w:val="22"/>
          <w:szCs w:val="22"/>
          <w:u w:val="single" w:color="auto"/>
          <w:color w:val="auto"/>
        </w:rPr>
        <w:t>Placement</w:t>
      </w:r>
      <w:r>
        <w:rPr>
          <w:rFonts w:ascii="Arial" w:cs="Arial" w:eastAsia="Arial" w:hAnsi="Arial"/>
          <w:sz w:val="22"/>
          <w:szCs w:val="22"/>
          <w:color w:val="auto"/>
        </w:rPr>
        <w:t>”), it will notify the Managers of the proposed terms of such Placement. If the Managers, acting as principals, wish to accept such</w:t>
      </w:r>
    </w:p>
    <w:p>
      <w:pPr>
        <w:spacing w:after="0" w:line="201" w:lineRule="exact"/>
        <w:rPr>
          <w:sz w:val="20"/>
          <w:szCs w:val="20"/>
          <w:color w:val="auto"/>
        </w:rPr>
      </w:pPr>
    </w:p>
    <w:p>
      <w:pPr>
        <w:ind w:left="4600"/>
        <w:spacing w:after="0"/>
        <w:rPr>
          <w:sz w:val="20"/>
          <w:szCs w:val="20"/>
          <w:color w:val="auto"/>
        </w:rPr>
      </w:pPr>
      <w:r>
        <w:rPr>
          <w:rFonts w:ascii="Arial" w:cs="Arial" w:eastAsia="Arial" w:hAnsi="Arial"/>
          <w:sz w:val="23"/>
          <w:szCs w:val="2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80645</wp:posOffset>
            </wp:positionV>
            <wp:extent cx="7646670"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720"/>
          </w:cols>
          <w:pgMar w:left="1400" w:top="233" w:right="120" w:bottom="144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22"/>
          <w:szCs w:val="22"/>
          <w:color w:val="auto"/>
        </w:rPr>
        <w:t>proposed terms (which they may decline to do for any reason in their sole discretion) or, following discussions with the Partnership wish to accept amended terms, the Managers and the Partnership will enter into a Terms Agreement setting forth the terms of such Placement. The terms set forth in a Terms Agreement will not be binding on the Partnership or the Managers unless and until the Partnership and the Managers have each executed such Terms Agreement accepting all of the terms of such Terms Agreement. In the event of a conflict between the terms of this Agreement and the terms of a Terms Agreement, the terms of such Terms Agreement will control.</w:t>
      </w:r>
    </w:p>
    <w:p>
      <w:pPr>
        <w:spacing w:after="0" w:line="187" w:lineRule="exact"/>
        <w:rPr>
          <w:sz w:val="20"/>
          <w:szCs w:val="20"/>
          <w:color w:val="auto"/>
        </w:rPr>
      </w:pPr>
    </w:p>
    <w:p>
      <w:pPr>
        <w:jc w:val="both"/>
        <w:ind w:firstLine="683"/>
        <w:spacing w:after="0" w:line="259" w:lineRule="auto"/>
        <w:tabs>
          <w:tab w:leader="none" w:pos="1423" w:val="left"/>
        </w:tabs>
        <w:numPr>
          <w:ilvl w:val="0"/>
          <w:numId w:val="25"/>
        </w:numPr>
        <w:rPr>
          <w:rFonts w:ascii="Arial" w:cs="Arial" w:eastAsia="Arial" w:hAnsi="Arial"/>
          <w:sz w:val="21"/>
          <w:szCs w:val="21"/>
          <w:color w:val="auto"/>
        </w:rPr>
      </w:pPr>
      <w:r>
        <w:rPr>
          <w:rFonts w:ascii="Arial" w:cs="Arial" w:eastAsia="Arial" w:hAnsi="Arial"/>
          <w:sz w:val="21"/>
          <w:szCs w:val="21"/>
          <w:i w:val="1"/>
          <w:iCs w:val="1"/>
          <w:color w:val="auto"/>
        </w:rPr>
        <w:t>Terms Agreement</w:t>
      </w:r>
      <w:r>
        <w:rPr>
          <w:rFonts w:ascii="Arial" w:cs="Arial" w:eastAsia="Arial" w:hAnsi="Arial"/>
          <w:sz w:val="21"/>
          <w:szCs w:val="21"/>
          <w:color w:val="auto"/>
        </w:rPr>
        <w:t>. Each sale of the Units to the Managers shall be made in accordance with the terms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and, if applicable, a Terms Agreement, which will provide for the sale of such Units to, and the purchase thereof by, the Managers. A Terms Agreement may also specify certain provisions relating to the reoffering of such Units by the Managers. The commitment of the Managers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Units to be purchased by the Managers pursuant thereto, the price to be paid to the Partnership for such Units, any provisions relating to rights of, and default by, Managers acting together in the reoffering of the Units, and the time and date (each such time and date being referred to herein as a “</w:t>
      </w:r>
      <w:r>
        <w:rPr>
          <w:rFonts w:ascii="Arial" w:cs="Arial" w:eastAsia="Arial" w:hAnsi="Arial"/>
          <w:sz w:val="21"/>
          <w:szCs w:val="21"/>
          <w:u w:val="single" w:color="auto"/>
          <w:color w:val="auto"/>
        </w:rPr>
        <w:t>Time of Delivery</w:t>
      </w:r>
      <w:r>
        <w:rPr>
          <w:rFonts w:ascii="Arial" w:cs="Arial" w:eastAsia="Arial" w:hAnsi="Arial"/>
          <w:sz w:val="21"/>
          <w:szCs w:val="21"/>
          <w:color w:val="auto"/>
        </w:rPr>
        <w:t>”) and place of delivery of and payment for such Units. Such Terms Agreement shall also specify any requirements for opinions of counsel, accountants’ letters and officers’ certificates pursuant to Section 6 of this Agreement and any other information or documents required by the Managers. No Terms Agreement may authorize the sale of fractional Units.</w:t>
      </w:r>
    </w:p>
    <w:p>
      <w:pPr>
        <w:spacing w:after="0" w:line="181" w:lineRule="exact"/>
        <w:rPr>
          <w:rFonts w:ascii="Arial" w:cs="Arial" w:eastAsia="Arial" w:hAnsi="Arial"/>
          <w:sz w:val="21"/>
          <w:szCs w:val="21"/>
          <w:color w:val="auto"/>
        </w:rPr>
      </w:pPr>
    </w:p>
    <w:p>
      <w:pPr>
        <w:jc w:val="both"/>
        <w:ind w:firstLine="683"/>
        <w:spacing w:after="0" w:line="238" w:lineRule="auto"/>
        <w:tabs>
          <w:tab w:leader="none" w:pos="1550" w:val="left"/>
        </w:tabs>
        <w:numPr>
          <w:ilvl w:val="0"/>
          <w:numId w:val="25"/>
        </w:numPr>
        <w:rPr>
          <w:rFonts w:ascii="Arial" w:cs="Arial" w:eastAsia="Arial" w:hAnsi="Arial"/>
          <w:sz w:val="23"/>
          <w:szCs w:val="23"/>
          <w:color w:val="auto"/>
        </w:rPr>
      </w:pPr>
      <w:r>
        <w:rPr>
          <w:rFonts w:ascii="Arial" w:cs="Arial" w:eastAsia="Arial" w:hAnsi="Arial"/>
          <w:sz w:val="23"/>
          <w:szCs w:val="23"/>
          <w:i w:val="1"/>
          <w:iCs w:val="1"/>
          <w:color w:val="auto"/>
        </w:rPr>
        <w:t>Limitation on Number and Amount of Units Sold</w:t>
      </w:r>
      <w:r>
        <w:rPr>
          <w:rFonts w:ascii="Arial" w:cs="Arial" w:eastAsia="Arial" w:hAnsi="Arial"/>
          <w:sz w:val="23"/>
          <w:szCs w:val="23"/>
          <w:color w:val="auto"/>
        </w:rPr>
        <w:t>. Under no circumstances shall the number and aggregate</w:t>
      </w:r>
      <w:r>
        <w:rPr>
          <w:rFonts w:ascii="Arial" w:cs="Arial" w:eastAsia="Arial" w:hAnsi="Arial"/>
          <w:sz w:val="23"/>
          <w:szCs w:val="23"/>
          <w:i w:val="1"/>
          <w:iCs w:val="1"/>
          <w:color w:val="auto"/>
        </w:rPr>
        <w:t xml:space="preserve"> </w:t>
      </w:r>
      <w:r>
        <w:rPr>
          <w:rFonts w:ascii="Arial" w:cs="Arial" w:eastAsia="Arial" w:hAnsi="Arial"/>
          <w:sz w:val="23"/>
          <w:szCs w:val="23"/>
          <w:color w:val="auto"/>
        </w:rPr>
        <w:t>amount of the Units sold pursuant to this Agreement and any Terms Agreement exceed (i) the aggregate amount set forth in Section 1, (ii) the Common Units available for issuance under the currently effective Registration Statement, (iii) the number and aggregate amount of the Units authorized from time to time to be issued and sold under this Agreement by the Board, or a duly authorized committee thereof or (iv) the aggregate offering price for Units available for sale under the Prospectus.</w:t>
      </w:r>
    </w:p>
    <w:p>
      <w:pPr>
        <w:spacing w:after="0" w:line="194" w:lineRule="exact"/>
        <w:rPr>
          <w:rFonts w:ascii="Arial" w:cs="Arial" w:eastAsia="Arial" w:hAnsi="Arial"/>
          <w:sz w:val="23"/>
          <w:szCs w:val="23"/>
          <w:color w:val="auto"/>
        </w:rPr>
      </w:pPr>
    </w:p>
    <w:p>
      <w:pPr>
        <w:jc w:val="both"/>
        <w:ind w:firstLine="683"/>
        <w:spacing w:after="0" w:line="241" w:lineRule="auto"/>
        <w:tabs>
          <w:tab w:leader="none" w:pos="1722" w:val="left"/>
        </w:tabs>
        <w:numPr>
          <w:ilvl w:val="0"/>
          <w:numId w:val="25"/>
        </w:numPr>
        <w:rPr>
          <w:rFonts w:ascii="Arial" w:cs="Arial" w:eastAsia="Arial" w:hAnsi="Arial"/>
          <w:sz w:val="23"/>
          <w:szCs w:val="23"/>
          <w:color w:val="auto"/>
        </w:rPr>
      </w:pPr>
      <w:r>
        <w:rPr>
          <w:rFonts w:ascii="Arial" w:cs="Arial" w:eastAsia="Arial" w:hAnsi="Arial"/>
          <w:sz w:val="23"/>
          <w:szCs w:val="23"/>
          <w:i w:val="1"/>
          <w:iCs w:val="1"/>
          <w:color w:val="auto"/>
        </w:rPr>
        <w:t>Regulation M Exemption</w:t>
      </w:r>
      <w:r>
        <w:rPr>
          <w:rFonts w:ascii="Arial" w:cs="Arial" w:eastAsia="Arial" w:hAnsi="Arial"/>
          <w:sz w:val="23"/>
          <w:szCs w:val="23"/>
          <w:color w:val="auto"/>
        </w:rPr>
        <w:t>. If either party has reason to believe that the exemptive provisions set forth in</w:t>
      </w:r>
      <w:r>
        <w:rPr>
          <w:rFonts w:ascii="Arial" w:cs="Arial" w:eastAsia="Arial" w:hAnsi="Arial"/>
          <w:sz w:val="23"/>
          <w:szCs w:val="23"/>
          <w:i w:val="1"/>
          <w:iCs w:val="1"/>
          <w:color w:val="auto"/>
        </w:rPr>
        <w:t xml:space="preserve"> </w:t>
      </w:r>
      <w:r>
        <w:rPr>
          <w:rFonts w:ascii="Arial" w:cs="Arial" w:eastAsia="Arial" w:hAnsi="Arial"/>
          <w:sz w:val="23"/>
          <w:szCs w:val="23"/>
          <w:color w:val="auto"/>
        </w:rPr>
        <w:t>Rule 101(c)(1) of 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spacing w:after="0" w:line="193" w:lineRule="exact"/>
        <w:rPr>
          <w:sz w:val="20"/>
          <w:szCs w:val="20"/>
          <w:color w:val="auto"/>
        </w:rPr>
      </w:pPr>
    </w:p>
    <w:p>
      <w:pPr>
        <w:ind w:left="1360" w:hanging="677"/>
        <w:spacing w:after="0"/>
        <w:tabs>
          <w:tab w:leader="none" w:pos="1360" w:val="left"/>
        </w:tabs>
        <w:numPr>
          <w:ilvl w:val="0"/>
          <w:numId w:val="26"/>
        </w:numPr>
        <w:rPr>
          <w:rFonts w:ascii="Arial" w:cs="Arial" w:eastAsia="Arial" w:hAnsi="Arial"/>
          <w:sz w:val="23"/>
          <w:szCs w:val="23"/>
          <w:color w:val="auto"/>
        </w:rPr>
      </w:pPr>
      <w:r>
        <w:rPr>
          <w:rFonts w:ascii="Arial" w:cs="Arial" w:eastAsia="Arial" w:hAnsi="Arial"/>
          <w:sz w:val="23"/>
          <w:szCs w:val="23"/>
          <w:u w:val="single" w:color="auto"/>
          <w:color w:val="auto"/>
        </w:rPr>
        <w:t>Agreements</w:t>
      </w:r>
      <w:r>
        <w:rPr>
          <w:rFonts w:ascii="Arial" w:cs="Arial" w:eastAsia="Arial" w:hAnsi="Arial"/>
          <w:sz w:val="23"/>
          <w:szCs w:val="23"/>
          <w:color w:val="auto"/>
        </w:rPr>
        <w:t>. Each of the Partnership Entities agrees with the Managers that:</w:t>
      </w:r>
    </w:p>
    <w:p>
      <w:pPr>
        <w:spacing w:after="0" w:line="220" w:lineRule="exact"/>
        <w:rPr>
          <w:sz w:val="20"/>
          <w:szCs w:val="20"/>
          <w:color w:val="auto"/>
        </w:rPr>
      </w:pPr>
    </w:p>
    <w:p>
      <w:pPr>
        <w:jc w:val="both"/>
        <w:ind w:firstLine="683"/>
        <w:spacing w:after="0" w:line="245" w:lineRule="auto"/>
        <w:tabs>
          <w:tab w:leader="none" w:pos="1636" w:val="left"/>
        </w:tabs>
        <w:numPr>
          <w:ilvl w:val="0"/>
          <w:numId w:val="27"/>
        </w:numPr>
        <w:rPr>
          <w:rFonts w:ascii="Arial" w:cs="Arial" w:eastAsia="Arial" w:hAnsi="Arial"/>
          <w:sz w:val="23"/>
          <w:szCs w:val="23"/>
          <w:color w:val="auto"/>
        </w:rPr>
      </w:pPr>
      <w:r>
        <w:rPr>
          <w:rFonts w:ascii="Arial" w:cs="Arial" w:eastAsia="Arial" w:hAnsi="Arial"/>
          <w:sz w:val="23"/>
          <w:szCs w:val="23"/>
          <w:i w:val="1"/>
          <w:iCs w:val="1"/>
          <w:color w:val="auto"/>
        </w:rPr>
        <w:t>Filing of Amendment or Supplement</w:t>
      </w:r>
      <w:r>
        <w:rPr>
          <w:rFonts w:ascii="Arial" w:cs="Arial" w:eastAsia="Arial" w:hAnsi="Arial"/>
          <w:sz w:val="23"/>
          <w:szCs w:val="23"/>
          <w:color w:val="auto"/>
        </w:rPr>
        <w:t>. During any period when the delivery of a prospectus relating to the</w:t>
      </w:r>
      <w:r>
        <w:rPr>
          <w:rFonts w:ascii="Arial" w:cs="Arial" w:eastAsia="Arial" w:hAnsi="Arial"/>
          <w:sz w:val="23"/>
          <w:szCs w:val="23"/>
          <w:i w:val="1"/>
          <w:iCs w:val="1"/>
          <w:color w:val="auto"/>
        </w:rPr>
        <w:t xml:space="preserve"> </w:t>
      </w:r>
      <w:r>
        <w:rPr>
          <w:rFonts w:ascii="Arial" w:cs="Arial" w:eastAsia="Arial" w:hAnsi="Arial"/>
          <w:sz w:val="23"/>
          <w:szCs w:val="23"/>
          <w:color w:val="auto"/>
        </w:rPr>
        <w:t>Units is required under the Act (including in circumstances where such requirement may be satisfied pursuant to Rule 172), the Partnership will not</w:t>
      </w:r>
    </w:p>
    <w:p>
      <w:pPr>
        <w:spacing w:after="0" w:line="217"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21"/>
          <w:szCs w:val="21"/>
          <w:color w:val="auto"/>
        </w:rPr>
        <w:t>file any amendment of the Registration Statement or supplement (including the Prospectus Supplement) to the Base Prospectus or any Rule 462(b) Registration Statement unless the Partnership has furnished to the Managers a copy for their review prior to filing and will not file any such proposed amendment or supplement to which the Managers reasonably object.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commercially reasonable efforts to prevent the issuance of any such stop order or the occurrence of any such suspension or objection to the use of the Registration Statement and, upon such issuance, occurrence or notice of objection, to use promptly its commercially reasonable efforts to obtain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83" w:lineRule="exact"/>
        <w:rPr>
          <w:sz w:val="20"/>
          <w:szCs w:val="20"/>
          <w:color w:val="auto"/>
        </w:rPr>
      </w:pPr>
    </w:p>
    <w:p>
      <w:pPr>
        <w:jc w:val="both"/>
        <w:ind w:firstLine="683"/>
        <w:spacing w:after="0" w:line="263" w:lineRule="auto"/>
        <w:tabs>
          <w:tab w:leader="none" w:pos="1435" w:val="left"/>
        </w:tabs>
        <w:numPr>
          <w:ilvl w:val="0"/>
          <w:numId w:val="28"/>
        </w:numPr>
        <w:rPr>
          <w:rFonts w:ascii="Arial" w:cs="Arial" w:eastAsia="Arial" w:hAnsi="Arial"/>
          <w:sz w:val="21"/>
          <w:szCs w:val="21"/>
          <w:color w:val="auto"/>
        </w:rPr>
      </w:pPr>
      <w:r>
        <w:rPr>
          <w:rFonts w:ascii="Arial" w:cs="Arial" w:eastAsia="Arial" w:hAnsi="Arial"/>
          <w:sz w:val="21"/>
          <w:szCs w:val="21"/>
          <w:i w:val="1"/>
          <w:iCs w:val="1"/>
          <w:color w:val="auto"/>
        </w:rPr>
        <w:t>Notice of Material Change</w:t>
      </w:r>
      <w:r>
        <w:rPr>
          <w:rFonts w:ascii="Arial" w:cs="Arial" w:eastAsia="Arial" w:hAnsi="Arial"/>
          <w:sz w:val="21"/>
          <w:szCs w:val="21"/>
          <w:color w:val="auto"/>
        </w:rPr>
        <w:t>. If, at any time on or after an Applicable Time but prior to the related Settlement</w:t>
      </w:r>
      <w:r>
        <w:rPr>
          <w:rFonts w:ascii="Arial" w:cs="Arial" w:eastAsia="Arial" w:hAnsi="Arial"/>
          <w:sz w:val="21"/>
          <w:szCs w:val="21"/>
          <w:i w:val="1"/>
          <w:iCs w:val="1"/>
          <w:color w:val="auto"/>
        </w:rPr>
        <w:t xml:space="preserve"> </w:t>
      </w:r>
      <w:r>
        <w:rPr>
          <w:rFonts w:ascii="Arial" w:cs="Arial" w:eastAsia="Arial" w:hAnsi="Arial"/>
          <w:sz w:val="21"/>
          <w:szCs w:val="21"/>
          <w:color w:val="auto"/>
        </w:rPr>
        <w:t>Date or Time of Delivery, any event occurs as a result of which the Prospectus, as amended or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the Managers in such quantities as the Managers may reasonably request.</w:t>
      </w:r>
    </w:p>
    <w:p>
      <w:pPr>
        <w:spacing w:after="0" w:line="173"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23" w:name="page24"/>
    <w:bookmarkEnd w:id="23"/>
    <w:p>
      <w:pPr>
        <w:jc w:val="both"/>
        <w:ind w:left="-640" w:firstLine="683"/>
        <w:spacing w:after="0" w:line="259" w:lineRule="auto"/>
        <w:tabs>
          <w:tab w:leader="none" w:pos="939" w:val="left"/>
        </w:tabs>
        <w:numPr>
          <w:ilvl w:val="0"/>
          <w:numId w:val="29"/>
        </w:numPr>
        <w:rPr>
          <w:rFonts w:ascii="Arial" w:cs="Arial" w:eastAsia="Arial" w:hAnsi="Arial"/>
          <w:sz w:val="21"/>
          <w:szCs w:val="21"/>
          <w:color w:val="auto"/>
        </w:rPr>
      </w:pPr>
      <w:r>
        <w:rPr>
          <w:rFonts w:ascii="Arial" w:cs="Arial" w:eastAsia="Arial" w:hAnsi="Arial"/>
          <w:sz w:val="21"/>
          <w:szCs w:val="21"/>
          <w:i w:val="1"/>
          <w:iCs w:val="1"/>
          <w:color w:val="auto"/>
        </w:rPr>
        <w:t>Material Misstatements or Omissions in Prospectus</w:t>
      </w:r>
      <w:r>
        <w:rPr>
          <w:rFonts w:ascii="Arial" w:cs="Arial" w:eastAsia="Arial" w:hAnsi="Arial"/>
          <w:sz w:val="21"/>
          <w:szCs w:val="21"/>
          <w:color w:val="auto"/>
        </w:rPr>
        <w:t>. During any period when the delivery of a prospectus</w:t>
      </w:r>
      <w:r>
        <w:rPr>
          <w:rFonts w:ascii="Arial" w:cs="Arial" w:eastAsia="Arial" w:hAnsi="Arial"/>
          <w:sz w:val="21"/>
          <w:szCs w:val="21"/>
          <w:i w:val="1"/>
          <w:iCs w:val="1"/>
          <w:color w:val="auto"/>
        </w:rPr>
        <w:t xml:space="preserve"> </w:t>
      </w:r>
      <w:r>
        <w:rPr>
          <w:rFonts w:ascii="Arial" w:cs="Arial" w:eastAsia="Arial" w:hAnsi="Arial"/>
          <w:sz w:val="21"/>
          <w:szCs w:val="21"/>
          <w:color w:val="auto"/>
        </w:rPr>
        <w:t>relating to the Units is required under the Act (including in circumstances where such requirement may be satisfied pursuant to Rule 172), if any event occurs as a result of which the Prospectus as then amended or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first sentence of Section 4(a),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Managers in such quantities as the Managers may reasonably request.</w:t>
      </w:r>
    </w:p>
    <w:p>
      <w:pPr>
        <w:spacing w:after="0" w:line="177" w:lineRule="exact"/>
        <w:rPr>
          <w:rFonts w:ascii="Arial" w:cs="Arial" w:eastAsia="Arial" w:hAnsi="Arial"/>
          <w:sz w:val="21"/>
          <w:szCs w:val="21"/>
          <w:color w:val="auto"/>
        </w:rPr>
      </w:pPr>
    </w:p>
    <w:p>
      <w:pPr>
        <w:jc w:val="both"/>
        <w:ind w:left="-640" w:firstLine="683"/>
        <w:spacing w:after="0" w:line="241" w:lineRule="auto"/>
        <w:tabs>
          <w:tab w:leader="none" w:pos="967" w:val="left"/>
        </w:tabs>
        <w:numPr>
          <w:ilvl w:val="0"/>
          <w:numId w:val="29"/>
        </w:numPr>
        <w:rPr>
          <w:rFonts w:ascii="Arial" w:cs="Arial" w:eastAsia="Arial" w:hAnsi="Arial"/>
          <w:sz w:val="23"/>
          <w:szCs w:val="23"/>
          <w:color w:val="auto"/>
        </w:rPr>
      </w:pPr>
      <w:r>
        <w:rPr>
          <w:rFonts w:ascii="Arial" w:cs="Arial" w:eastAsia="Arial" w:hAnsi="Arial"/>
          <w:sz w:val="23"/>
          <w:szCs w:val="23"/>
          <w:i w:val="1"/>
          <w:iCs w:val="1"/>
          <w:color w:val="auto"/>
        </w:rPr>
        <w:t>Reports to Security Holders and Managers</w:t>
      </w:r>
      <w:r>
        <w:rPr>
          <w:rFonts w:ascii="Arial" w:cs="Arial" w:eastAsia="Arial" w:hAnsi="Arial"/>
          <w:sz w:val="23"/>
          <w:szCs w:val="23"/>
          <w:color w:val="auto"/>
        </w:rPr>
        <w:t>. As soon as reasonably practicable, the Partnership will make</w:t>
      </w:r>
      <w:r>
        <w:rPr>
          <w:rFonts w:ascii="Arial" w:cs="Arial" w:eastAsia="Arial" w:hAnsi="Arial"/>
          <w:sz w:val="23"/>
          <w:szCs w:val="23"/>
          <w:i w:val="1"/>
          <w:iCs w:val="1"/>
          <w:color w:val="auto"/>
        </w:rPr>
        <w:t xml:space="preserve"> </w:t>
      </w:r>
      <w:r>
        <w:rPr>
          <w:rFonts w:ascii="Arial" w:cs="Arial" w:eastAsia="Arial" w:hAnsi="Arial"/>
          <w:sz w:val="23"/>
          <w:szCs w:val="23"/>
          <w:color w:val="auto"/>
        </w:rPr>
        <w:t>generally available, via the Commission’s Electronic Data Gathering Analysis and Retrieval (EDGAR) System, to its security holders and to the Managers an earnings statement or statements of the Partnership and its subsidiaries which will satisfy the provisions of Section 11(a) of the Act and Rule 158.</w:t>
      </w:r>
    </w:p>
    <w:p>
      <w:pPr>
        <w:spacing w:after="0" w:line="192" w:lineRule="exact"/>
        <w:rPr>
          <w:rFonts w:ascii="Arial" w:cs="Arial" w:eastAsia="Arial" w:hAnsi="Arial"/>
          <w:sz w:val="23"/>
          <w:szCs w:val="23"/>
          <w:color w:val="auto"/>
        </w:rPr>
      </w:pPr>
    </w:p>
    <w:p>
      <w:pPr>
        <w:jc w:val="both"/>
        <w:ind w:left="-640" w:firstLine="683"/>
        <w:spacing w:after="0" w:line="252" w:lineRule="auto"/>
        <w:tabs>
          <w:tab w:leader="none" w:pos="996"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Signed Copies of Registration Statement</w:t>
      </w:r>
      <w:r>
        <w:rPr>
          <w:rFonts w:ascii="Arial" w:cs="Arial" w:eastAsia="Arial" w:hAnsi="Arial"/>
          <w:sz w:val="22"/>
          <w:szCs w:val="22"/>
          <w:color w:val="auto"/>
        </w:rPr>
        <w:t>. The Partnership will furnish, or otherwise make available upon</w:t>
      </w:r>
      <w:r>
        <w:rPr>
          <w:rFonts w:ascii="Arial" w:cs="Arial" w:eastAsia="Arial" w:hAnsi="Arial"/>
          <w:sz w:val="22"/>
          <w:szCs w:val="22"/>
          <w:i w:val="1"/>
          <w:iCs w:val="1"/>
          <w:color w:val="auto"/>
        </w:rPr>
        <w:t xml:space="preserve"> </w:t>
      </w:r>
      <w:r>
        <w:rPr>
          <w:rFonts w:ascii="Arial" w:cs="Arial" w:eastAsia="Arial" w:hAnsi="Arial"/>
          <w:sz w:val="22"/>
          <w:szCs w:val="22"/>
          <w:color w:val="auto"/>
        </w:rPr>
        <w:t>request, to the Managers and counsel for the Managers, without charge, signed copies of the Registration Statement (including exhibits thereto) and, so long as delivery of a prospectus by the Managers or dealer may be required by the Act (including in circumstances where such requirement may be satisfied pursuant to Rule 172), as many copies of the Prospectus and any supplement thereto as the Managers may reasonably request.</w:t>
      </w:r>
    </w:p>
    <w:p>
      <w:pPr>
        <w:spacing w:after="0" w:line="183" w:lineRule="exact"/>
        <w:rPr>
          <w:rFonts w:ascii="Arial" w:cs="Arial" w:eastAsia="Arial" w:hAnsi="Arial"/>
          <w:sz w:val="22"/>
          <w:szCs w:val="22"/>
          <w:color w:val="auto"/>
        </w:rPr>
      </w:pPr>
    </w:p>
    <w:p>
      <w:pPr>
        <w:jc w:val="both"/>
        <w:ind w:left="-640" w:firstLine="683"/>
        <w:spacing w:after="0" w:line="252" w:lineRule="auto"/>
        <w:tabs>
          <w:tab w:leader="none" w:pos="743"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Qualifications</w:t>
      </w:r>
      <w:r>
        <w:rPr>
          <w:rFonts w:ascii="Arial" w:cs="Arial" w:eastAsia="Arial" w:hAnsi="Arial"/>
          <w:sz w:val="22"/>
          <w:szCs w:val="22"/>
          <w:color w:val="auto"/>
        </w:rPr>
        <w:t>. The Partnership will arrange, if necessary, for the qualification of the Units for sale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laws of such jurisdictions as the Managers may reasonably designate and will maintain such qualifications in effect so long as reasonably required for the distribution of the Units;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183" w:lineRule="exact"/>
        <w:rPr>
          <w:rFonts w:ascii="Arial" w:cs="Arial" w:eastAsia="Arial" w:hAnsi="Arial"/>
          <w:sz w:val="22"/>
          <w:szCs w:val="22"/>
          <w:color w:val="auto"/>
        </w:rPr>
      </w:pPr>
    </w:p>
    <w:p>
      <w:pPr>
        <w:jc w:val="both"/>
        <w:ind w:left="-640" w:firstLine="683"/>
        <w:spacing w:after="0" w:line="241" w:lineRule="auto"/>
        <w:tabs>
          <w:tab w:leader="none" w:pos="767" w:val="left"/>
        </w:tabs>
        <w:numPr>
          <w:ilvl w:val="0"/>
          <w:numId w:val="29"/>
        </w:numPr>
        <w:rPr>
          <w:rFonts w:ascii="Arial" w:cs="Arial" w:eastAsia="Arial" w:hAnsi="Arial"/>
          <w:sz w:val="23"/>
          <w:szCs w:val="23"/>
          <w:color w:val="auto"/>
        </w:rPr>
      </w:pPr>
      <w:r>
        <w:rPr>
          <w:rFonts w:ascii="Arial" w:cs="Arial" w:eastAsia="Arial" w:hAnsi="Arial"/>
          <w:sz w:val="23"/>
          <w:szCs w:val="23"/>
          <w:i w:val="1"/>
          <w:iCs w:val="1"/>
          <w:color w:val="auto"/>
        </w:rPr>
        <w:t>No Issuer Free Writing Prospectus</w:t>
      </w:r>
      <w:r>
        <w:rPr>
          <w:rFonts w:ascii="Arial" w:cs="Arial" w:eastAsia="Arial" w:hAnsi="Arial"/>
          <w:sz w:val="23"/>
          <w:szCs w:val="23"/>
          <w:color w:val="auto"/>
        </w:rPr>
        <w:t>. The Partnership agrees that, unless it obtains the prior written consent of</w:t>
      </w:r>
      <w:r>
        <w:rPr>
          <w:rFonts w:ascii="Arial" w:cs="Arial" w:eastAsia="Arial" w:hAnsi="Arial"/>
          <w:sz w:val="23"/>
          <w:szCs w:val="23"/>
          <w:i w:val="1"/>
          <w:iCs w:val="1"/>
          <w:color w:val="auto"/>
        </w:rPr>
        <w:t xml:space="preserve"> </w:t>
      </w:r>
      <w:r>
        <w:rPr>
          <w:rFonts w:ascii="Arial" w:cs="Arial" w:eastAsia="Arial" w:hAnsi="Arial"/>
          <w:sz w:val="23"/>
          <w:szCs w:val="23"/>
          <w:color w:val="auto"/>
        </w:rPr>
        <w:t>the Managers, and each Manager agrees with the Partnership that, unless it has obtained or will obtain, as the case may be, the prior written consent of the Partnership, it has not made and will not make any offer relating to the Units that would constitute an Issuer Free Writing Prospectus or that would otherwise</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23"/>
          <w:szCs w:val="2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80645</wp:posOffset>
            </wp:positionV>
            <wp:extent cx="7646670"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440" w:top="204" w:right="120" w:bottom="1440" w:gutter="0" w:footer="0" w:header="0"/>
        </w:sectPr>
      </w:pPr>
    </w:p>
    <w:bookmarkStart w:id="24" w:name="page25"/>
    <w:bookmarkEnd w:id="24"/>
    <w:p>
      <w:pPr>
        <w:ind w:left="1" w:right="20"/>
        <w:spacing w:after="0" w:line="257" w:lineRule="auto"/>
        <w:rPr>
          <w:sz w:val="20"/>
          <w:szCs w:val="20"/>
          <w:color w:val="auto"/>
        </w:rPr>
      </w:pPr>
      <w:r>
        <w:rPr>
          <w:rFonts w:ascii="Arial" w:cs="Arial" w:eastAsia="Arial" w:hAnsi="Arial"/>
          <w:sz w:val="23"/>
          <w:szCs w:val="23"/>
          <w:color w:val="auto"/>
        </w:rPr>
        <w:t>constitute a “free writing prospectus” (as defined in Rule 405) required to be filed by the Partnership with the Commission or retained by the Partnership under Rule 433.</w:t>
      </w:r>
    </w:p>
    <w:p>
      <w:pPr>
        <w:spacing w:after="0" w:line="175" w:lineRule="exact"/>
        <w:rPr>
          <w:sz w:val="20"/>
          <w:szCs w:val="20"/>
          <w:color w:val="auto"/>
        </w:rPr>
      </w:pPr>
    </w:p>
    <w:p>
      <w:pPr>
        <w:jc w:val="both"/>
        <w:ind w:left="1" w:firstLine="683"/>
        <w:spacing w:after="0" w:line="270" w:lineRule="auto"/>
        <w:tabs>
          <w:tab w:leader="none" w:pos="1423" w:val="left"/>
        </w:tabs>
        <w:numPr>
          <w:ilvl w:val="1"/>
          <w:numId w:val="30"/>
        </w:numPr>
        <w:rPr>
          <w:rFonts w:ascii="Arial" w:cs="Arial" w:eastAsia="Arial" w:hAnsi="Arial"/>
          <w:sz w:val="20"/>
          <w:szCs w:val="20"/>
          <w:color w:val="auto"/>
        </w:rPr>
      </w:pPr>
      <w:r>
        <w:rPr>
          <w:rFonts w:ascii="Arial" w:cs="Arial" w:eastAsia="Arial" w:hAnsi="Arial"/>
          <w:sz w:val="20"/>
          <w:szCs w:val="20"/>
          <w:i w:val="1"/>
          <w:iCs w:val="1"/>
          <w:color w:val="auto"/>
        </w:rPr>
        <w:t>Limitation on Sale of Common Units</w:t>
      </w:r>
      <w:r>
        <w:rPr>
          <w:rFonts w:ascii="Arial" w:cs="Arial" w:eastAsia="Arial" w:hAnsi="Arial"/>
          <w:sz w:val="20"/>
          <w:szCs w:val="20"/>
          <w:color w:val="auto"/>
        </w:rPr>
        <w:t>. If sales of the Units have been made but not settled, or the Partnership</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has had outstanding with the Managers any instructions to sell the Units, in either case, within the prior five Business Days, the Partnership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Partnership or any affiliate of the Partnership or any person in privity with the Partnership or any affiliate of the Partnership) directly or indirectly, including the filing (or participation in the filing) of a registration statement with the Commission (other than a registration statement on Form S-8, a post-effective amendment to the Registration Statement made in compliance with paragraph (a) of this Section 4 or a new “shelf” registration statement) in respect of, or establish or increase a put equivalent position or liquidate or decrease a call equivalent position within the meaning of Section 16 of the Exchange Act, any Common Units or any securities convertible into, or exercisable, or exchangeable for, Common Units; or publicly announce an intention to effect any such transaction without (i) giving the Managers at least three Business Days’ prior written notice specifying the nature of the proposed transaction and the date of such proposed transaction and (ii) the Managers suspending acting under this Agreement for such period of time requested by the Partnership or as deemed reasonably appropriate by the Managers in light of the proposed transaction;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Partnership may (i) issue and sell Units pursuant to this Agreement or any Terms Agreement, (ii) issue and sell Common Units pursuant to employee stock option or other incentive compensation plans or employment arrangements existing on the date hereof as described in the Prospectus (as such plans may be amended, supplemented or replaced), or pursuant to incentive compensation plans or employment arrangements entered into in the ordinary course, (iii) issue Common Units upon the exercise of an option or warrant or the conversion of a security outstanding on the date hereof which is disclosed in the Registration Statement and the Prospectus, (iv) issue general partner units to maintain the General Partner’s 2% general partner interest in the Partnership, (v) issue Common Units or general partner units to GasLog or any of its subsidiaries, </w:t>
      </w:r>
      <w:r>
        <w:rPr>
          <w:rFonts w:ascii="Arial" w:cs="Arial" w:eastAsia="Arial" w:hAnsi="Arial"/>
          <w:sz w:val="20"/>
          <w:szCs w:val="20"/>
          <w:i w:val="1"/>
          <w:iCs w:val="1"/>
          <w:color w:val="auto"/>
        </w:rPr>
        <w:t>provided</w:t>
      </w:r>
      <w:r>
        <w:rPr>
          <w:rFonts w:ascii="Arial" w:cs="Arial" w:eastAsia="Arial" w:hAnsi="Arial"/>
          <w:sz w:val="20"/>
          <w:szCs w:val="20"/>
          <w:color w:val="auto"/>
        </w:rPr>
        <w:t>, that in connection with such issuance, GasLog or any applicable subsidiary agrees in writing to be bound by the provisions of this Section 4(h), and (vi) establish a trading plan pursuant to Rule 10b5-1 under the Act for the transfer of Common Units.</w:t>
      </w:r>
    </w:p>
    <w:p>
      <w:pPr>
        <w:spacing w:after="0" w:line="179" w:lineRule="exact"/>
        <w:rPr>
          <w:rFonts w:ascii="Arial" w:cs="Arial" w:eastAsia="Arial" w:hAnsi="Arial"/>
          <w:sz w:val="20"/>
          <w:szCs w:val="20"/>
          <w:color w:val="auto"/>
        </w:rPr>
      </w:pPr>
    </w:p>
    <w:p>
      <w:pPr>
        <w:jc w:val="both"/>
        <w:ind w:left="1" w:firstLine="683"/>
        <w:spacing w:after="0" w:line="261" w:lineRule="auto"/>
        <w:tabs>
          <w:tab w:leader="none" w:pos="1557" w:val="left"/>
        </w:tabs>
        <w:numPr>
          <w:ilvl w:val="1"/>
          <w:numId w:val="30"/>
        </w:numPr>
        <w:rPr>
          <w:rFonts w:ascii="Arial" w:cs="Arial" w:eastAsia="Arial" w:hAnsi="Arial"/>
          <w:sz w:val="21"/>
          <w:szCs w:val="21"/>
          <w:color w:val="auto"/>
        </w:rPr>
      </w:pPr>
      <w:r>
        <w:rPr>
          <w:rFonts w:ascii="Arial" w:cs="Arial" w:eastAsia="Arial" w:hAnsi="Arial"/>
          <w:sz w:val="21"/>
          <w:szCs w:val="21"/>
          <w:i w:val="1"/>
          <w:iCs w:val="1"/>
          <w:color w:val="auto"/>
        </w:rPr>
        <w:t>Market Stabilization</w:t>
      </w:r>
      <w:r>
        <w:rPr>
          <w:rFonts w:ascii="Arial" w:cs="Arial" w:eastAsia="Arial" w:hAnsi="Arial"/>
          <w:sz w:val="21"/>
          <w:szCs w:val="21"/>
          <w:color w:val="auto"/>
        </w:rPr>
        <w:t>. The Partnership will not (i) take, directly or indirectly, any action designed to or that</w:t>
      </w:r>
      <w:r>
        <w:rPr>
          <w:rFonts w:ascii="Arial" w:cs="Arial" w:eastAsia="Arial" w:hAnsi="Arial"/>
          <w:sz w:val="21"/>
          <w:szCs w:val="21"/>
          <w:i w:val="1"/>
          <w:iCs w:val="1"/>
          <w:color w:val="auto"/>
        </w:rPr>
        <w:t xml:space="preserve"> </w:t>
      </w:r>
      <w:r>
        <w:rPr>
          <w:rFonts w:ascii="Arial" w:cs="Arial" w:eastAsia="Arial" w:hAnsi="Arial"/>
          <w:sz w:val="21"/>
          <w:szCs w:val="21"/>
          <w:color w:val="auto"/>
        </w:rPr>
        <w:t>would constitute or that might reasonably be expected to cause or result in, under the Exchange Act or otherwise, stabilization or manipulation of the price of any security of the Partnership to facilitate the sale or resale of the Units or</w:t>
      </w:r>
    </w:p>
    <w:p>
      <w:pPr>
        <w:spacing w:after="0" w:line="2" w:lineRule="exact"/>
        <w:rPr>
          <w:rFonts w:ascii="Arial" w:cs="Arial" w:eastAsia="Arial" w:hAnsi="Arial"/>
          <w:sz w:val="21"/>
          <w:szCs w:val="21"/>
          <w:color w:val="auto"/>
        </w:rPr>
      </w:pPr>
    </w:p>
    <w:p>
      <w:pPr>
        <w:jc w:val="both"/>
        <w:ind w:left="1" w:hanging="1"/>
        <w:spacing w:after="0" w:line="311" w:lineRule="auto"/>
        <w:tabs>
          <w:tab w:leader="none" w:pos="3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sell, bid for, purchase or pay any person (other than as contemplated by this Agreement or any Terms Agreement) any compensation for soliciting purchases of the Units; provided that nothing herein shall prevent the Partnership from filing or</w:t>
      </w:r>
    </w:p>
    <w:p>
      <w:pPr>
        <w:spacing w:after="0" w:line="154" w:lineRule="exact"/>
        <w:rPr>
          <w:sz w:val="20"/>
          <w:szCs w:val="20"/>
          <w:color w:val="auto"/>
        </w:rPr>
      </w:pPr>
    </w:p>
    <w:p>
      <w:pPr>
        <w:ind w:left="5201"/>
        <w:spacing w:after="0"/>
        <w:rPr>
          <w:sz w:val="20"/>
          <w:szCs w:val="20"/>
          <w:color w:val="auto"/>
        </w:rPr>
      </w:pPr>
      <w:r>
        <w:rPr>
          <w:rFonts w:ascii="Arial" w:cs="Arial" w:eastAsia="Arial" w:hAnsi="Arial"/>
          <w:sz w:val="23"/>
          <w:szCs w:val="2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80645</wp:posOffset>
            </wp:positionV>
            <wp:extent cx="7646670" cy="31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33" w:right="120" w:bottom="1440" w:gutter="0" w:footer="0" w:header="0"/>
        </w:sectPr>
      </w:pPr>
    </w:p>
    <w:bookmarkStart w:id="25" w:name="page26"/>
    <w:bookmarkEnd w:id="25"/>
    <w:p>
      <w:pPr>
        <w:ind w:left="1"/>
        <w:spacing w:after="0"/>
        <w:rPr>
          <w:sz w:val="20"/>
          <w:szCs w:val="20"/>
          <w:color w:val="auto"/>
        </w:rPr>
      </w:pPr>
      <w:r>
        <w:rPr>
          <w:rFonts w:ascii="Arial" w:cs="Arial" w:eastAsia="Arial" w:hAnsi="Arial"/>
          <w:sz w:val="23"/>
          <w:szCs w:val="23"/>
          <w:color w:val="auto"/>
        </w:rPr>
        <w:t>submitting reports under the Exchange Act or issuing press releases in the ordinary course of business.</w:t>
      </w:r>
    </w:p>
    <w:p>
      <w:pPr>
        <w:spacing w:after="0" w:line="220" w:lineRule="exact"/>
        <w:rPr>
          <w:sz w:val="20"/>
          <w:szCs w:val="20"/>
          <w:color w:val="auto"/>
        </w:rPr>
      </w:pPr>
    </w:p>
    <w:p>
      <w:pPr>
        <w:jc w:val="both"/>
        <w:ind w:left="1" w:firstLine="683"/>
        <w:spacing w:after="0" w:line="241" w:lineRule="auto"/>
        <w:tabs>
          <w:tab w:leader="none" w:pos="2042" w:val="left"/>
        </w:tabs>
        <w:numPr>
          <w:ilvl w:val="1"/>
          <w:numId w:val="32"/>
        </w:numPr>
        <w:rPr>
          <w:rFonts w:ascii="Arial" w:cs="Arial" w:eastAsia="Arial" w:hAnsi="Arial"/>
          <w:sz w:val="23"/>
          <w:szCs w:val="23"/>
          <w:color w:val="auto"/>
        </w:rPr>
      </w:pPr>
      <w:r>
        <w:rPr>
          <w:rFonts w:ascii="Arial" w:cs="Arial" w:eastAsia="Arial" w:hAnsi="Arial"/>
          <w:sz w:val="23"/>
          <w:szCs w:val="23"/>
          <w:i w:val="1"/>
          <w:iCs w:val="1"/>
          <w:color w:val="auto"/>
        </w:rPr>
        <w:t>Notifications to Managers</w:t>
      </w:r>
      <w:r>
        <w:rPr>
          <w:rFonts w:ascii="Arial" w:cs="Arial" w:eastAsia="Arial" w:hAnsi="Arial"/>
          <w:sz w:val="23"/>
          <w:szCs w:val="23"/>
          <w:color w:val="auto"/>
        </w:rPr>
        <w:t>. The Partnership will, at any time during the term of this Agreement, as</w:t>
      </w:r>
      <w:r>
        <w:rPr>
          <w:rFonts w:ascii="Arial" w:cs="Arial" w:eastAsia="Arial" w:hAnsi="Arial"/>
          <w:sz w:val="23"/>
          <w:szCs w:val="23"/>
          <w:i w:val="1"/>
          <w:iCs w:val="1"/>
          <w:color w:val="auto"/>
        </w:rPr>
        <w:t xml:space="preserve"> </w:t>
      </w:r>
      <w:r>
        <w:rPr>
          <w:rFonts w:ascii="Arial" w:cs="Arial" w:eastAsia="Arial" w:hAnsi="Arial"/>
          <w:sz w:val="23"/>
          <w:szCs w:val="23"/>
          <w:color w:val="auto"/>
        </w:rPr>
        <w:t>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spacing w:after="0" w:line="192" w:lineRule="exact"/>
        <w:rPr>
          <w:rFonts w:ascii="Arial" w:cs="Arial" w:eastAsia="Arial" w:hAnsi="Arial"/>
          <w:sz w:val="23"/>
          <w:szCs w:val="23"/>
          <w:color w:val="auto"/>
        </w:rPr>
      </w:pPr>
    </w:p>
    <w:p>
      <w:pPr>
        <w:jc w:val="both"/>
        <w:ind w:left="1" w:firstLine="683"/>
        <w:spacing w:after="0" w:line="256" w:lineRule="auto"/>
        <w:tabs>
          <w:tab w:leader="none" w:pos="1480" w:val="left"/>
        </w:tabs>
        <w:numPr>
          <w:ilvl w:val="1"/>
          <w:numId w:val="32"/>
        </w:numPr>
        <w:rPr>
          <w:rFonts w:ascii="Arial" w:cs="Arial" w:eastAsia="Arial" w:hAnsi="Arial"/>
          <w:sz w:val="21"/>
          <w:szCs w:val="21"/>
          <w:color w:val="auto"/>
        </w:rPr>
      </w:pPr>
      <w:r>
        <w:rPr>
          <w:rFonts w:ascii="Arial" w:cs="Arial" w:eastAsia="Arial" w:hAnsi="Arial"/>
          <w:sz w:val="21"/>
          <w:szCs w:val="21"/>
          <w:i w:val="1"/>
          <w:iCs w:val="1"/>
          <w:color w:val="auto"/>
        </w:rPr>
        <w:t>Certificates</w:t>
      </w:r>
      <w:r>
        <w:rPr>
          <w:rFonts w:ascii="Arial" w:cs="Arial" w:eastAsia="Arial" w:hAnsi="Arial"/>
          <w:sz w:val="21"/>
          <w:szCs w:val="21"/>
          <w:color w:val="auto"/>
        </w:rPr>
        <w:t>. Upon commencement of the offering of the Units under this Agreement (and, to the extent not</w:t>
      </w:r>
      <w:r>
        <w:rPr>
          <w:rFonts w:ascii="Arial" w:cs="Arial" w:eastAsia="Arial" w:hAnsi="Arial"/>
          <w:sz w:val="21"/>
          <w:szCs w:val="21"/>
          <w:i w:val="1"/>
          <w:iCs w:val="1"/>
          <w:color w:val="auto"/>
        </w:rPr>
        <w:t xml:space="preserve"> </w:t>
      </w:r>
      <w:r>
        <w:rPr>
          <w:rFonts w:ascii="Arial" w:cs="Arial" w:eastAsia="Arial" w:hAnsi="Arial"/>
          <w:sz w:val="21"/>
          <w:szCs w:val="21"/>
          <w:color w:val="auto"/>
        </w:rPr>
        <w:t>duplicative of a Representation Date (as defined below) referred to in (i)-(vii) below, upon the recommencement of the ability of the Partnership to offer Units under this Agreement upon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subclauses (ii), (iii), (iv), (vi) or (vii) below), (ii) the Partnership shall file an Earnings 6-K (defined below) (the date of each such filing, and any date on which an amendment to any such document is filed, an “</w:t>
      </w:r>
      <w:r>
        <w:rPr>
          <w:rFonts w:ascii="Arial" w:cs="Arial" w:eastAsia="Arial" w:hAnsi="Arial"/>
          <w:sz w:val="21"/>
          <w:szCs w:val="21"/>
          <w:u w:val="single" w:color="auto"/>
          <w:color w:val="auto"/>
        </w:rPr>
        <w:t>Earnings Filing Date</w:t>
      </w:r>
      <w:r>
        <w:rPr>
          <w:rFonts w:ascii="Arial" w:cs="Arial" w:eastAsia="Arial" w:hAnsi="Arial"/>
          <w:sz w:val="21"/>
          <w:szCs w:val="21"/>
          <w:color w:val="auto"/>
        </w:rPr>
        <w:t>”), (iii) the Partnership shall file a Report on Form 6-K (each a “</w:t>
      </w:r>
      <w:r>
        <w:rPr>
          <w:rFonts w:ascii="Arial" w:cs="Arial" w:eastAsia="Arial" w:hAnsi="Arial"/>
          <w:sz w:val="21"/>
          <w:szCs w:val="21"/>
          <w:u w:val="single" w:color="auto"/>
          <w:color w:val="auto"/>
        </w:rPr>
        <w:t>Quarterly Report</w:t>
      </w:r>
      <w:r>
        <w:rPr>
          <w:rFonts w:ascii="Arial" w:cs="Arial" w:eastAsia="Arial" w:hAnsi="Arial"/>
          <w:sz w:val="21"/>
          <w:szCs w:val="21"/>
          <w:color w:val="auto"/>
        </w:rPr>
        <w:t>”) containing reviewed quarterly financial statements for the three months ended March 31, June 30 or September 30 (other than an Earnings 6-K) (the date of each such filing, and any date on which an amendment to any such document is filed, a “</w:t>
      </w:r>
      <w:r>
        <w:rPr>
          <w:rFonts w:ascii="Arial" w:cs="Arial" w:eastAsia="Arial" w:hAnsi="Arial"/>
          <w:sz w:val="21"/>
          <w:szCs w:val="21"/>
          <w:u w:val="single" w:color="auto"/>
          <w:color w:val="auto"/>
        </w:rPr>
        <w:t>Quarterly Filing Date</w:t>
      </w:r>
      <w:r>
        <w:rPr>
          <w:rFonts w:ascii="Arial" w:cs="Arial" w:eastAsia="Arial" w:hAnsi="Arial"/>
          <w:sz w:val="21"/>
          <w:szCs w:val="21"/>
          <w:color w:val="auto"/>
        </w:rPr>
        <w:t>”) (iv) the Partnership shall file an Annual Report on Form 20-F (the date of each such filing, and any date on which an amendment to any such document is filed, an “</w:t>
      </w:r>
      <w:r>
        <w:rPr>
          <w:rFonts w:ascii="Arial" w:cs="Arial" w:eastAsia="Arial" w:hAnsi="Arial"/>
          <w:sz w:val="21"/>
          <w:szCs w:val="21"/>
          <w:u w:val="single" w:color="auto"/>
          <w:color w:val="auto"/>
        </w:rPr>
        <w:t>Annual Filing Date</w:t>
      </w:r>
      <w:r>
        <w:rPr>
          <w:rFonts w:ascii="Arial" w:cs="Arial" w:eastAsia="Arial" w:hAnsi="Arial"/>
          <w:sz w:val="21"/>
          <w:szCs w:val="21"/>
          <w:color w:val="auto"/>
        </w:rPr>
        <w:t>”), (v) the Units are delivered to the Managers as principals at the Time of Delivery pursuant to a Terms Agreement, (vi) the Partnership shall file a Report on Form 6-K containing financial statements, which are incorporated by reference into the Registration Statement, or</w:t>
      </w:r>
    </w:p>
    <w:p>
      <w:pPr>
        <w:spacing w:after="0" w:line="7" w:lineRule="exact"/>
        <w:rPr>
          <w:rFonts w:ascii="Arial" w:cs="Arial" w:eastAsia="Arial" w:hAnsi="Arial"/>
          <w:sz w:val="21"/>
          <w:szCs w:val="21"/>
          <w:color w:val="auto"/>
        </w:rPr>
      </w:pPr>
    </w:p>
    <w:p>
      <w:pPr>
        <w:jc w:val="both"/>
        <w:ind w:left="1" w:hanging="1"/>
        <w:spacing w:after="0" w:line="271" w:lineRule="auto"/>
        <w:tabs>
          <w:tab w:leader="none" w:pos="5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otherwise as the Managers may reasonably request upon reasonable advance notice to the Partnership (such commencement or recommencement date and each such date referred to in (i) - (vii) above, a “</w:t>
      </w:r>
      <w:r>
        <w:rPr>
          <w:rFonts w:ascii="Arial" w:cs="Arial" w:eastAsia="Arial" w:hAnsi="Arial"/>
          <w:sz w:val="20"/>
          <w:szCs w:val="20"/>
          <w:u w:val="single" w:color="auto"/>
          <w:color w:val="auto"/>
        </w:rPr>
        <w:t>Representation Date</w:t>
      </w:r>
      <w:r>
        <w:rPr>
          <w:rFonts w:ascii="Arial" w:cs="Arial" w:eastAsia="Arial" w:hAnsi="Arial"/>
          <w:sz w:val="20"/>
          <w:szCs w:val="20"/>
          <w:color w:val="auto"/>
        </w:rPr>
        <w:t>”), the Partnership shall furnish or cause to be furnished to the Managers forthwith a certificate dated and delivered the date of such commencement or recommencement, effectiveness of such amendment, the date of filing with the Commission of such supplement or other document, the Time of Delivery, or promptly upon request, as the case may be, in form satisfactory to the Managers to the effect that the statements contained in the certificate referred to in Section 6(d) of this Agreement which were last furnished to the Managers are true and correct at the time of such commencement or recommencement, amendment, supplement, filing, or delivery, as the case may be,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6(d), modified as necessary to relate to the Registration Statement and the Prospectus as amended and supplemented to the time of delivery of such certificate. Notwithstanding the foregoing or anything in this Agreement</w:t>
      </w:r>
    </w:p>
    <w:p>
      <w:pPr>
        <w:spacing w:after="0" w:line="201" w:lineRule="exact"/>
        <w:rPr>
          <w:sz w:val="20"/>
          <w:szCs w:val="20"/>
          <w:color w:val="auto"/>
        </w:rPr>
      </w:pPr>
    </w:p>
    <w:p>
      <w:pPr>
        <w:ind w:left="5201"/>
        <w:spacing w:after="0"/>
        <w:rPr>
          <w:sz w:val="20"/>
          <w:szCs w:val="20"/>
          <w:color w:val="auto"/>
        </w:rPr>
      </w:pPr>
      <w:r>
        <w:rPr>
          <w:rFonts w:ascii="Arial" w:cs="Arial" w:eastAsia="Arial" w:hAnsi="Arial"/>
          <w:sz w:val="23"/>
          <w:szCs w:val="2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80645</wp:posOffset>
            </wp:positionV>
            <wp:extent cx="7646670" cy="31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33" w:right="120" w:bottom="1440" w:gutter="0" w:footer="0" w:header="0"/>
        </w:sectPr>
      </w:pPr>
    </w:p>
    <w:bookmarkStart w:id="26" w:name="page27"/>
    <w:bookmarkEnd w:id="26"/>
    <w:p>
      <w:pPr>
        <w:ind w:right="20"/>
        <w:spacing w:after="0" w:line="257" w:lineRule="auto"/>
        <w:rPr>
          <w:sz w:val="20"/>
          <w:szCs w:val="20"/>
          <w:color w:val="auto"/>
        </w:rPr>
      </w:pPr>
      <w:r>
        <w:rPr>
          <w:rFonts w:ascii="Arial" w:cs="Arial" w:eastAsia="Arial" w:hAnsi="Arial"/>
          <w:sz w:val="23"/>
          <w:szCs w:val="23"/>
          <w:color w:val="auto"/>
        </w:rPr>
        <w:t>to the contrary, no Representation Date shall be deemed to occur during any period where either the Partnership or the Managers have suspended sales hereunder.</w:t>
      </w:r>
    </w:p>
    <w:p>
      <w:pPr>
        <w:spacing w:after="0" w:line="175" w:lineRule="exact"/>
        <w:rPr>
          <w:sz w:val="20"/>
          <w:szCs w:val="20"/>
          <w:color w:val="auto"/>
        </w:rPr>
      </w:pPr>
    </w:p>
    <w:p>
      <w:pPr>
        <w:jc w:val="both"/>
        <w:ind w:firstLine="683"/>
        <w:spacing w:after="0" w:line="238" w:lineRule="auto"/>
        <w:tabs>
          <w:tab w:leader="none" w:pos="1570" w:val="left"/>
        </w:tabs>
        <w:numPr>
          <w:ilvl w:val="0"/>
          <w:numId w:val="34"/>
        </w:numPr>
        <w:rPr>
          <w:rFonts w:ascii="Arial" w:cs="Arial" w:eastAsia="Arial" w:hAnsi="Arial"/>
          <w:sz w:val="23"/>
          <w:szCs w:val="23"/>
          <w:color w:val="auto"/>
        </w:rPr>
      </w:pPr>
      <w:r>
        <w:rPr>
          <w:rFonts w:ascii="Arial" w:cs="Arial" w:eastAsia="Arial" w:hAnsi="Arial"/>
          <w:sz w:val="23"/>
          <w:szCs w:val="23"/>
          <w:i w:val="1"/>
          <w:iCs w:val="1"/>
          <w:color w:val="auto"/>
        </w:rPr>
        <w:t>Opinion of Partnership Counsel</w:t>
      </w:r>
      <w:r>
        <w:rPr>
          <w:rFonts w:ascii="Arial" w:cs="Arial" w:eastAsia="Arial" w:hAnsi="Arial"/>
          <w:sz w:val="23"/>
          <w:szCs w:val="23"/>
          <w:color w:val="auto"/>
        </w:rPr>
        <w:t>. At each Representation Date, the Partnership shall furnish or cause to be</w:t>
      </w:r>
      <w:r>
        <w:rPr>
          <w:rFonts w:ascii="Arial" w:cs="Arial" w:eastAsia="Arial" w:hAnsi="Arial"/>
          <w:sz w:val="23"/>
          <w:szCs w:val="23"/>
          <w:i w:val="1"/>
          <w:iCs w:val="1"/>
          <w:color w:val="auto"/>
        </w:rPr>
        <w:t xml:space="preserve"> </w:t>
      </w:r>
      <w:r>
        <w:rPr>
          <w:rFonts w:ascii="Arial" w:cs="Arial" w:eastAsia="Arial" w:hAnsi="Arial"/>
          <w:sz w:val="23"/>
          <w:szCs w:val="23"/>
          <w:color w:val="auto"/>
        </w:rPr>
        <w:t xml:space="preserve">furnished forthwith to the Managers and to counsel to the Managers a written opinion of Cravath, Swaine &amp; Moore LLP, U.S.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3"/>
          <w:szCs w:val="23"/>
          <w:u w:val="single" w:color="auto"/>
          <w:color w:val="auto"/>
        </w:rPr>
        <w:t>Annex II</w:t>
      </w:r>
      <w:r>
        <w:rPr>
          <w:rFonts w:ascii="Arial" w:cs="Arial" w:eastAsia="Arial" w:hAnsi="Arial"/>
          <w:sz w:val="23"/>
          <w:szCs w:val="23"/>
          <w:color w:val="auto"/>
        </w:rPr>
        <w:t>, but modified as necessary to relate to the Registration Statement and the Prospectus as amended and supplemented to the time of delivery of such opinion.</w:t>
      </w:r>
    </w:p>
    <w:p>
      <w:pPr>
        <w:spacing w:after="0" w:line="194" w:lineRule="exact"/>
        <w:rPr>
          <w:rFonts w:ascii="Arial" w:cs="Arial" w:eastAsia="Arial" w:hAnsi="Arial"/>
          <w:sz w:val="23"/>
          <w:szCs w:val="23"/>
          <w:color w:val="auto"/>
        </w:rPr>
      </w:pPr>
    </w:p>
    <w:p>
      <w:pPr>
        <w:jc w:val="both"/>
        <w:ind w:firstLine="683"/>
        <w:spacing w:after="0" w:line="265" w:lineRule="auto"/>
        <w:tabs>
          <w:tab w:leader="none" w:pos="1755" w:val="left"/>
        </w:tabs>
        <w:numPr>
          <w:ilvl w:val="0"/>
          <w:numId w:val="34"/>
        </w:numPr>
        <w:rPr>
          <w:rFonts w:ascii="Arial" w:cs="Arial" w:eastAsia="Arial" w:hAnsi="Arial"/>
          <w:sz w:val="21"/>
          <w:szCs w:val="21"/>
          <w:color w:val="auto"/>
        </w:rPr>
      </w:pPr>
      <w:r>
        <w:rPr>
          <w:rFonts w:ascii="Arial" w:cs="Arial" w:eastAsia="Arial" w:hAnsi="Arial"/>
          <w:sz w:val="21"/>
          <w:szCs w:val="21"/>
          <w:i w:val="1"/>
          <w:iCs w:val="1"/>
          <w:color w:val="auto"/>
        </w:rPr>
        <w:t>Opinion of Cozen O’Connor</w:t>
      </w:r>
      <w:r>
        <w:rPr>
          <w:rFonts w:ascii="Arial" w:cs="Arial" w:eastAsia="Arial" w:hAnsi="Arial"/>
          <w:sz w:val="21"/>
          <w:szCs w:val="21"/>
          <w:color w:val="auto"/>
        </w:rPr>
        <w:t>. At each Representation Date, the Partnership shall furnish or cause to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furnished forthwith to the Managers and to counsel to the Managers a written opinion of Cozen O’Connor (or other counsel satisfactory to the Managers), special counsel on matters of Marshall Islands law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1"/>
          <w:szCs w:val="21"/>
          <w:u w:val="single" w:color="auto"/>
          <w:color w:val="auto"/>
        </w:rPr>
        <w:t>Annex III</w:t>
      </w:r>
      <w:r>
        <w:rPr>
          <w:rFonts w:ascii="Arial" w:cs="Arial" w:eastAsia="Arial" w:hAnsi="Arial"/>
          <w:sz w:val="21"/>
          <w:szCs w:val="21"/>
          <w:color w:val="auto"/>
        </w:rPr>
        <w:t>, but modified as necessary to relate to the Registration Statement and the Prospectus as amended and supplemented to the time of delivery of such opinion.</w:t>
      </w:r>
    </w:p>
    <w:p>
      <w:pPr>
        <w:spacing w:after="0" w:line="168" w:lineRule="exact"/>
        <w:rPr>
          <w:rFonts w:ascii="Arial" w:cs="Arial" w:eastAsia="Arial" w:hAnsi="Arial"/>
          <w:sz w:val="21"/>
          <w:szCs w:val="21"/>
          <w:color w:val="auto"/>
        </w:rPr>
      </w:pPr>
    </w:p>
    <w:p>
      <w:pPr>
        <w:jc w:val="both"/>
        <w:ind w:firstLine="683"/>
        <w:spacing w:after="0" w:line="249" w:lineRule="auto"/>
        <w:tabs>
          <w:tab w:leader="none" w:pos="1435"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Opinion of Conyers Dill Pearman Limited</w:t>
      </w:r>
      <w:r>
        <w:rPr>
          <w:rFonts w:ascii="Arial" w:cs="Arial" w:eastAsia="Arial" w:hAnsi="Arial"/>
          <w:sz w:val="22"/>
          <w:szCs w:val="22"/>
          <w:color w:val="auto"/>
        </w:rPr>
        <w:t>. At the Effective Time and at each Representation Date that is 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Annual Filing Date, the Partnership shall furnish or cause to be furnished forthwith to the Managers and to counsel to the Managers a written opinion of Conyers Dill Pearman Limited (or other counsel satisfactory to the Managers), special Bermuda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2"/>
          <w:szCs w:val="22"/>
          <w:u w:val="single" w:color="auto"/>
          <w:color w:val="auto"/>
        </w:rPr>
        <w:t>Annex IV</w:t>
      </w:r>
      <w:r>
        <w:rPr>
          <w:rFonts w:ascii="Arial" w:cs="Arial" w:eastAsia="Arial" w:hAnsi="Arial"/>
          <w:sz w:val="22"/>
          <w:szCs w:val="22"/>
          <w:color w:val="auto"/>
        </w:rPr>
        <w:t>, but modified as necessary to relate to the Registration Statement and the Prospectus as amended and supplemented to the time of delivery of such opinion.</w:t>
      </w:r>
    </w:p>
    <w:p>
      <w:pPr>
        <w:spacing w:after="0" w:line="188" w:lineRule="exact"/>
        <w:rPr>
          <w:sz w:val="20"/>
          <w:szCs w:val="20"/>
          <w:color w:val="auto"/>
        </w:rPr>
      </w:pPr>
    </w:p>
    <w:p>
      <w:pPr>
        <w:ind w:left="680"/>
        <w:spacing w:after="0"/>
        <w:tabs>
          <w:tab w:leader="none" w:pos="2220" w:val="left"/>
        </w:tabs>
        <w:rPr>
          <w:sz w:val="20"/>
          <w:szCs w:val="20"/>
          <w:color w:val="auto"/>
        </w:rPr>
      </w:pPr>
      <w:r>
        <w:rPr>
          <w:rFonts w:ascii="Arial" w:cs="Arial" w:eastAsia="Arial" w:hAnsi="Arial"/>
          <w:sz w:val="21"/>
          <w:szCs w:val="21"/>
          <w:color w:val="auto"/>
        </w:rPr>
        <w:t>(o)</w:t>
      </w:r>
      <w:r>
        <w:rPr>
          <w:sz w:val="20"/>
          <w:szCs w:val="20"/>
          <w:color w:val="auto"/>
        </w:rPr>
        <w:tab/>
      </w:r>
      <w:r>
        <w:rPr>
          <w:rFonts w:ascii="Arial" w:cs="Arial" w:eastAsia="Arial" w:hAnsi="Arial"/>
          <w:sz w:val="21"/>
          <w:szCs w:val="21"/>
          <w:i w:val="1"/>
          <w:iCs w:val="1"/>
          <w:color w:val="auto"/>
        </w:rPr>
        <w:t>Opinion of CMS Cameron McKenna Nabarro Olswang LLP</w:t>
      </w:r>
      <w:r>
        <w:rPr>
          <w:rFonts w:ascii="Arial" w:cs="Arial" w:eastAsia="Arial" w:hAnsi="Arial"/>
          <w:sz w:val="21"/>
          <w:szCs w:val="21"/>
          <w:color w:val="auto"/>
        </w:rPr>
        <w:t>. At the Effective Time and at each</w:t>
      </w:r>
    </w:p>
    <w:p>
      <w:pPr>
        <w:spacing w:after="0" w:line="3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Representation Date that is an Annual Filing Date, the Partnership shall furnish or cause to be furnished forthwith to the Managers and to counsel to the Managers a written opinion of CMS Cameron McKenna Nabarro Olswang LLP (or other counsel satisfactory to the Managers), special English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2"/>
          <w:szCs w:val="22"/>
          <w:u w:val="single" w:color="auto"/>
          <w:color w:val="auto"/>
        </w:rPr>
        <w:t>Annex V</w:t>
      </w:r>
      <w:r>
        <w:rPr>
          <w:rFonts w:ascii="Arial" w:cs="Arial" w:eastAsia="Arial" w:hAnsi="Arial"/>
          <w:sz w:val="22"/>
          <w:szCs w:val="22"/>
          <w:color w:val="auto"/>
        </w:rPr>
        <w:t>, but modified as necessary to relate to the Registration Statement and the Prospectus as amended and supplemented to the time of delivery of such opinion.</w:t>
      </w:r>
    </w:p>
    <w:p>
      <w:pPr>
        <w:spacing w:after="0" w:line="186" w:lineRule="exact"/>
        <w:rPr>
          <w:sz w:val="20"/>
          <w:szCs w:val="20"/>
          <w:color w:val="auto"/>
        </w:rPr>
      </w:pPr>
    </w:p>
    <w:p>
      <w:pPr>
        <w:jc w:val="both"/>
        <w:ind w:firstLine="683"/>
        <w:spacing w:after="0" w:line="255" w:lineRule="auto"/>
        <w:tabs>
          <w:tab w:leader="none" w:pos="1892"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Opinion of Managers Counsel</w:t>
      </w:r>
      <w:r>
        <w:rPr>
          <w:rFonts w:ascii="Arial" w:cs="Arial" w:eastAsia="Arial" w:hAnsi="Arial"/>
          <w:sz w:val="22"/>
          <w:szCs w:val="22"/>
          <w:color w:val="auto"/>
        </w:rPr>
        <w:t>. At each Representation Date, Latham &amp; Watkins LLP, counsel to the</w:t>
      </w:r>
      <w:r>
        <w:rPr>
          <w:rFonts w:ascii="Arial" w:cs="Arial" w:eastAsia="Arial" w:hAnsi="Arial"/>
          <w:sz w:val="22"/>
          <w:szCs w:val="22"/>
          <w:i w:val="1"/>
          <w:iCs w:val="1"/>
          <w:color w:val="auto"/>
        </w:rPr>
        <w:t xml:space="preserve"> </w:t>
      </w:r>
      <w:r>
        <w:rPr>
          <w:rFonts w:ascii="Arial" w:cs="Arial" w:eastAsia="Arial" w:hAnsi="Arial"/>
          <w:sz w:val="22"/>
          <w:szCs w:val="22"/>
          <w:color w:val="auto"/>
        </w:rPr>
        <w:t>Managers, shall deliver a written opinion, dated and delivered the date of such Representation Date and addressed to the Managers, in form and substance satisfactory to the Managers, with respect to the issuance and sale of the Units, the Registration Statement, the Prospectus (together with any supplement thereto)</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27" w:name="page28"/>
    <w:bookmarkEnd w:id="27"/>
    <w:p>
      <w:pPr>
        <w:jc w:val="both"/>
        <w:spacing w:after="0" w:line="241" w:lineRule="auto"/>
        <w:rPr>
          <w:sz w:val="20"/>
          <w:szCs w:val="20"/>
          <w:color w:val="auto"/>
        </w:rPr>
      </w:pPr>
      <w:r>
        <w:rPr>
          <w:rFonts w:ascii="Arial" w:cs="Arial" w:eastAsia="Arial" w:hAnsi="Arial"/>
          <w:sz w:val="23"/>
          <w:szCs w:val="23"/>
          <w:color w:val="auto"/>
        </w:rPr>
        <w:t>and other related matters as the Managers may reasonably require, modified as necessary to relate to the Registration Statement and the Prospectus as amended and supplemented to the time of delivery of such opinion. The Partnership shall have furnished to such counsel such documents as they reasonably request for the purpose of enabling them to pass upon such matters.</w:t>
      </w:r>
    </w:p>
    <w:p>
      <w:pPr>
        <w:spacing w:after="0" w:line="193" w:lineRule="exact"/>
        <w:rPr>
          <w:sz w:val="20"/>
          <w:szCs w:val="20"/>
          <w:color w:val="auto"/>
        </w:rPr>
      </w:pPr>
    </w:p>
    <w:p>
      <w:pPr>
        <w:jc w:val="both"/>
        <w:ind w:firstLine="683"/>
        <w:spacing w:after="0" w:line="259" w:lineRule="auto"/>
        <w:tabs>
          <w:tab w:leader="none" w:pos="1464"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Letters of Independent Accountant</w:t>
      </w:r>
      <w:r>
        <w:rPr>
          <w:rFonts w:ascii="Arial" w:cs="Arial" w:eastAsia="Arial" w:hAnsi="Arial"/>
          <w:sz w:val="21"/>
          <w:szCs w:val="21"/>
          <w:color w:val="auto"/>
        </w:rPr>
        <w:t>. Upon commencement of the offering of the Units under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(and upon the recommencement of the ability of the Partnership to offer Units under this Agreement upon the termination of a suspension of sales hereunder), and each time that (i) the Registration Statement or the Prospectus shall be amended or supplemented to include additional amended financial information, (ii) the Units are delivered to the Managers as principals at a Time of Delivery pursuant to a Terms Agreement, (iii) the Partnership files an Earnings 6-K, a Quarterly Report on Form 6-K, or an Annual Report on Form 20-F, or (iv) at the Managers’ request and upon reasonable advance notice to the Partnership, there is filed with the Commission any document which contains financial information (other than an Annual Report on Form 20-F) incorporated by reference into the Prospectus, the Partnership shall cause Deloitte LLP (or other independent accountants satisfactory to the Managers) forthwith, to furnish the Managers a letter, dated the date of commencement or recommencement, effectiveness of such amendment, the date of filing of such supplement or other document with the Commission, or the Time of Delivery, as the case may be, in form satisfactory to the Managers, of the same tenor as the letters referred to in Section 6(e) but modified to relate to the Registration Statement and the Prospectus, as amended and supplemented to the date of such letter.</w:t>
      </w:r>
    </w:p>
    <w:p>
      <w:pPr>
        <w:spacing w:after="0" w:line="177" w:lineRule="exact"/>
        <w:rPr>
          <w:rFonts w:ascii="Arial" w:cs="Arial" w:eastAsia="Arial" w:hAnsi="Arial"/>
          <w:sz w:val="21"/>
          <w:szCs w:val="21"/>
          <w:color w:val="auto"/>
        </w:rPr>
      </w:pPr>
    </w:p>
    <w:p>
      <w:pPr>
        <w:jc w:val="both"/>
        <w:ind w:firstLine="683"/>
        <w:spacing w:after="0" w:line="248" w:lineRule="auto"/>
        <w:tabs>
          <w:tab w:leader="none" w:pos="1554"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Due Diligence</w:t>
      </w:r>
      <w:r>
        <w:rPr>
          <w:rFonts w:ascii="Arial" w:cs="Arial" w:eastAsia="Arial" w:hAnsi="Arial"/>
          <w:sz w:val="22"/>
          <w:szCs w:val="22"/>
          <w:color w:val="auto"/>
        </w:rPr>
        <w:t>. At each Representation Date, the Partnership will conduct a due diligence session, in form</w:t>
      </w:r>
      <w:r>
        <w:rPr>
          <w:rFonts w:ascii="Arial" w:cs="Arial" w:eastAsia="Arial" w:hAnsi="Arial"/>
          <w:sz w:val="22"/>
          <w:szCs w:val="22"/>
          <w:i w:val="1"/>
          <w:iCs w:val="1"/>
          <w:color w:val="auto"/>
        </w:rPr>
        <w:t xml:space="preserve"> </w:t>
      </w:r>
      <w:r>
        <w:rPr>
          <w:rFonts w:ascii="Arial" w:cs="Arial" w:eastAsia="Arial" w:hAnsi="Arial"/>
          <w:sz w:val="22"/>
          <w:szCs w:val="22"/>
          <w:color w:val="auto"/>
        </w:rPr>
        <w:t>and substance satisfactory to the Managers,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corporate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w:t>
      </w:r>
    </w:p>
    <w:p>
      <w:pPr>
        <w:spacing w:after="0" w:line="190" w:lineRule="exact"/>
        <w:rPr>
          <w:rFonts w:ascii="Arial" w:cs="Arial" w:eastAsia="Arial" w:hAnsi="Arial"/>
          <w:sz w:val="22"/>
          <w:szCs w:val="22"/>
          <w:color w:val="auto"/>
        </w:rPr>
      </w:pPr>
    </w:p>
    <w:p>
      <w:pPr>
        <w:jc w:val="both"/>
        <w:ind w:firstLine="683"/>
        <w:spacing w:after="0" w:line="245" w:lineRule="auto"/>
        <w:tabs>
          <w:tab w:leader="none" w:pos="1496" w:val="left"/>
        </w:tabs>
        <w:numPr>
          <w:ilvl w:val="0"/>
          <w:numId w:val="36"/>
        </w:numPr>
        <w:rPr>
          <w:rFonts w:ascii="Arial" w:cs="Arial" w:eastAsia="Arial" w:hAnsi="Arial"/>
          <w:sz w:val="23"/>
          <w:szCs w:val="23"/>
          <w:color w:val="auto"/>
        </w:rPr>
      </w:pPr>
      <w:r>
        <w:rPr>
          <w:rFonts w:ascii="Arial" w:cs="Arial" w:eastAsia="Arial" w:hAnsi="Arial"/>
          <w:sz w:val="23"/>
          <w:szCs w:val="23"/>
          <w:i w:val="1"/>
          <w:iCs w:val="1"/>
          <w:color w:val="auto"/>
        </w:rPr>
        <w:t>Managers Trading</w:t>
      </w:r>
      <w:r>
        <w:rPr>
          <w:rFonts w:ascii="Arial" w:cs="Arial" w:eastAsia="Arial" w:hAnsi="Arial"/>
          <w:sz w:val="23"/>
          <w:szCs w:val="23"/>
          <w:color w:val="auto"/>
        </w:rPr>
        <w:t>. The Partnership consents to the Managers trading in the Common Units for each of the</w:t>
      </w:r>
      <w:r>
        <w:rPr>
          <w:rFonts w:ascii="Arial" w:cs="Arial" w:eastAsia="Arial" w:hAnsi="Arial"/>
          <w:sz w:val="23"/>
          <w:szCs w:val="23"/>
          <w:i w:val="1"/>
          <w:iCs w:val="1"/>
          <w:color w:val="auto"/>
        </w:rPr>
        <w:t xml:space="preserve"> </w:t>
      </w:r>
      <w:r>
        <w:rPr>
          <w:rFonts w:ascii="Arial" w:cs="Arial" w:eastAsia="Arial" w:hAnsi="Arial"/>
          <w:sz w:val="23"/>
          <w:szCs w:val="23"/>
          <w:color w:val="auto"/>
        </w:rPr>
        <w:t>Managers’ own account and for the account of its clients at the same time as sales of the Units occur pursuant to this Agreement or pursuant to a Terms Agreement.</w:t>
      </w:r>
    </w:p>
    <w:p>
      <w:pPr>
        <w:spacing w:after="0" w:line="188" w:lineRule="exact"/>
        <w:rPr>
          <w:rFonts w:ascii="Arial" w:cs="Arial" w:eastAsia="Arial" w:hAnsi="Arial"/>
          <w:sz w:val="23"/>
          <w:szCs w:val="23"/>
          <w:color w:val="auto"/>
        </w:rPr>
      </w:pPr>
    </w:p>
    <w:p>
      <w:pPr>
        <w:jc w:val="both"/>
        <w:ind w:firstLine="683"/>
        <w:spacing w:after="0" w:line="279" w:lineRule="auto"/>
        <w:tabs>
          <w:tab w:leader="none" w:pos="1927"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Disclosures in Periodic Reports</w:t>
      </w:r>
      <w:r>
        <w:rPr>
          <w:rFonts w:ascii="Arial" w:cs="Arial" w:eastAsia="Arial" w:hAnsi="Arial"/>
          <w:sz w:val="21"/>
          <w:szCs w:val="21"/>
          <w:color w:val="auto"/>
        </w:rPr>
        <w:t>. At all times during which a prospectus is required by the Act to be</w:t>
      </w:r>
      <w:r>
        <w:rPr>
          <w:rFonts w:ascii="Arial" w:cs="Arial" w:eastAsia="Arial" w:hAnsi="Arial"/>
          <w:sz w:val="21"/>
          <w:szCs w:val="21"/>
          <w:i w:val="1"/>
          <w:iCs w:val="1"/>
          <w:color w:val="auto"/>
        </w:rPr>
        <w:t xml:space="preserve"> </w:t>
      </w:r>
      <w:r>
        <w:rPr>
          <w:rFonts w:ascii="Arial" w:cs="Arial" w:eastAsia="Arial" w:hAnsi="Arial"/>
          <w:sz w:val="21"/>
          <w:szCs w:val="21"/>
          <w:color w:val="auto"/>
        </w:rPr>
        <w:t>delivered (whether physically or through compliance with Rule 172 or any similar rule) in connection with any offer of Units, the Partnership shall file its Annual Reports on Form 20-F within the periods required under the Exchange Act and,</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21"/>
          <w:szCs w:val="21"/>
          <w:color w:val="auto"/>
        </w:rPr>
        <w:t>for each of the first three fiscal quarters of the Partnership’s fiscal year, Quarterly Reports within 90 days after the end of the period covered under such Quarterly Report, each setting forth consolidated financial statements and financial schedules of the Partnership and the subsidiaries of the Partnership, together with related notes, prepared in accordance with Regulation S-X under the Act and with IFRS consistently applied at the times and during the periods involved. The Partnership shall disclose in such Annual Reports on Form 20-F and such Quarterly Reports the number of Units sold through the Managers under this Agreement, the Net Proceeds to the Partnership and the compensation paid by the Partnership with respect to sales of Units pursuant to this Agreement during the relevant period.</w:t>
      </w:r>
    </w:p>
    <w:p>
      <w:pPr>
        <w:spacing w:after="0" w:line="173" w:lineRule="exact"/>
        <w:rPr>
          <w:sz w:val="20"/>
          <w:szCs w:val="20"/>
          <w:color w:val="auto"/>
        </w:rPr>
      </w:pPr>
    </w:p>
    <w:p>
      <w:pPr>
        <w:jc w:val="both"/>
        <w:ind w:firstLine="683"/>
        <w:spacing w:after="0" w:line="241" w:lineRule="auto"/>
        <w:tabs>
          <w:tab w:leader="none" w:pos="1607" w:val="left"/>
        </w:tabs>
        <w:numPr>
          <w:ilvl w:val="0"/>
          <w:numId w:val="37"/>
        </w:numPr>
        <w:rPr>
          <w:rFonts w:ascii="Arial" w:cs="Arial" w:eastAsia="Arial" w:hAnsi="Arial"/>
          <w:sz w:val="23"/>
          <w:szCs w:val="23"/>
          <w:color w:val="auto"/>
        </w:rPr>
      </w:pPr>
      <w:r>
        <w:rPr>
          <w:rFonts w:ascii="Arial" w:cs="Arial" w:eastAsia="Arial" w:hAnsi="Arial"/>
          <w:sz w:val="23"/>
          <w:szCs w:val="23"/>
          <w:i w:val="1"/>
          <w:iCs w:val="1"/>
          <w:color w:val="auto"/>
        </w:rPr>
        <w:t>Failure of Certain Conditions</w:t>
      </w:r>
      <w:r>
        <w:rPr>
          <w:rFonts w:ascii="Arial" w:cs="Arial" w:eastAsia="Arial" w:hAnsi="Arial"/>
          <w:sz w:val="23"/>
          <w:szCs w:val="23"/>
          <w:color w:val="auto"/>
        </w:rPr>
        <w:t>. If to the knowledge of the Partnership, the conditions set forth in Sections</w:t>
      </w:r>
      <w:r>
        <w:rPr>
          <w:rFonts w:ascii="Arial" w:cs="Arial" w:eastAsia="Arial" w:hAnsi="Arial"/>
          <w:sz w:val="23"/>
          <w:szCs w:val="23"/>
          <w:i w:val="1"/>
          <w:iCs w:val="1"/>
          <w:color w:val="auto"/>
        </w:rPr>
        <w:t xml:space="preserve"> </w:t>
      </w:r>
      <w:r>
        <w:rPr>
          <w:rFonts w:ascii="Arial" w:cs="Arial" w:eastAsia="Arial" w:hAnsi="Arial"/>
          <w:sz w:val="23"/>
          <w:szCs w:val="23"/>
          <w:color w:val="auto"/>
        </w:rPr>
        <w:t>6(a), 6(f) or 6(g) shall not be true and correct on the applicable Settlement Date, the Partnership will offer to any person who has agreed to purchase Units from the Partnership as the result of an offer to purchase solicited by the Managers the right to refuse to purchase and pay for such Units.</w:t>
      </w:r>
    </w:p>
    <w:p>
      <w:pPr>
        <w:spacing w:after="0" w:line="193" w:lineRule="exact"/>
        <w:rPr>
          <w:sz w:val="20"/>
          <w:szCs w:val="20"/>
          <w:color w:val="auto"/>
        </w:rPr>
      </w:pPr>
    </w:p>
    <w:p>
      <w:pPr>
        <w:jc w:val="both"/>
        <w:ind w:firstLine="685"/>
        <w:spacing w:after="0" w:line="260" w:lineRule="auto"/>
        <w:rPr>
          <w:sz w:val="20"/>
          <w:szCs w:val="20"/>
          <w:color w:val="auto"/>
        </w:rPr>
      </w:pPr>
      <w:r>
        <w:rPr>
          <w:rFonts w:ascii="Arial" w:cs="Arial" w:eastAsia="Arial" w:hAnsi="Arial"/>
          <w:sz w:val="21"/>
          <w:szCs w:val="21"/>
          <w:color w:val="auto"/>
        </w:rPr>
        <w:t xml:space="preserve">(v) </w:t>
      </w:r>
      <w:r>
        <w:rPr>
          <w:rFonts w:ascii="Arial" w:cs="Arial" w:eastAsia="Arial" w:hAnsi="Arial"/>
          <w:sz w:val="21"/>
          <w:szCs w:val="21"/>
          <w:i w:val="1"/>
          <w:iCs w:val="1"/>
          <w:color w:val="auto"/>
        </w:rPr>
        <w:t>Affirmation of Representations and Warranties</w:t>
      </w:r>
      <w:r>
        <w:rPr>
          <w:rFonts w:ascii="Arial" w:cs="Arial" w:eastAsia="Arial" w:hAnsi="Arial"/>
          <w:sz w:val="21"/>
          <w:szCs w:val="21"/>
          <w:color w:val="auto"/>
        </w:rPr>
        <w:t>. At each Applicable Time, Settlement Date and Representation Date, the Partnership shall be deemed to have affirmed each representation and warranty contained in this Agreement as if such representation and warranty were made as of such date, modified as necessary to relate to the Registration Statement and the Prospectus as amended and supplemented as of such date; and each execution and delivery by the Partnership of a Terms Agreement, shall be deemed to be an affirmation to the Managers that the representations and warranties of the Partnership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Units relating to such acceptance or as of the Time of Delivery relating to such sale, as the case may be, as though made at and as of such date, modified as necessary to relate to the Registration Statement and the Prospectus as amended and supplemented as of such date.</w:t>
      </w:r>
    </w:p>
    <w:p>
      <w:pPr>
        <w:spacing w:after="0" w:line="179" w:lineRule="exact"/>
        <w:rPr>
          <w:sz w:val="20"/>
          <w:szCs w:val="20"/>
          <w:color w:val="auto"/>
        </w:rPr>
      </w:pPr>
    </w:p>
    <w:p>
      <w:pPr>
        <w:jc w:val="both"/>
        <w:ind w:firstLine="683"/>
        <w:spacing w:after="0" w:line="252" w:lineRule="auto"/>
        <w:tabs>
          <w:tab w:leader="none" w:pos="1714"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Sufficient Common Units for Issuance</w:t>
      </w:r>
      <w:r>
        <w:rPr>
          <w:rFonts w:ascii="Arial" w:cs="Arial" w:eastAsia="Arial" w:hAnsi="Arial"/>
          <w:sz w:val="22"/>
          <w:szCs w:val="22"/>
          <w:color w:val="auto"/>
        </w:rPr>
        <w:t>. The Partnership shall ensure that there are at all times sufficient</w:t>
      </w:r>
      <w:r>
        <w:rPr>
          <w:rFonts w:ascii="Arial" w:cs="Arial" w:eastAsia="Arial" w:hAnsi="Arial"/>
          <w:sz w:val="22"/>
          <w:szCs w:val="22"/>
          <w:i w:val="1"/>
          <w:iCs w:val="1"/>
          <w:color w:val="auto"/>
        </w:rPr>
        <w:t xml:space="preserve"> </w:t>
      </w:r>
      <w:r>
        <w:rPr>
          <w:rFonts w:ascii="Arial" w:cs="Arial" w:eastAsia="Arial" w:hAnsi="Arial"/>
          <w:sz w:val="22"/>
          <w:szCs w:val="22"/>
          <w:color w:val="auto"/>
        </w:rPr>
        <w:t>Common Units to provide for the issuance, free of any preemptive rights, out of its authorized but unissued Common Units or Common Units held in treasury, of the maximum aggregate number of Units authorized for issuance by the Partnership pursuant to the terms of this Agreement. The Partnership will use its commercially reasonable efforts to cause the Units to be listed for trading on the NYSE and to maintain such listing.</w:t>
      </w:r>
    </w:p>
    <w:p>
      <w:pPr>
        <w:spacing w:after="0" w:line="183" w:lineRule="exact"/>
        <w:rPr>
          <w:rFonts w:ascii="Arial" w:cs="Arial" w:eastAsia="Arial" w:hAnsi="Arial"/>
          <w:sz w:val="22"/>
          <w:szCs w:val="22"/>
          <w:color w:val="auto"/>
        </w:rPr>
      </w:pPr>
    </w:p>
    <w:p>
      <w:pPr>
        <w:jc w:val="both"/>
        <w:ind w:firstLine="683"/>
        <w:spacing w:after="0" w:line="241" w:lineRule="auto"/>
        <w:tabs>
          <w:tab w:leader="none" w:pos="1393" w:val="left"/>
        </w:tabs>
        <w:numPr>
          <w:ilvl w:val="0"/>
          <w:numId w:val="38"/>
        </w:numPr>
        <w:rPr>
          <w:rFonts w:ascii="Arial" w:cs="Arial" w:eastAsia="Arial" w:hAnsi="Arial"/>
          <w:sz w:val="23"/>
          <w:szCs w:val="23"/>
          <w:color w:val="auto"/>
        </w:rPr>
      </w:pPr>
      <w:r>
        <w:rPr>
          <w:rFonts w:ascii="Arial" w:cs="Arial" w:eastAsia="Arial" w:hAnsi="Arial"/>
          <w:sz w:val="23"/>
          <w:szCs w:val="23"/>
          <w:i w:val="1"/>
          <w:iCs w:val="1"/>
          <w:color w:val="auto"/>
        </w:rPr>
        <w:t>Delivery of Prospectus</w:t>
      </w:r>
      <w:r>
        <w:rPr>
          <w:rFonts w:ascii="Arial" w:cs="Arial" w:eastAsia="Arial" w:hAnsi="Arial"/>
          <w:sz w:val="23"/>
          <w:szCs w:val="23"/>
          <w:color w:val="auto"/>
        </w:rPr>
        <w:t>. During any period when the delivery of a prospectus relating to the Units is required</w:t>
      </w:r>
      <w:r>
        <w:rPr>
          <w:rFonts w:ascii="Arial" w:cs="Arial" w:eastAsia="Arial" w:hAnsi="Arial"/>
          <w:sz w:val="23"/>
          <w:szCs w:val="23"/>
          <w:i w:val="1"/>
          <w:iCs w:val="1"/>
          <w:color w:val="auto"/>
        </w:rPr>
        <w:t xml:space="preserve"> </w:t>
      </w:r>
      <w:r>
        <w:rPr>
          <w:rFonts w:ascii="Arial" w:cs="Arial" w:eastAsia="Arial" w:hAnsi="Arial"/>
          <w:sz w:val="23"/>
          <w:szCs w:val="23"/>
          <w:color w:val="auto"/>
        </w:rPr>
        <w:t>under the Act (including in circumstances where such requirement may be satisfied pursuant to Rule 172), the Partnership will file all documents required to be filed with the Commission pursuant to the Exchange Act within the time periods required by the Exchange Act and the regulations thereunder.</w:t>
      </w:r>
    </w:p>
    <w:p>
      <w:pPr>
        <w:spacing w:after="0" w:line="193"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29" w:name="page30"/>
    <w:bookmarkEnd w:id="29"/>
    <w:p>
      <w:pPr>
        <w:ind w:left="686" w:firstLine="683"/>
        <w:spacing w:after="0" w:line="257" w:lineRule="auto"/>
        <w:tabs>
          <w:tab w:leader="none" w:pos="2164" w:val="left"/>
        </w:tabs>
        <w:numPr>
          <w:ilvl w:val="0"/>
          <w:numId w:val="39"/>
        </w:numPr>
        <w:rPr>
          <w:rFonts w:ascii="Arial" w:cs="Arial" w:eastAsia="Arial" w:hAnsi="Arial"/>
          <w:sz w:val="23"/>
          <w:szCs w:val="23"/>
          <w:color w:val="auto"/>
        </w:rPr>
      </w:pPr>
      <w:r>
        <w:rPr>
          <w:rFonts w:ascii="Arial" w:cs="Arial" w:eastAsia="Arial" w:hAnsi="Arial"/>
          <w:sz w:val="23"/>
          <w:szCs w:val="23"/>
          <w:i w:val="1"/>
          <w:iCs w:val="1"/>
          <w:color w:val="auto"/>
        </w:rPr>
        <w:t>DTC</w:t>
      </w:r>
      <w:r>
        <w:rPr>
          <w:rFonts w:ascii="Arial" w:cs="Arial" w:eastAsia="Arial" w:hAnsi="Arial"/>
          <w:sz w:val="23"/>
          <w:szCs w:val="23"/>
          <w:color w:val="auto"/>
        </w:rPr>
        <w:t>. The Partnership shall cooperate with Managers and use their reasonable efforts to permit the Units to</w:t>
      </w:r>
      <w:r>
        <w:rPr>
          <w:rFonts w:ascii="Arial" w:cs="Arial" w:eastAsia="Arial" w:hAnsi="Arial"/>
          <w:sz w:val="23"/>
          <w:szCs w:val="23"/>
          <w:i w:val="1"/>
          <w:iCs w:val="1"/>
          <w:color w:val="auto"/>
        </w:rPr>
        <w:t xml:space="preserve"> </w:t>
      </w:r>
      <w:r>
        <w:rPr>
          <w:rFonts w:ascii="Arial" w:cs="Arial" w:eastAsia="Arial" w:hAnsi="Arial"/>
          <w:sz w:val="23"/>
          <w:szCs w:val="23"/>
          <w:color w:val="auto"/>
        </w:rPr>
        <w:t>be eligible for clearance and settlement through the facilities of DTC.</w:t>
      </w:r>
    </w:p>
    <w:p>
      <w:pPr>
        <w:spacing w:after="0" w:line="175" w:lineRule="exact"/>
        <w:rPr>
          <w:rFonts w:ascii="Arial" w:cs="Arial" w:eastAsia="Arial" w:hAnsi="Arial"/>
          <w:sz w:val="23"/>
          <w:szCs w:val="23"/>
          <w:color w:val="auto"/>
        </w:rPr>
      </w:pPr>
    </w:p>
    <w:p>
      <w:pPr>
        <w:ind w:left="686" w:firstLine="683"/>
        <w:spacing w:after="0" w:line="257" w:lineRule="auto"/>
        <w:tabs>
          <w:tab w:leader="none" w:pos="2251" w:val="left"/>
        </w:tabs>
        <w:numPr>
          <w:ilvl w:val="0"/>
          <w:numId w:val="39"/>
        </w:numPr>
        <w:rPr>
          <w:rFonts w:ascii="Arial" w:cs="Arial" w:eastAsia="Arial" w:hAnsi="Arial"/>
          <w:sz w:val="23"/>
          <w:szCs w:val="23"/>
          <w:color w:val="auto"/>
        </w:rPr>
      </w:pPr>
      <w:r>
        <w:rPr>
          <w:rFonts w:ascii="Arial" w:cs="Arial" w:eastAsia="Arial" w:hAnsi="Arial"/>
          <w:sz w:val="23"/>
          <w:szCs w:val="23"/>
          <w:i w:val="1"/>
          <w:iCs w:val="1"/>
          <w:color w:val="auto"/>
        </w:rPr>
        <w:t>Use of Proceeds</w:t>
      </w:r>
      <w:r>
        <w:rPr>
          <w:rFonts w:ascii="Arial" w:cs="Arial" w:eastAsia="Arial" w:hAnsi="Arial"/>
          <w:sz w:val="23"/>
          <w:szCs w:val="23"/>
          <w:color w:val="auto"/>
        </w:rPr>
        <w:t>. The Partnership will apply the Net Proceeds from the sale of the Units in the manner set</w:t>
      </w:r>
      <w:r>
        <w:rPr>
          <w:rFonts w:ascii="Arial" w:cs="Arial" w:eastAsia="Arial" w:hAnsi="Arial"/>
          <w:sz w:val="23"/>
          <w:szCs w:val="23"/>
          <w:i w:val="1"/>
          <w:iCs w:val="1"/>
          <w:color w:val="auto"/>
        </w:rPr>
        <w:t xml:space="preserve"> </w:t>
      </w:r>
      <w:r>
        <w:rPr>
          <w:rFonts w:ascii="Arial" w:cs="Arial" w:eastAsia="Arial" w:hAnsi="Arial"/>
          <w:sz w:val="23"/>
          <w:szCs w:val="23"/>
          <w:color w:val="auto"/>
        </w:rPr>
        <w:t>forth in the Prospectus.</w:t>
      </w:r>
    </w:p>
    <w:p>
      <w:pPr>
        <w:spacing w:after="0" w:line="175" w:lineRule="exact"/>
        <w:rPr>
          <w:sz w:val="20"/>
          <w:szCs w:val="20"/>
          <w:color w:val="auto"/>
        </w:rPr>
      </w:pPr>
    </w:p>
    <w:p>
      <w:pPr>
        <w:jc w:val="both"/>
        <w:ind w:left="686" w:firstLine="683"/>
        <w:spacing w:after="0" w:line="250" w:lineRule="auto"/>
        <w:tabs>
          <w:tab w:leader="none" w:pos="2067"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Investment Company; PFIC</w:t>
      </w:r>
      <w:r>
        <w:rPr>
          <w:rFonts w:ascii="Arial" w:cs="Arial" w:eastAsia="Arial" w:hAnsi="Arial"/>
          <w:sz w:val="22"/>
          <w:szCs w:val="22"/>
          <w:color w:val="auto"/>
        </w:rPr>
        <w:t>. For a period of four years after any Settlement Date, the Partnership will use its</w:t>
      </w:r>
      <w:r>
        <w:rPr>
          <w:rFonts w:ascii="Arial" w:cs="Arial" w:eastAsia="Arial" w:hAnsi="Arial"/>
          <w:sz w:val="22"/>
          <w:szCs w:val="22"/>
          <w:i w:val="1"/>
          <w:iCs w:val="1"/>
          <w:color w:val="auto"/>
        </w:rPr>
        <w:t xml:space="preserve"> </w:t>
      </w:r>
      <w:r>
        <w:rPr>
          <w:rFonts w:ascii="Arial" w:cs="Arial" w:eastAsia="Arial" w:hAnsi="Arial"/>
          <w:sz w:val="22"/>
          <w:szCs w:val="22"/>
          <w:color w:val="auto"/>
        </w:rPr>
        <w:t>commercially reasonable efforts to ensure that no Partnership Entity, nor any subsidiary thereof, shall become required to register as an “investment company” under the 1940 Act. For a period of three years after any Settlement Date, the Partnership will use its commercially reasonable efforts to ensure that no Partnership Entity, nor any subsidiary thereof, shall become a PFIC that would require action on the part of a shareholder or unitholder to make an election to treat the PFIC as a “qualified electing fund” with respect to such shareholder or unitholder.</w:t>
      </w:r>
    </w:p>
    <w:p>
      <w:pPr>
        <w:spacing w:after="0" w:line="187" w:lineRule="exact"/>
        <w:rPr>
          <w:rFonts w:ascii="Arial" w:cs="Arial" w:eastAsia="Arial" w:hAnsi="Arial"/>
          <w:sz w:val="22"/>
          <w:szCs w:val="22"/>
          <w:color w:val="auto"/>
        </w:rPr>
      </w:pPr>
    </w:p>
    <w:p>
      <w:pPr>
        <w:jc w:val="both"/>
        <w:ind w:left="686" w:firstLine="683"/>
        <w:spacing w:after="0" w:line="241" w:lineRule="auto"/>
        <w:tabs>
          <w:tab w:leader="none" w:pos="2364" w:val="left"/>
        </w:tabs>
        <w:numPr>
          <w:ilvl w:val="0"/>
          <w:numId w:val="40"/>
        </w:numPr>
        <w:rPr>
          <w:rFonts w:ascii="Arial" w:cs="Arial" w:eastAsia="Arial" w:hAnsi="Arial"/>
          <w:sz w:val="23"/>
          <w:szCs w:val="23"/>
          <w:color w:val="auto"/>
        </w:rPr>
      </w:pPr>
      <w:r>
        <w:rPr>
          <w:rFonts w:ascii="Arial" w:cs="Arial" w:eastAsia="Arial" w:hAnsi="Arial"/>
          <w:sz w:val="23"/>
          <w:szCs w:val="23"/>
          <w:i w:val="1"/>
          <w:iCs w:val="1"/>
          <w:color w:val="auto"/>
        </w:rPr>
        <w:t>PFIC Notice to Shareholders</w:t>
      </w:r>
      <w:r>
        <w:rPr>
          <w:rFonts w:ascii="Arial" w:cs="Arial" w:eastAsia="Arial" w:hAnsi="Arial"/>
          <w:sz w:val="23"/>
          <w:szCs w:val="23"/>
          <w:color w:val="auto"/>
        </w:rPr>
        <w:t>. If the Partnership notifies its shareholders that it or a subsidiary will be a</w:t>
      </w:r>
      <w:r>
        <w:rPr>
          <w:rFonts w:ascii="Arial" w:cs="Arial" w:eastAsia="Arial" w:hAnsi="Arial"/>
          <w:sz w:val="23"/>
          <w:szCs w:val="23"/>
          <w:i w:val="1"/>
          <w:iCs w:val="1"/>
          <w:color w:val="auto"/>
        </w:rPr>
        <w:t xml:space="preserve"> </w:t>
      </w:r>
      <w:r>
        <w:rPr>
          <w:rFonts w:ascii="Arial" w:cs="Arial" w:eastAsia="Arial" w:hAnsi="Arial"/>
          <w:sz w:val="23"/>
          <w:szCs w:val="23"/>
          <w:color w:val="auto"/>
        </w:rPr>
        <w:t>PFIC, it will contemporaneously give similar notice to the Managers, along with information concerning the potential availability of a “qualified electing fund” election (or elections) under Section 1295 of the Code or any other applicable election with respect to each Partnership Entity that is a PFIC.</w:t>
      </w:r>
    </w:p>
    <w:p>
      <w:pPr>
        <w:spacing w:after="0" w:line="192" w:lineRule="exact"/>
        <w:rPr>
          <w:rFonts w:ascii="Arial" w:cs="Arial" w:eastAsia="Arial" w:hAnsi="Arial"/>
          <w:sz w:val="23"/>
          <w:szCs w:val="23"/>
          <w:color w:val="auto"/>
        </w:rPr>
      </w:pPr>
    </w:p>
    <w:p>
      <w:pPr>
        <w:jc w:val="both"/>
        <w:ind w:left="686" w:firstLine="683"/>
        <w:spacing w:after="0" w:line="262" w:lineRule="auto"/>
        <w:tabs>
          <w:tab w:leader="none" w:pos="2181" w:val="left"/>
        </w:tabs>
        <w:numPr>
          <w:ilvl w:val="0"/>
          <w:numId w:val="40"/>
        </w:numPr>
        <w:rPr>
          <w:rFonts w:ascii="Arial" w:cs="Arial" w:eastAsia="Arial" w:hAnsi="Arial"/>
          <w:sz w:val="21"/>
          <w:szCs w:val="21"/>
          <w:color w:val="auto"/>
        </w:rPr>
      </w:pPr>
      <w:r>
        <w:rPr>
          <w:rFonts w:ascii="Arial" w:cs="Arial" w:eastAsia="Arial" w:hAnsi="Arial"/>
          <w:sz w:val="21"/>
          <w:szCs w:val="21"/>
          <w:color w:val="auto"/>
        </w:rPr>
        <w:t>Sales under this Agreement shall cease on October 9, 2020 unless and until the Partnership has filed a new prospectus supplement (the “</w:t>
      </w:r>
      <w:r>
        <w:rPr>
          <w:rFonts w:ascii="Arial" w:cs="Arial" w:eastAsia="Arial" w:hAnsi="Arial"/>
          <w:sz w:val="21"/>
          <w:szCs w:val="21"/>
          <w:u w:val="single" w:color="auto"/>
          <w:color w:val="auto"/>
        </w:rPr>
        <w:t>New Prospectus Supplement</w:t>
      </w:r>
      <w:r>
        <w:rPr>
          <w:rFonts w:ascii="Arial" w:cs="Arial" w:eastAsia="Arial" w:hAnsi="Arial"/>
          <w:sz w:val="21"/>
          <w:szCs w:val="21"/>
          <w:color w:val="auto"/>
        </w:rPr>
        <w:t>”) relating to the Units to an effective subsequent registration statement on Form F-3 (the “</w:t>
      </w:r>
      <w:r>
        <w:rPr>
          <w:rFonts w:ascii="Arial" w:cs="Arial" w:eastAsia="Arial" w:hAnsi="Arial"/>
          <w:sz w:val="21"/>
          <w:szCs w:val="21"/>
          <w:u w:val="single" w:color="auto"/>
          <w:color w:val="auto"/>
        </w:rPr>
        <w:t>Subsequent Registration Statement</w:t>
      </w:r>
      <w:r>
        <w:rPr>
          <w:rFonts w:ascii="Arial" w:cs="Arial" w:eastAsia="Arial" w:hAnsi="Arial"/>
          <w:sz w:val="21"/>
          <w:szCs w:val="21"/>
          <w:color w:val="auto"/>
        </w:rPr>
        <w:t>”), and has taken all other reasonable actions necessary or appropriate to permit the offering and sale of the Units to continue as contemplated in the expired registration statement relating to such Units and this Agreement. Upon effectiveness of the Subsequent Registration Statement and filing of the New Prospectus Supplement, except where the context otherwise requires, references herein to the “Registration Statement” shall be deemed to refer to the Subsequent Registration Statement, and references herein to the “Prospectus Supplement” shall be deemed to refer to the New Prospectus Supplement.</w:t>
      </w:r>
    </w:p>
    <w:p>
      <w:pPr>
        <w:spacing w:after="0" w:line="173" w:lineRule="exact"/>
        <w:rPr>
          <w:sz w:val="20"/>
          <w:szCs w:val="20"/>
          <w:color w:val="auto"/>
        </w:rPr>
      </w:pPr>
    </w:p>
    <w:p>
      <w:pPr>
        <w:ind w:left="2486" w:hanging="1117"/>
        <w:spacing w:after="0"/>
        <w:tabs>
          <w:tab w:leader="none" w:pos="2486"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Payment of Expenses</w:t>
      </w:r>
      <w:r>
        <w:rPr>
          <w:rFonts w:ascii="Arial" w:cs="Arial" w:eastAsia="Arial" w:hAnsi="Arial"/>
          <w:sz w:val="20"/>
          <w:szCs w:val="20"/>
          <w:color w:val="auto"/>
        </w:rPr>
        <w:t>. The Partnership Parties agree to pay the costs, fees and expenses relating to the</w:t>
      </w:r>
    </w:p>
    <w:p>
      <w:pPr>
        <w:spacing w:after="0" w:line="46" w:lineRule="exact"/>
        <w:rPr>
          <w:rFonts w:ascii="Arial" w:cs="Arial" w:eastAsia="Arial" w:hAnsi="Arial"/>
          <w:sz w:val="20"/>
          <w:szCs w:val="20"/>
          <w:color w:val="auto"/>
        </w:rPr>
      </w:pPr>
    </w:p>
    <w:p>
      <w:pPr>
        <w:jc w:val="both"/>
        <w:ind w:left="6"/>
        <w:spacing w:after="0" w:line="267" w:lineRule="auto"/>
        <w:rPr>
          <w:rFonts w:ascii="Arial" w:cs="Arial" w:eastAsia="Arial" w:hAnsi="Arial"/>
          <w:sz w:val="20"/>
          <w:szCs w:val="20"/>
          <w:color w:val="auto"/>
        </w:rPr>
      </w:pPr>
      <w:r>
        <w:rPr>
          <w:rFonts w:ascii="Arial" w:cs="Arial" w:eastAsia="Arial" w:hAnsi="Arial"/>
          <w:sz w:val="20"/>
          <w:szCs w:val="20"/>
          <w:color w:val="auto"/>
        </w:rPr>
        <w:t>following matters: (i) the preparation, printing or reproduction and, if applicable, filing with the Commission of the Registration Statement (including financial statements and exhibits thereto), the Prospectus, each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Units; (iii) the preparation, printing, authentication, issuance and delivery of certificates, if any, for the Units, including any stamp or transfer taxes in connection with the original issuance and sale of the Units; (iv) the registration of the Units under the Exchange Act and the listing of the Units on the NYSE (including any supplemental listing application);</w:t>
      </w:r>
    </w:p>
    <w:p>
      <w:pPr>
        <w:spacing w:after="0" w:line="6" w:lineRule="exact"/>
        <w:rPr>
          <w:rFonts w:ascii="Arial" w:cs="Arial" w:eastAsia="Arial" w:hAnsi="Arial"/>
          <w:sz w:val="20"/>
          <w:szCs w:val="20"/>
          <w:color w:val="auto"/>
        </w:rPr>
      </w:pPr>
    </w:p>
    <w:p>
      <w:pPr>
        <w:ind w:left="326" w:hanging="326"/>
        <w:spacing w:after="0"/>
        <w:tabs>
          <w:tab w:leader="none" w:pos="326" w:val="left"/>
        </w:tabs>
        <w:numPr>
          <w:ilvl w:val="0"/>
          <w:numId w:val="42"/>
        </w:numPr>
        <w:rPr>
          <w:rFonts w:ascii="Arial" w:cs="Arial" w:eastAsia="Arial" w:hAnsi="Arial"/>
          <w:sz w:val="23"/>
          <w:szCs w:val="23"/>
          <w:color w:val="auto"/>
        </w:rPr>
      </w:pPr>
      <w:r>
        <w:rPr>
          <w:rFonts w:ascii="Arial" w:cs="Arial" w:eastAsia="Arial" w:hAnsi="Arial"/>
          <w:sz w:val="23"/>
          <w:szCs w:val="23"/>
          <w:color w:val="auto"/>
        </w:rPr>
        <w:t>any registration or qualification of the Units for offer and</w:t>
      </w:r>
    </w:p>
    <w:p>
      <w:pPr>
        <w:spacing w:after="0" w:line="229" w:lineRule="exact"/>
        <w:rPr>
          <w:sz w:val="20"/>
          <w:szCs w:val="20"/>
          <w:color w:val="auto"/>
        </w:rPr>
      </w:pPr>
    </w:p>
    <w:p>
      <w:pPr>
        <w:jc w:val="center"/>
        <w:ind w:right="-5"/>
        <w:spacing w:after="0"/>
        <w:rPr>
          <w:sz w:val="20"/>
          <w:szCs w:val="20"/>
          <w:color w:val="auto"/>
        </w:rPr>
      </w:pPr>
      <w:r>
        <w:rPr>
          <w:rFonts w:ascii="Arial" w:cs="Arial" w:eastAsia="Arial" w:hAnsi="Arial"/>
          <w:sz w:val="23"/>
          <w:szCs w:val="2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646670" cy="31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4" w:right="120"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21"/>
          <w:szCs w:val="21"/>
          <w:color w:val="auto"/>
        </w:rPr>
        <w:t>sale under the securities or blue sky laws of the several states (including filing fees and the reasonable fees and expenses of counsel for the Managers relating to such registration and qualification); (vi) the transportation and other expenses incurred by or on behalf of Partnership Parties’ representatives in connection with any presentations to prospective purchasers of the Units; (vii) the fees and expenses of the Partnership Entities’ accountants and the fees and expenses of counsel (including local and special counsel) for the Partnership Parties; (viii) all other costs, fees and expenses incident to the performance by the Partnership of its obligations hereunder and (ix) the reasonable fees, disbursements and expenses of counsel for the Managers in connection with this Third Amended and Restated Equity Distribution Agreement, the related prospectus supplement to be filed with the Commission on February 26, 2019 and ongoing services in connection with the transactions contemplated hereunder, not to exceed (1) $120,000 in any consecutive four quarter period starting from the date of this Agreement and (2) $270,000 over the duration of this Agreement. Notwithstanding anything to the contrary, except as expressly provided in this Section 5, or otherwise as agreed with the Partnership in writing, the Managers shall be responsible for any transfer taxes on resale of Units by them and any costs and expenses associated with this Agreement, any Terms Agreements, the transactions contemplated hereby and the sale and marketing of the Units.</w:t>
      </w:r>
    </w:p>
    <w:p>
      <w:pPr>
        <w:spacing w:after="0" w:line="177" w:lineRule="exact"/>
        <w:rPr>
          <w:sz w:val="20"/>
          <w:szCs w:val="20"/>
          <w:color w:val="auto"/>
        </w:rPr>
      </w:pPr>
    </w:p>
    <w:p>
      <w:pPr>
        <w:jc w:val="both"/>
        <w:ind w:firstLine="1363"/>
        <w:spacing w:after="0" w:line="239" w:lineRule="auto"/>
        <w:tabs>
          <w:tab w:leader="none" w:pos="2211" w:val="left"/>
        </w:tabs>
        <w:numPr>
          <w:ilvl w:val="0"/>
          <w:numId w:val="43"/>
        </w:numPr>
        <w:rPr>
          <w:rFonts w:ascii="Arial" w:cs="Arial" w:eastAsia="Arial" w:hAnsi="Arial"/>
          <w:sz w:val="23"/>
          <w:szCs w:val="23"/>
          <w:color w:val="auto"/>
        </w:rPr>
      </w:pPr>
      <w:r>
        <w:rPr>
          <w:rFonts w:ascii="Arial" w:cs="Arial" w:eastAsia="Arial" w:hAnsi="Arial"/>
          <w:sz w:val="23"/>
          <w:szCs w:val="23"/>
          <w:u w:val="single" w:color="auto"/>
          <w:color w:val="auto"/>
        </w:rPr>
        <w:t>Conditions to the Obligations of the Managers</w:t>
      </w:r>
      <w:r>
        <w:rPr>
          <w:rFonts w:ascii="Arial" w:cs="Arial" w:eastAsia="Arial" w:hAnsi="Arial"/>
          <w:sz w:val="23"/>
          <w:szCs w:val="23"/>
          <w:color w:val="auto"/>
        </w:rPr>
        <w:t>. The obligations of the Managers under this Agreement and any Terms Agreement shall be subject to (i) the accuracy of the representations and warranties on the part of the Partnership Parties contained herein as of the Execution Time, each Representation Date, and as of each Applicable Time, Settlement Date and Time of Delivery, (ii) the performance by the Partnership Parties of their obligations hereunder and (iii) the following additional conditions:</w:t>
      </w:r>
    </w:p>
    <w:p>
      <w:pPr>
        <w:spacing w:after="0" w:line="195" w:lineRule="exact"/>
        <w:rPr>
          <w:sz w:val="20"/>
          <w:szCs w:val="20"/>
          <w:color w:val="auto"/>
        </w:rPr>
      </w:pPr>
    </w:p>
    <w:p>
      <w:pPr>
        <w:jc w:val="both"/>
        <w:ind w:left="680" w:firstLine="683"/>
        <w:spacing w:after="0" w:line="250" w:lineRule="auto"/>
        <w:tabs>
          <w:tab w:leader="none" w:pos="2302"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to the knowledge of the Partnership, threatened.</w:t>
      </w:r>
    </w:p>
    <w:p>
      <w:pPr>
        <w:spacing w:after="0" w:line="187" w:lineRule="exact"/>
        <w:rPr>
          <w:rFonts w:ascii="Arial" w:cs="Arial" w:eastAsia="Arial" w:hAnsi="Arial"/>
          <w:sz w:val="22"/>
          <w:szCs w:val="22"/>
          <w:color w:val="auto"/>
        </w:rPr>
      </w:pPr>
    </w:p>
    <w:p>
      <w:pPr>
        <w:ind w:left="680" w:firstLine="683"/>
        <w:spacing w:after="0" w:line="257" w:lineRule="auto"/>
        <w:tabs>
          <w:tab w:leader="none" w:pos="2315" w:val="left"/>
        </w:tabs>
        <w:numPr>
          <w:ilvl w:val="0"/>
          <w:numId w:val="44"/>
        </w:numPr>
        <w:rPr>
          <w:rFonts w:ascii="Arial" w:cs="Arial" w:eastAsia="Arial" w:hAnsi="Arial"/>
          <w:sz w:val="23"/>
          <w:szCs w:val="23"/>
          <w:color w:val="auto"/>
        </w:rPr>
      </w:pPr>
      <w:r>
        <w:rPr>
          <w:rFonts w:ascii="Arial" w:cs="Arial" w:eastAsia="Arial" w:hAnsi="Arial"/>
          <w:sz w:val="23"/>
          <w:szCs w:val="23"/>
          <w:color w:val="auto"/>
        </w:rPr>
        <w:t>The Partnership Parties shall have furnished or caused to be furnished the opinions and letters from their counsel and accountants as set forth in Section 4, on the dates as set forth in Section 4.</w:t>
      </w:r>
    </w:p>
    <w:p>
      <w:pPr>
        <w:spacing w:after="0" w:line="175" w:lineRule="exact"/>
        <w:rPr>
          <w:rFonts w:ascii="Arial" w:cs="Arial" w:eastAsia="Arial" w:hAnsi="Arial"/>
          <w:sz w:val="23"/>
          <w:szCs w:val="23"/>
          <w:color w:val="auto"/>
        </w:rPr>
      </w:pPr>
    </w:p>
    <w:p>
      <w:pPr>
        <w:jc w:val="both"/>
        <w:ind w:left="680" w:firstLine="683"/>
        <w:spacing w:after="0" w:line="261" w:lineRule="auto"/>
        <w:tabs>
          <w:tab w:leader="none" w:pos="20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Managers shall have received from Latham &amp; Watkins LLP, counsel for the Managers, an opinion as set forth in Section 4(p), on the dates as set forth in Section 4, and the Partnership Parties shall have furnished to such counsel such documents as they request for the purpose of enabling them to pass upon such matters.</w:t>
      </w:r>
    </w:p>
    <w:p>
      <w:pPr>
        <w:spacing w:after="0" w:line="172" w:lineRule="exact"/>
        <w:rPr>
          <w:rFonts w:ascii="Arial" w:cs="Arial" w:eastAsia="Arial" w:hAnsi="Arial"/>
          <w:sz w:val="22"/>
          <w:szCs w:val="22"/>
          <w:color w:val="auto"/>
        </w:rPr>
      </w:pPr>
    </w:p>
    <w:p>
      <w:pPr>
        <w:jc w:val="both"/>
        <w:ind w:left="680" w:firstLine="683"/>
        <w:spacing w:after="0" w:line="261" w:lineRule="auto"/>
        <w:tabs>
          <w:tab w:leader="none" w:pos="250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Partnership Parties shall have furnished or caused to be furnished to the Managers, on every date specified in Section 4(k) of this Agreement, a certificate by the principal executive officer or principal financial officer of each Partnership Party, dated as of such date, to the effect that the signer of such certificate has carefully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33" w:right="120"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23"/>
          <w:szCs w:val="23"/>
          <w:color w:val="auto"/>
        </w:rPr>
        <w:t>examined the Registration Statement and the Prospectus and any supplements or amendments thereto and this Agreement and that:</w:t>
      </w:r>
    </w:p>
    <w:p>
      <w:pPr>
        <w:spacing w:after="0" w:line="175" w:lineRule="exact"/>
        <w:rPr>
          <w:sz w:val="20"/>
          <w:szCs w:val="20"/>
          <w:color w:val="auto"/>
        </w:rPr>
      </w:pPr>
    </w:p>
    <w:p>
      <w:pPr>
        <w:jc w:val="both"/>
        <w:ind w:left="600" w:firstLine="682"/>
        <w:spacing w:after="0" w:line="299" w:lineRule="auto"/>
        <w:tabs>
          <w:tab w:leader="none" w:pos="2156"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representations and warranties of the respective Partnership Party in this Agreement are true and correct on and as of such date with the same effect as if made on such date and such Partnership Party has complied with all the agreements and satisfied all the conditions on its part to be performed or satisfied at or prior to such date;</w:t>
      </w:r>
    </w:p>
    <w:p>
      <w:pPr>
        <w:spacing w:after="0" w:line="138" w:lineRule="exact"/>
        <w:rPr>
          <w:rFonts w:ascii="Arial" w:cs="Arial" w:eastAsia="Arial" w:hAnsi="Arial"/>
          <w:sz w:val="20"/>
          <w:szCs w:val="20"/>
          <w:color w:val="auto"/>
        </w:rPr>
      </w:pPr>
    </w:p>
    <w:p>
      <w:pPr>
        <w:jc w:val="both"/>
        <w:ind w:left="600" w:firstLine="682"/>
        <w:spacing w:after="0" w:line="245" w:lineRule="auto"/>
        <w:tabs>
          <w:tab w:leader="none" w:pos="2262" w:val="left"/>
        </w:tabs>
        <w:numPr>
          <w:ilvl w:val="1"/>
          <w:numId w:val="45"/>
        </w:numPr>
        <w:rPr>
          <w:rFonts w:ascii="Arial" w:cs="Arial" w:eastAsia="Arial" w:hAnsi="Arial"/>
          <w:sz w:val="23"/>
          <w:szCs w:val="23"/>
          <w:color w:val="auto"/>
        </w:rPr>
      </w:pPr>
      <w:r>
        <w:rPr>
          <w:rFonts w:ascii="Arial" w:cs="Arial" w:eastAsia="Arial" w:hAnsi="Arial"/>
          <w:sz w:val="23"/>
          <w:szCs w:val="23"/>
          <w:color w:val="auto"/>
        </w:rPr>
        <w:t>no stop order suspending the effectiveness of the Registration Statement or any notice objecting to its use has been issued by the Commission and no proceedings for that purpose have been instituted or, to such officer’s knowledge, threatened; and</w:t>
      </w:r>
    </w:p>
    <w:p>
      <w:pPr>
        <w:spacing w:after="0" w:line="188" w:lineRule="exact"/>
        <w:rPr>
          <w:rFonts w:ascii="Arial" w:cs="Arial" w:eastAsia="Arial" w:hAnsi="Arial"/>
          <w:sz w:val="23"/>
          <w:szCs w:val="23"/>
          <w:color w:val="auto"/>
        </w:rPr>
      </w:pPr>
    </w:p>
    <w:p>
      <w:pPr>
        <w:jc w:val="both"/>
        <w:ind w:left="600" w:firstLine="682"/>
        <w:spacing w:after="0" w:line="239" w:lineRule="auto"/>
        <w:tabs>
          <w:tab w:leader="none" w:pos="2254" w:val="left"/>
        </w:tabs>
        <w:numPr>
          <w:ilvl w:val="1"/>
          <w:numId w:val="45"/>
        </w:numPr>
        <w:rPr>
          <w:rFonts w:ascii="Arial" w:cs="Arial" w:eastAsia="Arial" w:hAnsi="Arial"/>
          <w:sz w:val="23"/>
          <w:szCs w:val="23"/>
          <w:color w:val="auto"/>
        </w:rPr>
      </w:pPr>
      <w:r>
        <w:rPr>
          <w:rFonts w:ascii="Arial" w:cs="Arial" w:eastAsia="Arial" w:hAnsi="Arial"/>
          <w:sz w:val="23"/>
          <w:szCs w:val="23"/>
          <w:color w:val="auto"/>
        </w:rPr>
        <w:t>since the date of the most recent financial statements included in the Prospectus, there has been no material adverse effect on the general affairs, condition (financial or otherwise), results of operations, business, properties, assets or prospects of the Partnership Entities, taken as a whole, whether or not arising from transactions in the ordinary course of business, except as set forth in or contemplated in the Prospectus, as amended or supplemented.</w:t>
      </w:r>
    </w:p>
    <w:p>
      <w:pPr>
        <w:spacing w:after="0" w:line="194" w:lineRule="exact"/>
        <w:rPr>
          <w:rFonts w:ascii="Arial" w:cs="Arial" w:eastAsia="Arial" w:hAnsi="Arial"/>
          <w:sz w:val="23"/>
          <w:szCs w:val="23"/>
          <w:color w:val="auto"/>
        </w:rPr>
      </w:pPr>
    </w:p>
    <w:p>
      <w:pPr>
        <w:jc w:val="both"/>
        <w:ind w:firstLine="683"/>
        <w:spacing w:after="0" w:line="241" w:lineRule="auto"/>
        <w:tabs>
          <w:tab w:leader="none" w:pos="1423" w:val="left"/>
        </w:tabs>
        <w:numPr>
          <w:ilvl w:val="0"/>
          <w:numId w:val="46"/>
        </w:numPr>
        <w:rPr>
          <w:rFonts w:ascii="Arial" w:cs="Arial" w:eastAsia="Arial" w:hAnsi="Arial"/>
          <w:sz w:val="23"/>
          <w:szCs w:val="23"/>
          <w:color w:val="auto"/>
        </w:rPr>
      </w:pPr>
      <w:r>
        <w:rPr>
          <w:rFonts w:ascii="Arial" w:cs="Arial" w:eastAsia="Arial" w:hAnsi="Arial"/>
          <w:sz w:val="23"/>
          <w:szCs w:val="23"/>
          <w:color w:val="auto"/>
        </w:rPr>
        <w:t>The Partnership Parties shall have requested and caused Deloitte LLP to have furnished to the Managers, on every date specified in Section 4(q) hereof and to the extent reasonably requested by the Managers in connection with any offering of the Units, a comfort letter, dated respectively as of such date, in form and substance reasonably satisfactory to the Managers.</w:t>
      </w:r>
    </w:p>
    <w:p>
      <w:pPr>
        <w:spacing w:after="0" w:line="192" w:lineRule="exact"/>
        <w:rPr>
          <w:rFonts w:ascii="Arial" w:cs="Arial" w:eastAsia="Arial" w:hAnsi="Arial"/>
          <w:sz w:val="23"/>
          <w:szCs w:val="23"/>
          <w:color w:val="auto"/>
        </w:rPr>
      </w:pPr>
    </w:p>
    <w:p>
      <w:pPr>
        <w:jc w:val="both"/>
        <w:ind w:firstLine="683"/>
        <w:spacing w:after="0" w:line="239" w:lineRule="auto"/>
        <w:tabs>
          <w:tab w:leader="none" w:pos="1383" w:val="left"/>
        </w:tabs>
        <w:numPr>
          <w:ilvl w:val="0"/>
          <w:numId w:val="46"/>
        </w:numPr>
        <w:rPr>
          <w:rFonts w:ascii="Arial" w:cs="Arial" w:eastAsia="Arial" w:hAnsi="Arial"/>
          <w:sz w:val="23"/>
          <w:szCs w:val="23"/>
          <w:color w:val="auto"/>
        </w:rPr>
      </w:pPr>
      <w:r>
        <w:rPr>
          <w:rFonts w:ascii="Arial" w:cs="Arial" w:eastAsia="Arial" w:hAnsi="Arial"/>
          <w:sz w:val="23"/>
          <w:szCs w:val="23"/>
          <w:color w:val="auto"/>
        </w:rPr>
        <w:t>Subsequent to the respective dates as of which information is disclosed in the Registration Statement and the Prospectus, except as otherwise stated therein, there shall not have been (i) any adverse change or decrease specified in the letter referred to in Section 6(e) or (ii) any adverse change, or any development involving a prospective adverse change that would reasonably be expected to have a Material Adverse Effect, which, in the Managers’ opinion, would materially and adversely affect the market for Units.</w:t>
      </w:r>
    </w:p>
    <w:p>
      <w:pPr>
        <w:spacing w:after="0" w:line="194" w:lineRule="exact"/>
        <w:rPr>
          <w:rFonts w:ascii="Arial" w:cs="Arial" w:eastAsia="Arial" w:hAnsi="Arial"/>
          <w:sz w:val="23"/>
          <w:szCs w:val="23"/>
          <w:color w:val="auto"/>
        </w:rPr>
      </w:pPr>
    </w:p>
    <w:p>
      <w:pPr>
        <w:jc w:val="both"/>
        <w:ind w:firstLine="683"/>
        <w:spacing w:after="0" w:line="239" w:lineRule="auto"/>
        <w:tabs>
          <w:tab w:leader="none" w:pos="1564" w:val="left"/>
        </w:tabs>
        <w:numPr>
          <w:ilvl w:val="0"/>
          <w:numId w:val="46"/>
        </w:numPr>
        <w:rPr>
          <w:rFonts w:ascii="Arial" w:cs="Arial" w:eastAsia="Arial" w:hAnsi="Arial"/>
          <w:sz w:val="23"/>
          <w:szCs w:val="23"/>
          <w:color w:val="auto"/>
        </w:rPr>
      </w:pPr>
      <w:r>
        <w:rPr>
          <w:rFonts w:ascii="Arial" w:cs="Arial" w:eastAsia="Arial" w:hAnsi="Arial"/>
          <w:sz w:val="23"/>
          <w:szCs w:val="23"/>
          <w:color w:val="auto"/>
        </w:rPr>
        <w:t>Between the Execution Time and the time of any sale of Units through the Managers, there shall not have been any decrease in the rating of any of the debt securities of the Partnership Parties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194" w:lineRule="exact"/>
        <w:rPr>
          <w:rFonts w:ascii="Arial" w:cs="Arial" w:eastAsia="Arial" w:hAnsi="Arial"/>
          <w:sz w:val="23"/>
          <w:szCs w:val="23"/>
          <w:color w:val="auto"/>
        </w:rPr>
      </w:pPr>
    </w:p>
    <w:p>
      <w:pPr>
        <w:ind w:firstLine="683"/>
        <w:spacing w:after="0" w:line="257" w:lineRule="auto"/>
        <w:tabs>
          <w:tab w:leader="none" w:pos="1493" w:val="left"/>
        </w:tabs>
        <w:numPr>
          <w:ilvl w:val="0"/>
          <w:numId w:val="46"/>
        </w:numPr>
        <w:rPr>
          <w:rFonts w:ascii="Arial" w:cs="Arial" w:eastAsia="Arial" w:hAnsi="Arial"/>
          <w:sz w:val="23"/>
          <w:szCs w:val="23"/>
          <w:color w:val="auto"/>
        </w:rPr>
      </w:pPr>
      <w:r>
        <w:rPr>
          <w:rFonts w:ascii="Arial" w:cs="Arial" w:eastAsia="Arial" w:hAnsi="Arial"/>
          <w:sz w:val="23"/>
          <w:szCs w:val="23"/>
          <w:color w:val="auto"/>
        </w:rPr>
        <w:t>FINRA shall not have raised any objection with respect to the fairness and reasonableness of the terms and arrangements under this Agreement.</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32" w:name="page33"/>
    <w:bookmarkEnd w:id="32"/>
    <w:p>
      <w:pPr>
        <w:ind w:left="680" w:firstLine="683"/>
        <w:spacing w:after="0" w:line="257" w:lineRule="auto"/>
        <w:tabs>
          <w:tab w:leader="none" w:pos="2407" w:val="left"/>
        </w:tabs>
        <w:numPr>
          <w:ilvl w:val="0"/>
          <w:numId w:val="47"/>
        </w:numPr>
        <w:rPr>
          <w:rFonts w:ascii="Arial" w:cs="Arial" w:eastAsia="Arial" w:hAnsi="Arial"/>
          <w:sz w:val="23"/>
          <w:szCs w:val="23"/>
          <w:color w:val="auto"/>
        </w:rPr>
      </w:pPr>
      <w:r>
        <w:rPr>
          <w:rFonts w:ascii="Arial" w:cs="Arial" w:eastAsia="Arial" w:hAnsi="Arial"/>
          <w:sz w:val="23"/>
          <w:szCs w:val="23"/>
          <w:color w:val="auto"/>
        </w:rPr>
        <w:t>The Units shall have been listed and admitted and authorized for trading on the NYSE, and satisfactory evidence of such actions shall have been provided to the Managers.</w:t>
      </w:r>
    </w:p>
    <w:p>
      <w:pPr>
        <w:spacing w:after="0" w:line="175" w:lineRule="exact"/>
        <w:rPr>
          <w:rFonts w:ascii="Arial" w:cs="Arial" w:eastAsia="Arial" w:hAnsi="Arial"/>
          <w:sz w:val="23"/>
          <w:szCs w:val="23"/>
          <w:color w:val="auto"/>
        </w:rPr>
      </w:pPr>
    </w:p>
    <w:p>
      <w:pPr>
        <w:ind w:left="680" w:firstLine="683"/>
        <w:spacing w:after="0" w:line="304" w:lineRule="auto"/>
        <w:tabs>
          <w:tab w:leader="none" w:pos="2621" w:val="left"/>
        </w:tabs>
        <w:numPr>
          <w:ilvl w:val="0"/>
          <w:numId w:val="47"/>
        </w:numPr>
        <w:rPr>
          <w:rFonts w:ascii="Arial" w:cs="Arial" w:eastAsia="Arial" w:hAnsi="Arial"/>
          <w:sz w:val="21"/>
          <w:szCs w:val="21"/>
          <w:color w:val="auto"/>
        </w:rPr>
      </w:pPr>
      <w:r>
        <w:rPr>
          <w:rFonts w:ascii="Arial" w:cs="Arial" w:eastAsia="Arial" w:hAnsi="Arial"/>
          <w:sz w:val="21"/>
          <w:szCs w:val="21"/>
          <w:color w:val="auto"/>
        </w:rPr>
        <w:t>Prior to each Settlement Date and Time of Delivery, as applicable, the Partnership Parties shall have furnished to the Managers such further information, certificates and documents as the Managers may reasonably request.</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Partnership Parties in writing or by telephone or facsimile confirmed in writing.</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documents required to be delivered by this Section 6 shall be delivered to the office of Latham &amp; Watkins LLP, counsel for the Managers, at 811 Main Street, Suite 3700, Houston, Texas 77002, or electronically to Latham &amp; Watkins LLP at an address provided by it to the Partnership Parties or their counsel, on each such date as provided in this Agreement.</w:t>
      </w:r>
    </w:p>
    <w:p>
      <w:pPr>
        <w:spacing w:after="0" w:line="173" w:lineRule="exact"/>
        <w:rPr>
          <w:sz w:val="20"/>
          <w:szCs w:val="20"/>
          <w:color w:val="auto"/>
        </w:rPr>
      </w:pPr>
    </w:p>
    <w:p>
      <w:pPr>
        <w:ind w:left="2040" w:hanging="677"/>
        <w:spacing w:after="0"/>
        <w:tabs>
          <w:tab w:leader="none" w:pos="2040" w:val="left"/>
        </w:tabs>
        <w:numPr>
          <w:ilvl w:val="0"/>
          <w:numId w:val="48"/>
        </w:numPr>
        <w:rPr>
          <w:rFonts w:ascii="Arial" w:cs="Arial" w:eastAsia="Arial" w:hAnsi="Arial"/>
          <w:sz w:val="23"/>
          <w:szCs w:val="23"/>
          <w:color w:val="auto"/>
        </w:rPr>
      </w:pPr>
      <w:r>
        <w:rPr>
          <w:rFonts w:ascii="Arial" w:cs="Arial" w:eastAsia="Arial" w:hAnsi="Arial"/>
          <w:sz w:val="23"/>
          <w:szCs w:val="23"/>
          <w:u w:val="single" w:color="auto"/>
          <w:color w:val="auto"/>
        </w:rPr>
        <w:t>Indemnification and Contribution</w:t>
      </w:r>
      <w:r>
        <w:rPr>
          <w:rFonts w:ascii="Arial" w:cs="Arial" w:eastAsia="Arial" w:hAnsi="Arial"/>
          <w:sz w:val="23"/>
          <w:szCs w:val="23"/>
          <w:color w:val="auto"/>
        </w:rPr>
        <w:t>.</w:t>
      </w:r>
    </w:p>
    <w:p>
      <w:pPr>
        <w:spacing w:after="0" w:line="220" w:lineRule="exact"/>
        <w:rPr>
          <w:sz w:val="20"/>
          <w:szCs w:val="20"/>
          <w:color w:val="auto"/>
        </w:rPr>
      </w:pPr>
    </w:p>
    <w:p>
      <w:pPr>
        <w:jc w:val="both"/>
        <w:ind w:left="680" w:firstLine="683"/>
        <w:spacing w:after="0" w:line="258" w:lineRule="auto"/>
        <w:tabs>
          <w:tab w:leader="none" w:pos="2074"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The Partnership Parties will indemnify and hold harmless each Manager against any losses, claims, damages or liabilities, joint or several, to which such Manager may become subject, under the Act or otherwise, insofar as such losses, claims, damages or liabilities (or actions in respect thereof) arise out of or are based upon an untrue statement or alleged untrue statement of a material fact contained in the Registration Statement, Prospectus, Base Prospectus or Prospectus Supplement,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Manager for any legal or other expenses reasonably incurred by such Manager in connection with investigating or defending any such action or claim as such expenses are incurred;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the Partnership Parties shall not be liable in any such case to the extent that any such loss, claim,</w:t>
      </w:r>
      <w:r>
        <w:rPr>
          <w:rFonts w:ascii="Arial" w:cs="Arial" w:eastAsia="Arial" w:hAnsi="Arial"/>
          <w:sz w:val="21"/>
          <w:szCs w:val="21"/>
          <w:i w:val="1"/>
          <w:iCs w:val="1"/>
          <w:color w:val="auto"/>
        </w:rPr>
        <w:t xml:space="preserve"> </w:t>
      </w:r>
      <w:r>
        <w:rPr>
          <w:rFonts w:ascii="Arial" w:cs="Arial" w:eastAsia="Arial" w:hAnsi="Arial"/>
          <w:sz w:val="21"/>
          <w:szCs w:val="21"/>
          <w:color w:val="auto"/>
        </w:rPr>
        <w:t>damage or liability arises out of or is based upon an untrue statement or alleged untrue statement or omission or alleged omission made in the Registration Statement, Prospectus, Base Prospectus or Prospectus Supplement, or any amendment or supplement thereto, any Issuer Free Writing Prospectus, in reliance upon and in conformity with written information furnished to the Partnership Parties by any Manager expressly for use therein.</w:t>
      </w:r>
    </w:p>
    <w:p>
      <w:pPr>
        <w:spacing w:after="0" w:line="187" w:lineRule="exact"/>
        <w:rPr>
          <w:rFonts w:ascii="Arial" w:cs="Arial" w:eastAsia="Arial" w:hAnsi="Arial"/>
          <w:sz w:val="21"/>
          <w:szCs w:val="21"/>
          <w:color w:val="auto"/>
        </w:rPr>
      </w:pPr>
    </w:p>
    <w:p>
      <w:pPr>
        <w:jc w:val="both"/>
        <w:ind w:left="680" w:firstLine="683"/>
        <w:spacing w:after="0" w:line="279" w:lineRule="auto"/>
        <w:tabs>
          <w:tab w:leader="none" w:pos="2272" w:val="left"/>
        </w:tabs>
        <w:numPr>
          <w:ilvl w:val="0"/>
          <w:numId w:val="49"/>
        </w:numPr>
        <w:rPr>
          <w:rFonts w:ascii="Arial" w:cs="Arial" w:eastAsia="Arial" w:hAnsi="Arial"/>
          <w:sz w:val="21"/>
          <w:szCs w:val="21"/>
          <w:color w:val="auto"/>
        </w:rPr>
      </w:pPr>
      <w:r>
        <w:rPr>
          <w:rFonts w:ascii="Arial" w:cs="Arial" w:eastAsia="Arial" w:hAnsi="Arial"/>
          <w:sz w:val="21"/>
          <w:szCs w:val="21"/>
          <w:color w:val="auto"/>
        </w:rPr>
        <w:t>Each Manager,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22"/>
          <w:szCs w:val="22"/>
          <w:color w:val="auto"/>
        </w:rPr>
        <w:t>based upon an untrue statement or alleged untrue statement of a material fact contained in the Registration Statement, Prospectus, Base Prospectus or Prospectus Supplement,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Prospectus, Base Prospectus or Prospectus Supplement, or any amendment or supplement thereto, any Issuer Free Writing Prospectus, in reliance upon and in conformity with written information furnished to the Partnership Parties by such Manager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192" w:lineRule="exact"/>
        <w:rPr>
          <w:sz w:val="20"/>
          <w:szCs w:val="20"/>
          <w:color w:val="auto"/>
        </w:rPr>
      </w:pPr>
    </w:p>
    <w:p>
      <w:pPr>
        <w:jc w:val="both"/>
        <w:ind w:firstLine="683"/>
        <w:spacing w:after="0" w:line="258" w:lineRule="auto"/>
        <w:tabs>
          <w:tab w:leader="none" w:pos="2150" w:val="left"/>
        </w:tabs>
        <w:numPr>
          <w:ilvl w:val="0"/>
          <w:numId w:val="50"/>
        </w:numPr>
        <w:rPr>
          <w:rFonts w:ascii="Arial" w:cs="Arial" w:eastAsia="Arial" w:hAnsi="Arial"/>
          <w:sz w:val="21"/>
          <w:szCs w:val="21"/>
          <w:color w:val="auto"/>
        </w:rPr>
      </w:pPr>
      <w:r>
        <w:rPr>
          <w:rFonts w:ascii="Arial" w:cs="Arial" w:eastAsia="Arial" w:hAnsi="Arial"/>
          <w:sz w:val="21"/>
          <w:szCs w:val="21"/>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6" w:lineRule="exact"/>
        <w:rPr>
          <w:rFonts w:ascii="Arial" w:cs="Arial" w:eastAsia="Arial" w:hAnsi="Arial"/>
          <w:sz w:val="21"/>
          <w:szCs w:val="21"/>
          <w:color w:val="auto"/>
        </w:rPr>
      </w:pPr>
    </w:p>
    <w:p>
      <w:pPr>
        <w:jc w:val="both"/>
        <w:ind w:firstLine="683"/>
        <w:spacing w:after="0" w:line="239" w:lineRule="auto"/>
        <w:tabs>
          <w:tab w:leader="none" w:pos="1678" w:val="left"/>
        </w:tabs>
        <w:numPr>
          <w:ilvl w:val="0"/>
          <w:numId w:val="50"/>
        </w:numPr>
        <w:rPr>
          <w:rFonts w:ascii="Arial" w:cs="Arial" w:eastAsia="Arial" w:hAnsi="Arial"/>
          <w:sz w:val="23"/>
          <w:szCs w:val="23"/>
          <w:color w:val="auto"/>
        </w:rPr>
      </w:pPr>
      <w:r>
        <w:rPr>
          <w:rFonts w:ascii="Arial" w:cs="Arial" w:eastAsia="Arial" w:hAnsi="Arial"/>
          <w:sz w:val="23"/>
          <w:szCs w:val="23"/>
          <w:color w:val="auto"/>
        </w:rPr>
        <w:t>If the indemnification provided for in this Section 7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04" w:right="120"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21"/>
          <w:szCs w:val="21"/>
          <w:color w:val="auto"/>
        </w:rPr>
        <w:t>received by the Partnership Parties on the one hand and the Managers on the other from the offering of the Units.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Managers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Managers on the other shall be deemed to be in the same proportion as the total net proceeds from the offering (before deducting expenses) received by the Partnership Parties bear to the total sales commissions received by the Managers.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Managers on the other and the parties’ relative intent, knowledge, access to information and opportunity to correct or prevent such statement or omission. The Partnership Parties and the Managers agree that it would not be just and equitable if contribution pursuant to this subsection (d) were determined by pro rata allocation (even if the Managers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Manager shall be required to contribute any amount in excess of the amount by which the total price at which the Units distributed to the public were offered to the public exceeds the amount of any damages which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Managers’ obligations in this subsection (d) to contribute are several and not joint.</w:t>
      </w:r>
    </w:p>
    <w:p>
      <w:pPr>
        <w:spacing w:after="0" w:line="181" w:lineRule="exact"/>
        <w:rPr>
          <w:sz w:val="20"/>
          <w:szCs w:val="20"/>
          <w:color w:val="auto"/>
        </w:rPr>
      </w:pPr>
    </w:p>
    <w:p>
      <w:pPr>
        <w:jc w:val="both"/>
        <w:ind w:firstLine="683"/>
        <w:spacing w:after="0" w:line="262" w:lineRule="auto"/>
        <w:tabs>
          <w:tab w:leader="none" w:pos="1465"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obligations of the Partnership Parties under this Section 7 shall be in addition to any liability which the Partnership Parties may otherwise have and shall extend, upon the same terms and conditions, to each person, if any, who controls any Manager within the meaning of the Act, each broker-dealer affiliate of any Manager and each director, officer, employee and agent of any Manager or broker-dealer affiliate of any Manager; and the obligations of the Managers under this Section 7 shall be in addition to any liability which the respective Managers may otherwise have and shall extend, upon the same terms and conditions, to each officer and director of the Partnership (including any person who, with his or her consent, is named in any Registration Statement as about to become a director of the Partnership) and to each person, if any, who controls the Partnership within the meaning of the Act.</w:t>
      </w:r>
    </w:p>
    <w:p>
      <w:pPr>
        <w:spacing w:after="0" w:line="173"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80645</wp:posOffset>
            </wp:positionV>
            <wp:extent cx="7646670" cy="31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33" w:right="120" w:bottom="1440" w:gutter="0" w:footer="0" w:header="0"/>
        </w:sectPr>
      </w:pPr>
    </w:p>
    <w:bookmarkStart w:id="35" w:name="page36"/>
    <w:bookmarkEnd w:id="35"/>
    <w:p>
      <w:pPr>
        <w:ind w:left="720" w:hanging="677"/>
        <w:spacing w:after="0"/>
        <w:tabs>
          <w:tab w:leader="none" w:pos="720" w:val="left"/>
        </w:tabs>
        <w:numPr>
          <w:ilvl w:val="0"/>
          <w:numId w:val="52"/>
        </w:numPr>
        <w:rPr>
          <w:rFonts w:ascii="Arial" w:cs="Arial" w:eastAsia="Arial" w:hAnsi="Arial"/>
          <w:sz w:val="23"/>
          <w:szCs w:val="23"/>
          <w:color w:val="auto"/>
        </w:rPr>
      </w:pPr>
      <w:r>
        <w:rPr>
          <w:rFonts w:ascii="Arial" w:cs="Arial" w:eastAsia="Arial" w:hAnsi="Arial"/>
          <w:sz w:val="23"/>
          <w:szCs w:val="23"/>
          <w:u w:val="single" w:color="auto"/>
          <w:color w:val="auto"/>
        </w:rPr>
        <w:t>Termination</w:t>
      </w:r>
      <w:r>
        <w:rPr>
          <w:rFonts w:ascii="Arial" w:cs="Arial" w:eastAsia="Arial" w:hAnsi="Arial"/>
          <w:sz w:val="23"/>
          <w:szCs w:val="23"/>
          <w:color w:val="auto"/>
        </w:rPr>
        <w:t>.</w:t>
      </w:r>
    </w:p>
    <w:p>
      <w:pPr>
        <w:spacing w:after="0" w:line="220" w:lineRule="exact"/>
        <w:rPr>
          <w:sz w:val="20"/>
          <w:szCs w:val="20"/>
          <w:color w:val="auto"/>
        </w:rPr>
      </w:pPr>
    </w:p>
    <w:p>
      <w:pPr>
        <w:jc w:val="both"/>
        <w:ind w:left="-640" w:firstLine="683"/>
        <w:spacing w:after="0" w:line="263" w:lineRule="auto"/>
        <w:tabs>
          <w:tab w:leader="none" w:pos="954"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Partnership Parties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the Managers, then Section 4(u) shall remain in full force and effect, (ii) with respect to any pending sale of Units through the Managers, the obligations of the Partnership Parties, including in respect of compensation of the Managers, shall remain in full force and effect notwithstanding the termination and (iii) the provisions of Sections 5, 7, 9, 10, 12, 14, 15 and 16 of this Agreement shall remain in full force and effect notwithstanding such termination.</w:t>
      </w:r>
    </w:p>
    <w:p>
      <w:pPr>
        <w:spacing w:after="0" w:line="172" w:lineRule="exact"/>
        <w:rPr>
          <w:rFonts w:ascii="Arial" w:cs="Arial" w:eastAsia="Arial" w:hAnsi="Arial"/>
          <w:sz w:val="21"/>
          <w:szCs w:val="21"/>
          <w:color w:val="auto"/>
        </w:rPr>
      </w:pPr>
    </w:p>
    <w:p>
      <w:pPr>
        <w:jc w:val="both"/>
        <w:ind w:left="-640" w:firstLine="683"/>
        <w:spacing w:after="0" w:line="271" w:lineRule="auto"/>
        <w:tabs>
          <w:tab w:leader="none" w:pos="12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Managers shall have the right, by giving written notice as hereinafter specified, to terminate the provisions of this Agreement relating to the solicitation of offers to purchase the Units in their sole discretion at any time. Any such termination shall be without liability of any party to any other party except that the provisions of Sections 5, 7, 9, 10, 12, 14, 15 and 16 of this Agreement shall remain in full force and effect notwithstanding such termination.</w:t>
      </w:r>
    </w:p>
    <w:p>
      <w:pPr>
        <w:spacing w:after="0" w:line="164" w:lineRule="exact"/>
        <w:rPr>
          <w:rFonts w:ascii="Arial" w:cs="Arial" w:eastAsia="Arial" w:hAnsi="Arial"/>
          <w:sz w:val="21"/>
          <w:szCs w:val="21"/>
          <w:color w:val="auto"/>
        </w:rPr>
      </w:pPr>
    </w:p>
    <w:p>
      <w:pPr>
        <w:jc w:val="both"/>
        <w:ind w:left="-640" w:firstLine="683"/>
        <w:spacing w:after="0" w:line="279" w:lineRule="auto"/>
        <w:tabs>
          <w:tab w:leader="none" w:pos="1382"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This Agreement shall remain in full force and effect unless terminated pursuant to Sections 8(a) or 8(b) above or otherwise by mutual agreement of the parties;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termination by mutual agreement shall in all cases be deemed to provide that Sections 5, 7, 9, 10, 12, 14, 15 and 16 shall remain in full force and effect.</w:t>
      </w:r>
    </w:p>
    <w:p>
      <w:pPr>
        <w:spacing w:after="0" w:line="156" w:lineRule="exact"/>
        <w:rPr>
          <w:rFonts w:ascii="Arial" w:cs="Arial" w:eastAsia="Arial" w:hAnsi="Arial"/>
          <w:sz w:val="21"/>
          <w:szCs w:val="21"/>
          <w:color w:val="auto"/>
        </w:rPr>
      </w:pPr>
    </w:p>
    <w:p>
      <w:pPr>
        <w:jc w:val="both"/>
        <w:ind w:left="-640" w:firstLine="683"/>
        <w:spacing w:after="0" w:line="239" w:lineRule="auto"/>
        <w:tabs>
          <w:tab w:leader="none" w:pos="1009" w:val="left"/>
        </w:tabs>
        <w:numPr>
          <w:ilvl w:val="0"/>
          <w:numId w:val="53"/>
        </w:numPr>
        <w:rPr>
          <w:rFonts w:ascii="Arial" w:cs="Arial" w:eastAsia="Arial" w:hAnsi="Arial"/>
          <w:sz w:val="23"/>
          <w:szCs w:val="23"/>
          <w:color w:val="auto"/>
        </w:rPr>
      </w:pPr>
      <w:r>
        <w:rPr>
          <w:rFonts w:ascii="Arial" w:cs="Arial" w:eastAsia="Arial" w:hAnsi="Arial"/>
          <w:sz w:val="23"/>
          <w:szCs w:val="23"/>
          <w:color w:val="auto"/>
        </w:rPr>
        <w:t xml:space="preserve">Any termination of this Agreement shall be effective on the date specified in such notice of termination; </w:t>
      </w:r>
      <w:r>
        <w:rPr>
          <w:rFonts w:ascii="Arial" w:cs="Arial" w:eastAsia="Arial" w:hAnsi="Arial"/>
          <w:sz w:val="23"/>
          <w:szCs w:val="23"/>
          <w:i w:val="1"/>
          <w:iCs w:val="1"/>
          <w:color w:val="auto"/>
        </w:rPr>
        <w:t xml:space="preserve">provided </w:t>
      </w:r>
      <w:r>
        <w:rPr>
          <w:rFonts w:ascii="Arial" w:cs="Arial" w:eastAsia="Arial" w:hAnsi="Arial"/>
          <w:sz w:val="23"/>
          <w:szCs w:val="23"/>
          <w:color w:val="auto"/>
        </w:rPr>
        <w:t>that such termination shall not be effective until the close of business on the date of receipt of such notice by the</w:t>
      </w:r>
      <w:r>
        <w:rPr>
          <w:rFonts w:ascii="Arial" w:cs="Arial" w:eastAsia="Arial" w:hAnsi="Arial"/>
          <w:sz w:val="23"/>
          <w:szCs w:val="23"/>
          <w:i w:val="1"/>
          <w:iCs w:val="1"/>
          <w:color w:val="auto"/>
        </w:rPr>
        <w:t xml:space="preserve"> </w:t>
      </w:r>
      <w:r>
        <w:rPr>
          <w:rFonts w:ascii="Arial" w:cs="Arial" w:eastAsia="Arial" w:hAnsi="Arial"/>
          <w:sz w:val="23"/>
          <w:szCs w:val="23"/>
          <w:color w:val="auto"/>
        </w:rPr>
        <w:t>Managers or the Partnership Parties, as the case may be. If such termination shall occur prior to the Settlement Date or Time of Delivery for any sale of the Units, such sale shall settle in accordance with the provisions of Section 3(a)(vii) of this Agreement.</w:t>
      </w:r>
    </w:p>
    <w:p>
      <w:pPr>
        <w:spacing w:after="0" w:line="194" w:lineRule="exact"/>
        <w:rPr>
          <w:rFonts w:ascii="Arial" w:cs="Arial" w:eastAsia="Arial" w:hAnsi="Arial"/>
          <w:sz w:val="23"/>
          <w:szCs w:val="23"/>
          <w:color w:val="auto"/>
        </w:rPr>
      </w:pPr>
    </w:p>
    <w:p>
      <w:pPr>
        <w:jc w:val="both"/>
        <w:ind w:left="-640" w:firstLine="683"/>
        <w:spacing w:after="0" w:line="260" w:lineRule="auto"/>
        <w:tabs>
          <w:tab w:leader="none" w:pos="797" w:val="left"/>
        </w:tabs>
        <w:numPr>
          <w:ilvl w:val="0"/>
          <w:numId w:val="53"/>
        </w:numPr>
        <w:rPr>
          <w:rFonts w:ascii="Arial" w:cs="Arial" w:eastAsia="Arial" w:hAnsi="Arial"/>
          <w:sz w:val="21"/>
          <w:szCs w:val="21"/>
          <w:color w:val="auto"/>
        </w:rPr>
      </w:pPr>
      <w:r>
        <w:rPr>
          <w:rFonts w:ascii="Arial" w:cs="Arial" w:eastAsia="Arial" w:hAnsi="Arial"/>
          <w:sz w:val="21"/>
          <w:szCs w:val="21"/>
          <w:color w:val="auto"/>
        </w:rPr>
        <w:t>In the case of any purchase of Units by the Managers pursuant to a Terms Agreement, the obligations of the Managers pursuant to such Terms Agreement shall be subject to termination, in the absolute discretion of the Managers, by notice given to the Partnership Parties prior to the Time of Delivery relating to such Units, if at any time prior to such delivery and payment (i) trading in the Partnership’s Common Units shall have been suspended by the Commission or the NYSE or trading in securities generally on the NYSE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Managers, impractical or inadvisable to proceed with the offering or delivery of the Units as contemplated by the Prospectus.</w:t>
      </w:r>
    </w:p>
    <w:p>
      <w:pPr>
        <w:spacing w:after="0" w:line="179" w:lineRule="exact"/>
        <w:rPr>
          <w:sz w:val="20"/>
          <w:szCs w:val="20"/>
          <w:color w:val="auto"/>
        </w:rPr>
      </w:pPr>
    </w:p>
    <w:p>
      <w:pPr>
        <w:ind w:left="4560"/>
        <w:spacing w:after="0"/>
        <w:rPr>
          <w:sz w:val="20"/>
          <w:szCs w:val="20"/>
          <w:color w:val="auto"/>
        </w:rPr>
      </w:pPr>
      <w:r>
        <w:rPr>
          <w:rFonts w:ascii="Arial" w:cs="Arial" w:eastAsia="Arial" w:hAnsi="Arial"/>
          <w:sz w:val="23"/>
          <w:szCs w:val="2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80645</wp:posOffset>
            </wp:positionV>
            <wp:extent cx="7646670" cy="31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440" w:top="204" w:right="120" w:bottom="1440" w:gutter="0" w:footer="0" w:header="0"/>
        </w:sectPr>
      </w:pPr>
    </w:p>
    <w:bookmarkStart w:id="36" w:name="page37"/>
    <w:bookmarkEnd w:id="36"/>
    <w:p>
      <w:pPr>
        <w:jc w:val="both"/>
        <w:ind w:firstLine="1363"/>
        <w:spacing w:after="0" w:line="239" w:lineRule="auto"/>
        <w:tabs>
          <w:tab w:leader="none" w:pos="2695" w:val="left"/>
        </w:tabs>
        <w:numPr>
          <w:ilvl w:val="0"/>
          <w:numId w:val="54"/>
        </w:numPr>
        <w:rPr>
          <w:rFonts w:ascii="Arial" w:cs="Arial" w:eastAsia="Arial" w:hAnsi="Arial"/>
          <w:sz w:val="23"/>
          <w:szCs w:val="23"/>
          <w:color w:val="auto"/>
        </w:rPr>
      </w:pPr>
      <w:r>
        <w:rPr>
          <w:rFonts w:ascii="Arial" w:cs="Arial" w:eastAsia="Arial" w:hAnsi="Arial"/>
          <w:sz w:val="23"/>
          <w:szCs w:val="23"/>
          <w:u w:val="single" w:color="auto"/>
          <w:color w:val="auto"/>
        </w:rPr>
        <w:t>Representations and Indemnities to Survive</w:t>
      </w:r>
      <w:r>
        <w:rPr>
          <w:rFonts w:ascii="Arial" w:cs="Arial" w:eastAsia="Arial" w:hAnsi="Arial"/>
          <w:sz w:val="23"/>
          <w:szCs w:val="23"/>
          <w:color w:val="auto"/>
        </w:rPr>
        <w:t>. The respective agreements, representations, warranties, indemnities and other statements of the Partnership Parties or their officers and of the Managers set forth in or made pursuant to this Agreement will remain in full force and effect, regardless of any investigation made by the Managers or the Partnership Parties or any of the officers, directors, employees, agents or controlling persons referred to in Section 7 hereof, and will survive delivery of and payment for the Units.</w:t>
      </w:r>
    </w:p>
    <w:p>
      <w:pPr>
        <w:spacing w:after="0" w:line="194" w:lineRule="exact"/>
        <w:rPr>
          <w:rFonts w:ascii="Arial" w:cs="Arial" w:eastAsia="Arial" w:hAnsi="Arial"/>
          <w:sz w:val="23"/>
          <w:szCs w:val="23"/>
          <w:color w:val="auto"/>
        </w:rPr>
      </w:pPr>
    </w:p>
    <w:p>
      <w:pPr>
        <w:jc w:val="both"/>
        <w:ind w:firstLine="1363"/>
        <w:spacing w:after="0" w:line="259" w:lineRule="auto"/>
        <w:tabs>
          <w:tab w:leader="none" w:pos="2253"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communications hereunder will be in writing and effective only on receipt, and, if sent to the Managers, will be mailed, e-mailed, delivered or telefaxed to: c/o Citigroup Global Markets Inc., 388 Greenwich Street, New York, New York 10013 Attention: General Counsel, Facsimile: (646) 291-1469; c/o Credit Suisse Securities (USA) LLC, Eleven Madison Avenue, New York, New York 10010-3629, Facsimile: (212) 325-4296 Attention: IBCM-Legal; c/o Merrill Lynch, One Bryant Park, New York, New York 10036, Facsimile: (646) 855-3073 Attention: Dave Moran, TJ Opladen and Syndicate Department, email: thomas.j.opladen_jr@baml.com, with a copy to Facsimile: (212) 230-8730, Attention: ECM Legal, email: tymour.okasha@bankofamerica.com; c/o Morgan Stanley &amp; Co. LLC, 1585 Broadway, New York, New York 10036 Attention: Equity Syndicate Desk, with a copy to the Legal Department; and c/o UBS Securities LLC 1285 Avenue of the Americas, New York, New York 10019, Attention: Legal Department, Facsimile: (212) 821-4165; or, if sent to the Partnership, will be mailed, e-mailed, delivered or telefaxed to the address of the Partnership set forth in the Registration Statement, Attention: Chief Financial Officer (e-mail: amaxwell@gaslogltd.com), with a copy to Cravath, Swaine &amp; Moore LLP, 825 Eighth Avenue, New York, New York 10019-7475, Attn: Scott Bennett (fax no. 212-474-3700; email: sbennett@cravath.com).</w:t>
      </w:r>
    </w:p>
    <w:p>
      <w:pPr>
        <w:spacing w:after="0" w:line="181" w:lineRule="exact"/>
        <w:rPr>
          <w:rFonts w:ascii="Arial" w:cs="Arial" w:eastAsia="Arial" w:hAnsi="Arial"/>
          <w:sz w:val="21"/>
          <w:szCs w:val="21"/>
          <w:color w:val="auto"/>
        </w:rPr>
      </w:pPr>
    </w:p>
    <w:p>
      <w:pPr>
        <w:jc w:val="both"/>
        <w:ind w:firstLine="1363"/>
        <w:spacing w:after="0" w:line="261" w:lineRule="auto"/>
        <w:tabs>
          <w:tab w:leader="none" w:pos="243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Successors and Parties in Interest</w:t>
      </w:r>
      <w:r>
        <w:rPr>
          <w:rFonts w:ascii="Arial" w:cs="Arial" w:eastAsia="Arial" w:hAnsi="Arial"/>
          <w:sz w:val="21"/>
          <w:szCs w:val="21"/>
          <w:color w:val="auto"/>
        </w:rPr>
        <w:t xml:space="preserve">. This Agreement will inure to the benefit of and be binding upon the parties hereto and their respective successors, and no other person shall have any right or obligation hereunder; </w:t>
      </w:r>
      <w:r>
        <w:rPr>
          <w:rFonts w:ascii="Arial" w:cs="Arial" w:eastAsia="Arial" w:hAnsi="Arial"/>
          <w:sz w:val="21"/>
          <w:szCs w:val="21"/>
          <w:i w:val="1"/>
          <w:iCs w:val="1"/>
          <w:color w:val="auto"/>
        </w:rPr>
        <w:t>provided</w:t>
      </w:r>
      <w:r>
        <w:rPr>
          <w:rFonts w:ascii="Arial" w:cs="Arial" w:eastAsia="Arial" w:hAnsi="Arial"/>
          <w:sz w:val="21"/>
          <w:szCs w:val="21"/>
          <w:color w:val="auto"/>
        </w:rPr>
        <w:t>, that Merrill Lynch, Pierce, Fenner &amp; Smith Incorporated may, without notice to the Partnership Parties, assign its rights and obligations under this Agreement to any other registered broker-dealer wholly-owned by Bank of America Corporation to which all or substantially all of Merrill Lynch, Pierce, Fenner &amp; Smith Incorporated’s investment banking or related business may be transferred following the date of this Agreement. This Agreement has been and is made solely for the benefit of the Managers and the Partnership Parties and, to the extent provided in Section 7 of this Agreement, the officers, directors, employees, agents and controlling persons referred to in Section 7 and their respective successors, assigns, heirs, personal representatives and executors and administrators. No other person shall acquire or have any right under or by virtue of this Agreement.</w:t>
      </w:r>
    </w:p>
    <w:p>
      <w:pPr>
        <w:spacing w:after="0" w:line="174" w:lineRule="exact"/>
        <w:rPr>
          <w:rFonts w:ascii="Arial" w:cs="Arial" w:eastAsia="Arial" w:hAnsi="Arial"/>
          <w:sz w:val="21"/>
          <w:szCs w:val="21"/>
          <w:color w:val="auto"/>
        </w:rPr>
      </w:pPr>
    </w:p>
    <w:p>
      <w:pPr>
        <w:jc w:val="both"/>
        <w:ind w:firstLine="1363"/>
        <w:spacing w:after="0" w:line="265" w:lineRule="auto"/>
        <w:tabs>
          <w:tab w:leader="none" w:pos="2182"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 Fiduciary Duty</w:t>
      </w:r>
      <w:r>
        <w:rPr>
          <w:rFonts w:ascii="Arial" w:cs="Arial" w:eastAsia="Arial" w:hAnsi="Arial"/>
          <w:sz w:val="21"/>
          <w:szCs w:val="21"/>
          <w:color w:val="auto"/>
        </w:rPr>
        <w:t>. The Partnership Parties hereby acknowledge that (a) the purchase and sale of the Units pursuant to this Agreement is an arm’s-length commercial transaction between the Partnership Parties, on the one hand, and the Managers and any affiliate through which it may be acting, on the other, (b) the Managers are acting solely as sales agents and/or principals in connection with the purchase and sale of the Units and not as a fiduciary of the Partnership Parties and (c) the Partnership Parties’ engagement of the Managers in connection with the offering and the process leading up to the offering is as independent contractors and not in any other capacity. Furthermore, the Partnership Parties agree that they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22"/>
          <w:szCs w:val="22"/>
          <w:color w:val="auto"/>
        </w:rPr>
        <w:t>solely responsible for making their own judgments in connection with the offering (irrespective of whether the Managers have advised or is currently advising the Partnership Parties on related or other matters). The Partnership Parties agree that they will not claim that the Managers have rendered advisory services of any nature or respect, or owe an agency, fiduciary or similar duty to the Partnership Parties, in connection with such transactions contemplated by this Agreement.</w:t>
      </w:r>
    </w:p>
    <w:p>
      <w:pPr>
        <w:spacing w:after="0" w:line="180" w:lineRule="exact"/>
        <w:rPr>
          <w:sz w:val="20"/>
          <w:szCs w:val="20"/>
          <w:color w:val="auto"/>
        </w:rPr>
      </w:pPr>
    </w:p>
    <w:p>
      <w:pPr>
        <w:ind w:firstLine="1363"/>
        <w:spacing w:after="0" w:line="331" w:lineRule="auto"/>
        <w:tabs>
          <w:tab w:leader="none" w:pos="2211"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any Terms Agreement supersede all prior agreements and understandings (whether written or oral) between the Partnership Parties and the Managers with respect to the subject matter hereof.</w:t>
      </w:r>
    </w:p>
    <w:p>
      <w:pPr>
        <w:spacing w:after="0" w:line="107" w:lineRule="exact"/>
        <w:rPr>
          <w:rFonts w:ascii="Arial" w:cs="Arial" w:eastAsia="Arial" w:hAnsi="Arial"/>
          <w:sz w:val="20"/>
          <w:szCs w:val="20"/>
          <w:color w:val="auto"/>
        </w:rPr>
      </w:pPr>
    </w:p>
    <w:p>
      <w:pPr>
        <w:jc w:val="both"/>
        <w:ind w:firstLine="1363"/>
        <w:spacing w:after="0" w:line="250" w:lineRule="auto"/>
        <w:tabs>
          <w:tab w:leader="none" w:pos="271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any Terms Agreement will be governed by and construed in accordance with the laws of the State of New York applicable to contracts made and to be performed within the State of New York. The Partnership Parties agree that any suit or proceeding arising in respect of this agreement or the engagement of the Managers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187" w:lineRule="exact"/>
        <w:rPr>
          <w:rFonts w:ascii="Arial" w:cs="Arial" w:eastAsia="Arial" w:hAnsi="Arial"/>
          <w:sz w:val="22"/>
          <w:szCs w:val="22"/>
          <w:color w:val="auto"/>
        </w:rPr>
      </w:pPr>
    </w:p>
    <w:p>
      <w:pPr>
        <w:ind w:left="2040" w:hanging="677"/>
        <w:spacing w:after="0"/>
        <w:tabs>
          <w:tab w:leader="none" w:pos="2040" w:val="left"/>
        </w:tabs>
        <w:numPr>
          <w:ilvl w:val="0"/>
          <w:numId w:val="55"/>
        </w:numPr>
        <w:rPr>
          <w:rFonts w:ascii="Arial" w:cs="Arial" w:eastAsia="Arial" w:hAnsi="Arial"/>
          <w:sz w:val="23"/>
          <w:szCs w:val="23"/>
          <w:color w:val="auto"/>
        </w:rPr>
      </w:pPr>
      <w:r>
        <w:rPr>
          <w:rFonts w:ascii="Arial" w:cs="Arial" w:eastAsia="Arial" w:hAnsi="Arial"/>
          <w:sz w:val="23"/>
          <w:szCs w:val="23"/>
          <w:u w:val="single" w:color="auto"/>
          <w:color w:val="auto"/>
        </w:rPr>
        <w:t>Recognition of the U.S. Special Resolution Regimes</w:t>
      </w:r>
      <w:r>
        <w:rPr>
          <w:rFonts w:ascii="Arial" w:cs="Arial" w:eastAsia="Arial" w:hAnsi="Arial"/>
          <w:sz w:val="23"/>
          <w:szCs w:val="23"/>
          <w:color w:val="auto"/>
        </w:rPr>
        <w:t>.</w:t>
      </w:r>
    </w:p>
    <w:p>
      <w:pPr>
        <w:spacing w:after="0" w:line="220" w:lineRule="exact"/>
        <w:rPr>
          <w:sz w:val="20"/>
          <w:szCs w:val="20"/>
          <w:color w:val="auto"/>
        </w:rPr>
      </w:pPr>
    </w:p>
    <w:p>
      <w:pPr>
        <w:jc w:val="both"/>
        <w:ind w:left="680" w:firstLine="683"/>
        <w:spacing w:after="0" w:line="239" w:lineRule="auto"/>
        <w:tabs>
          <w:tab w:leader="none" w:pos="2088" w:val="left"/>
        </w:tabs>
        <w:numPr>
          <w:ilvl w:val="0"/>
          <w:numId w:val="56"/>
        </w:numPr>
        <w:rPr>
          <w:rFonts w:ascii="Arial" w:cs="Arial" w:eastAsia="Arial" w:hAnsi="Arial"/>
          <w:sz w:val="23"/>
          <w:szCs w:val="23"/>
          <w:color w:val="auto"/>
        </w:rPr>
      </w:pPr>
      <w:r>
        <w:rPr>
          <w:rFonts w:ascii="Arial" w:cs="Arial" w:eastAsia="Arial" w:hAnsi="Arial"/>
          <w:sz w:val="23"/>
          <w:szCs w:val="23"/>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4" w:lineRule="exact"/>
        <w:rPr>
          <w:rFonts w:ascii="Arial" w:cs="Arial" w:eastAsia="Arial" w:hAnsi="Arial"/>
          <w:sz w:val="23"/>
          <w:szCs w:val="23"/>
          <w:color w:val="auto"/>
        </w:rPr>
      </w:pPr>
    </w:p>
    <w:p>
      <w:pPr>
        <w:jc w:val="both"/>
        <w:ind w:left="680" w:firstLine="683"/>
        <w:spacing w:after="0" w:line="239" w:lineRule="auto"/>
        <w:tabs>
          <w:tab w:leader="none" w:pos="2301" w:val="left"/>
        </w:tabs>
        <w:numPr>
          <w:ilvl w:val="0"/>
          <w:numId w:val="56"/>
        </w:numPr>
        <w:rPr>
          <w:rFonts w:ascii="Arial" w:cs="Arial" w:eastAsia="Arial" w:hAnsi="Arial"/>
          <w:sz w:val="23"/>
          <w:szCs w:val="23"/>
          <w:color w:val="auto"/>
        </w:rPr>
      </w:pPr>
      <w:r>
        <w:rPr>
          <w:rFonts w:ascii="Arial" w:cs="Arial" w:eastAsia="Arial" w:hAnsi="Arial"/>
          <w:sz w:val="23"/>
          <w:szCs w:val="23"/>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95" w:lineRule="exact"/>
        <w:rPr>
          <w:sz w:val="20"/>
          <w:szCs w:val="20"/>
          <w:color w:val="auto"/>
        </w:rPr>
      </w:pPr>
    </w:p>
    <w:p>
      <w:pPr>
        <w:jc w:val="both"/>
        <w:ind w:firstLine="1363"/>
        <w:spacing w:after="0" w:line="245" w:lineRule="auto"/>
        <w:tabs>
          <w:tab w:leader="none" w:pos="2310" w:val="left"/>
        </w:tabs>
        <w:numPr>
          <w:ilvl w:val="0"/>
          <w:numId w:val="57"/>
        </w:numPr>
        <w:rPr>
          <w:rFonts w:ascii="Arial" w:cs="Arial" w:eastAsia="Arial" w:hAnsi="Arial"/>
          <w:sz w:val="23"/>
          <w:szCs w:val="23"/>
          <w:color w:val="auto"/>
        </w:rPr>
      </w:pPr>
      <w:r>
        <w:rPr>
          <w:rFonts w:ascii="Arial" w:cs="Arial" w:eastAsia="Arial" w:hAnsi="Arial"/>
          <w:sz w:val="23"/>
          <w:szCs w:val="23"/>
          <w:u w:val="single" w:color="auto"/>
          <w:color w:val="auto"/>
        </w:rPr>
        <w:t>Waiver of Jury Trial</w:t>
      </w:r>
      <w:r>
        <w:rPr>
          <w:rFonts w:ascii="Arial" w:cs="Arial" w:eastAsia="Arial" w:hAnsi="Arial"/>
          <w:sz w:val="23"/>
          <w:szCs w:val="23"/>
          <w:color w:val="auto"/>
        </w:rPr>
        <w:t>. The Partnership Parties hereby irrevocably waive, to the fullest extent permitted by applicable law, any and all right to trial by jury in any legal proceeding arising out of or relating to this Agreement, any Terms Agreement or the transactions contemplated hereby or thereby.</w:t>
      </w:r>
    </w:p>
    <w:p>
      <w:pPr>
        <w:spacing w:after="0" w:line="188" w:lineRule="exact"/>
        <w:rPr>
          <w:rFonts w:ascii="Arial" w:cs="Arial" w:eastAsia="Arial" w:hAnsi="Arial"/>
          <w:sz w:val="23"/>
          <w:szCs w:val="23"/>
          <w:color w:val="auto"/>
        </w:rPr>
      </w:pPr>
    </w:p>
    <w:p>
      <w:pPr>
        <w:ind w:firstLine="1363"/>
        <w:spacing w:after="0" w:line="304" w:lineRule="auto"/>
        <w:tabs>
          <w:tab w:leader="none" w:pos="2196"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and any Terms Agreement may be signed in one or more counterparts, each of which shall constitute an original and all of which together shall constitute one and the same agreement.</w:t>
      </w:r>
    </w:p>
    <w:p>
      <w:pPr>
        <w:spacing w:after="0" w:line="129" w:lineRule="exact"/>
        <w:rPr>
          <w:rFonts w:ascii="Arial" w:cs="Arial" w:eastAsia="Arial" w:hAnsi="Arial"/>
          <w:sz w:val="21"/>
          <w:szCs w:val="21"/>
          <w:color w:val="auto"/>
        </w:rPr>
      </w:pPr>
    </w:p>
    <w:p>
      <w:pPr>
        <w:ind w:firstLine="1363"/>
        <w:spacing w:after="0" w:line="257" w:lineRule="auto"/>
        <w:tabs>
          <w:tab w:leader="none" w:pos="2111" w:val="left"/>
        </w:tabs>
        <w:numPr>
          <w:ilvl w:val="0"/>
          <w:numId w:val="57"/>
        </w:numPr>
        <w:rPr>
          <w:rFonts w:ascii="Arial" w:cs="Arial" w:eastAsia="Arial" w:hAnsi="Arial"/>
          <w:sz w:val="23"/>
          <w:szCs w:val="23"/>
          <w:color w:val="auto"/>
        </w:rPr>
      </w:pPr>
      <w:r>
        <w:rPr>
          <w:rFonts w:ascii="Arial" w:cs="Arial" w:eastAsia="Arial" w:hAnsi="Arial"/>
          <w:sz w:val="23"/>
          <w:szCs w:val="23"/>
          <w:u w:val="single" w:color="auto"/>
          <w:color w:val="auto"/>
        </w:rPr>
        <w:t>Headings</w:t>
      </w:r>
      <w:r>
        <w:rPr>
          <w:rFonts w:ascii="Arial" w:cs="Arial" w:eastAsia="Arial" w:hAnsi="Arial"/>
          <w:sz w:val="23"/>
          <w:szCs w:val="23"/>
          <w:color w:val="auto"/>
        </w:rPr>
        <w:t>. The section headings used in this Agreement and any Terms Agreement are for convenience only and shall not affect the construction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33" w:right="120" w:bottom="1440" w:gutter="0" w:footer="0" w:header="0"/>
        </w:sectPr>
      </w:pPr>
    </w:p>
    <w:bookmarkStart w:id="38" w:name="page39"/>
    <w:bookmarkEnd w:id="38"/>
    <w:p>
      <w:pPr>
        <w:ind w:left="2200" w:hanging="837"/>
        <w:spacing w:after="0"/>
        <w:tabs>
          <w:tab w:leader="none" w:pos="220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The terms that follow, when used in this Agreement and any Terms Agreement, shall have the</w:t>
      </w:r>
    </w:p>
    <w:p>
      <w:pPr>
        <w:spacing w:after="0" w:line="4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3"/>
          <w:szCs w:val="23"/>
          <w:color w:val="auto"/>
        </w:rPr>
        <w:t>meanings indicated.</w:t>
      </w:r>
    </w:p>
    <w:p>
      <w:pPr>
        <w:spacing w:after="0" w:line="200" w:lineRule="exact"/>
        <w:rPr>
          <w:sz w:val="20"/>
          <w:szCs w:val="20"/>
          <w:color w:val="auto"/>
        </w:rPr>
      </w:pPr>
    </w:p>
    <w:p>
      <w:pPr>
        <w:ind w:right="20"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Act</w:t>
      </w:r>
      <w:r>
        <w:rPr>
          <w:rFonts w:ascii="Arial" w:cs="Arial" w:eastAsia="Arial" w:hAnsi="Arial"/>
          <w:sz w:val="23"/>
          <w:szCs w:val="23"/>
          <w:color w:val="auto"/>
        </w:rPr>
        <w:t>” shall mean the Securities Act of 1933, as amended, and the rules and regulations of the Commission promulgated thereunder.</w:t>
      </w:r>
    </w:p>
    <w:p>
      <w:pPr>
        <w:spacing w:after="0" w:line="175" w:lineRule="exact"/>
        <w:rPr>
          <w:sz w:val="20"/>
          <w:szCs w:val="20"/>
          <w:color w:val="auto"/>
        </w:rPr>
      </w:pPr>
    </w:p>
    <w:p>
      <w:pPr>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Applicable Time</w:t>
      </w:r>
      <w:r>
        <w:rPr>
          <w:rFonts w:ascii="Arial" w:cs="Arial" w:eastAsia="Arial" w:hAnsi="Arial"/>
          <w:sz w:val="23"/>
          <w:szCs w:val="23"/>
          <w:color w:val="auto"/>
        </w:rPr>
        <w:t>” shall mean, with respect to any Units, the time of sale of such Units pursuant to this Agreement or any relevant Terms Agreement.</w:t>
      </w:r>
    </w:p>
    <w:p>
      <w:pPr>
        <w:spacing w:after="0" w:line="175" w:lineRule="exact"/>
        <w:rPr>
          <w:sz w:val="20"/>
          <w:szCs w:val="20"/>
          <w:color w:val="auto"/>
        </w:rPr>
      </w:pPr>
    </w:p>
    <w:p>
      <w:pPr>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Base Prospectus</w:t>
      </w:r>
      <w:r>
        <w:rPr>
          <w:rFonts w:ascii="Arial" w:cs="Arial" w:eastAsia="Arial" w:hAnsi="Arial"/>
          <w:sz w:val="23"/>
          <w:szCs w:val="23"/>
          <w:color w:val="auto"/>
        </w:rPr>
        <w:t>” shall mean the base prospectus referred to in Section 2(a) above contained in the Registration Statement at the Execution Time.</w:t>
      </w:r>
    </w:p>
    <w:p>
      <w:pPr>
        <w:spacing w:after="0" w:line="175" w:lineRule="exact"/>
        <w:rPr>
          <w:sz w:val="20"/>
          <w:szCs w:val="20"/>
          <w:color w:val="auto"/>
        </w:rPr>
      </w:pPr>
    </w:p>
    <w:p>
      <w:pPr>
        <w:ind w:right="20"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BHC Act Affiliate</w:t>
      </w:r>
      <w:r>
        <w:rPr>
          <w:rFonts w:ascii="Arial" w:cs="Arial" w:eastAsia="Arial" w:hAnsi="Arial"/>
          <w:sz w:val="23"/>
          <w:szCs w:val="23"/>
          <w:color w:val="auto"/>
        </w:rPr>
        <w:t>” has the meaning assigned to the term “affiliate” in, and shall be interpreted in accordance with, 12 U.S.C. § 1841(k).</w:t>
      </w:r>
    </w:p>
    <w:p>
      <w:pPr>
        <w:spacing w:after="0" w:line="175" w:lineRule="exact"/>
        <w:rPr>
          <w:sz w:val="20"/>
          <w:szCs w:val="20"/>
          <w:color w:val="auto"/>
        </w:rPr>
      </w:pPr>
    </w:p>
    <w:p>
      <w:pPr>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Business Day</w:t>
      </w:r>
      <w:r>
        <w:rPr>
          <w:rFonts w:ascii="Arial" w:cs="Arial" w:eastAsia="Arial" w:hAnsi="Arial"/>
          <w:sz w:val="23"/>
          <w:szCs w:val="23"/>
          <w:color w:val="auto"/>
        </w:rPr>
        <w:t>” shall mean any day other than a Saturday, a Sunday or a legal holiday or a day on which banking institutions or trust companies are authorized or obligated by law to close in New York City.</w:t>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Commission</w:t>
      </w:r>
      <w:r>
        <w:rPr>
          <w:rFonts w:ascii="Arial" w:cs="Arial" w:eastAsia="Arial" w:hAnsi="Arial"/>
          <w:sz w:val="23"/>
          <w:szCs w:val="23"/>
          <w:color w:val="auto"/>
        </w:rPr>
        <w:t>” shall mean the Securities and Exchange Commission.</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Covered Entity</w:t>
      </w:r>
      <w:r>
        <w:rPr>
          <w:rFonts w:ascii="Arial" w:cs="Arial" w:eastAsia="Arial" w:hAnsi="Arial"/>
          <w:sz w:val="23"/>
          <w:szCs w:val="23"/>
          <w:color w:val="auto"/>
        </w:rPr>
        <w:t>” means any of the following:</w:t>
      </w:r>
    </w:p>
    <w:p>
      <w:pPr>
        <w:spacing w:after="0" w:line="220"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i. a “covered entity” as that term is defined in, and interpreted in accordance with, 12 C.F.R. § 252.82(b);</w:t>
      </w:r>
    </w:p>
    <w:p>
      <w:pPr>
        <w:spacing w:after="0" w:line="243" w:lineRule="exact"/>
        <w:rPr>
          <w:sz w:val="20"/>
          <w:szCs w:val="20"/>
          <w:color w:val="auto"/>
        </w:rPr>
      </w:pPr>
    </w:p>
    <w:p>
      <w:pPr>
        <w:ind w:left="2300" w:hanging="243"/>
        <w:spacing w:after="0"/>
        <w:tabs>
          <w:tab w:leader="none" w:pos="23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 § 47.3(b); or</w:t>
      </w:r>
    </w:p>
    <w:p>
      <w:pPr>
        <w:spacing w:after="0" w:line="243" w:lineRule="exact"/>
        <w:rPr>
          <w:rFonts w:ascii="Arial" w:cs="Arial" w:eastAsia="Arial" w:hAnsi="Arial"/>
          <w:sz w:val="21"/>
          <w:szCs w:val="21"/>
          <w:color w:val="auto"/>
        </w:rPr>
      </w:pPr>
    </w:p>
    <w:p>
      <w:pPr>
        <w:ind w:left="2360" w:hanging="303"/>
        <w:spacing w:after="0"/>
        <w:tabs>
          <w:tab w:leader="none" w:pos="23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w:t>
      </w:r>
    </w:p>
    <w:p>
      <w:pPr>
        <w:spacing w:after="0" w:line="243" w:lineRule="exact"/>
        <w:rPr>
          <w:sz w:val="20"/>
          <w:szCs w:val="20"/>
          <w:color w:val="auto"/>
        </w:rPr>
      </w:pPr>
    </w:p>
    <w:p>
      <w:pPr>
        <w:jc w:val="both"/>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Default Right</w:t>
      </w:r>
      <w:r>
        <w:rPr>
          <w:rFonts w:ascii="Arial" w:cs="Arial" w:eastAsia="Arial" w:hAnsi="Arial"/>
          <w:sz w:val="23"/>
          <w:szCs w:val="23"/>
          <w:color w:val="auto"/>
        </w:rPr>
        <w:t>” has the meaning assigned to that term in, and shall be interpreted in accordance with, 12 C.F.R. §§ 252.81, 47.2 or 382.1, as applicable.</w:t>
      </w:r>
    </w:p>
    <w:p>
      <w:pPr>
        <w:spacing w:after="0" w:line="175" w:lineRule="exact"/>
        <w:rPr>
          <w:sz w:val="20"/>
          <w:szCs w:val="20"/>
          <w:color w:val="auto"/>
        </w:rPr>
      </w:pPr>
    </w:p>
    <w:p>
      <w:pPr>
        <w:jc w:val="both"/>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Earnings Announcement</w:t>
      </w:r>
      <w:r>
        <w:rPr>
          <w:rFonts w:ascii="Arial" w:cs="Arial" w:eastAsia="Arial" w:hAnsi="Arial"/>
          <w:sz w:val="23"/>
          <w:szCs w:val="23"/>
          <w:color w:val="auto"/>
        </w:rPr>
        <w:t>” shall mean a press release or other public announcement of the Partnership containing its earnings, revenues or other results of operations for a quarterly or annual period.</w:t>
      </w:r>
    </w:p>
    <w:p>
      <w:pPr>
        <w:spacing w:after="0" w:line="175" w:lineRule="exact"/>
        <w:rPr>
          <w:sz w:val="20"/>
          <w:szCs w:val="20"/>
          <w:color w:val="auto"/>
        </w:rPr>
      </w:pPr>
    </w:p>
    <w:p>
      <w:pPr>
        <w:jc w:val="both"/>
        <w:ind w:firstLine="1369"/>
        <w:spacing w:after="0" w:line="241"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Earnings 6-K</w:t>
      </w:r>
      <w:r>
        <w:rPr>
          <w:rFonts w:ascii="Arial" w:cs="Arial" w:eastAsia="Arial" w:hAnsi="Arial"/>
          <w:sz w:val="23"/>
          <w:szCs w:val="23"/>
          <w:color w:val="auto"/>
        </w:rPr>
        <w:t>” shall mean a Report on Form 6-K which includes substantially the same financial and related information as was set forth in the relevant Earnings Announcement (other than any earnings projections, similar forward-looking data, officers’ quotations and non-GAAP measures and related disclosure) that the Partnership identifies in such Report on Form 6-K as being incorporated by reference into the Registration Statement.</w:t>
      </w:r>
    </w:p>
    <w:p>
      <w:pPr>
        <w:spacing w:after="0" w:line="193" w:lineRule="exact"/>
        <w:rPr>
          <w:sz w:val="20"/>
          <w:szCs w:val="20"/>
          <w:color w:val="auto"/>
        </w:rPr>
      </w:pPr>
    </w:p>
    <w:p>
      <w:pPr>
        <w:jc w:val="both"/>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Effective Date</w:t>
      </w:r>
      <w:r>
        <w:rPr>
          <w:rFonts w:ascii="Arial" w:cs="Arial" w:eastAsia="Arial" w:hAnsi="Arial"/>
          <w:sz w:val="23"/>
          <w:szCs w:val="23"/>
          <w:color w:val="auto"/>
        </w:rPr>
        <w:t>” shall mean each date and time that the Registration Statement and any post-effective amendment or amendments thereto became or becomes effective.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39" w:name="page40"/>
    <w:bookmarkEnd w:id="39"/>
    <w:p>
      <w:pPr>
        <w:jc w:val="both"/>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Exchange Act</w:t>
      </w:r>
      <w:r>
        <w:rPr>
          <w:rFonts w:ascii="Arial" w:cs="Arial" w:eastAsia="Arial" w:hAnsi="Arial"/>
          <w:sz w:val="23"/>
          <w:szCs w:val="23"/>
          <w:color w:val="auto"/>
        </w:rPr>
        <w:t>” shall mean the Securities Exchange Act of 1934, as amended, and the rules and regulations of the Commission promulgated thereunder.</w:t>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Execution Time</w:t>
      </w:r>
      <w:r>
        <w:rPr>
          <w:rFonts w:ascii="Arial" w:cs="Arial" w:eastAsia="Arial" w:hAnsi="Arial"/>
          <w:sz w:val="20"/>
          <w:szCs w:val="20"/>
          <w:color w:val="auto"/>
        </w:rPr>
        <w:t>” shall mean the date and time that this Agreement is executed and delivered by the parties hereto.</w:t>
      </w:r>
    </w:p>
    <w:p>
      <w:pPr>
        <w:spacing w:after="0" w:line="255" w:lineRule="exact"/>
        <w:rPr>
          <w:sz w:val="20"/>
          <w:szCs w:val="20"/>
          <w:color w:val="auto"/>
        </w:rPr>
      </w:pPr>
    </w:p>
    <w:p>
      <w:pPr>
        <w:ind w:left="13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Issuer Free Writing Prospectus</w:t>
      </w:r>
      <w:r>
        <w:rPr>
          <w:rFonts w:ascii="Arial" w:cs="Arial" w:eastAsia="Arial" w:hAnsi="Arial"/>
          <w:sz w:val="21"/>
          <w:szCs w:val="21"/>
          <w:color w:val="auto"/>
        </w:rPr>
        <w:t>” shall mean an issuer free writing prospectus, as defined in Section 2(a) hereof.</w:t>
      </w:r>
    </w:p>
    <w:p>
      <w:pPr>
        <w:spacing w:after="0" w:line="243"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Operative Agreements</w:t>
      </w:r>
      <w:r>
        <w:rPr>
          <w:rFonts w:ascii="Arial" w:cs="Arial" w:eastAsia="Arial" w:hAnsi="Arial"/>
          <w:sz w:val="23"/>
          <w:szCs w:val="23"/>
          <w:color w:val="auto"/>
        </w:rPr>
        <w:t>” shall mean the agreements listed in Schedule III hereto.</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Prospectus</w:t>
      </w:r>
      <w:r>
        <w:rPr>
          <w:rFonts w:ascii="Arial" w:cs="Arial" w:eastAsia="Arial" w:hAnsi="Arial"/>
          <w:sz w:val="23"/>
          <w:szCs w:val="23"/>
          <w:color w:val="auto"/>
        </w:rPr>
        <w:t>” shall mean the prospectus, as defined in Section 2(a) hereof.</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Prospectus Supplement</w:t>
      </w:r>
      <w:r>
        <w:rPr>
          <w:rFonts w:ascii="Arial" w:cs="Arial" w:eastAsia="Arial" w:hAnsi="Arial"/>
          <w:sz w:val="23"/>
          <w:szCs w:val="23"/>
          <w:color w:val="auto"/>
        </w:rPr>
        <w:t>” shall mean the prospectus supplement, as defined in Section 2(a) hereof.</w:t>
      </w:r>
    </w:p>
    <w:p>
      <w:pPr>
        <w:spacing w:after="0" w:line="220" w:lineRule="exact"/>
        <w:rPr>
          <w:sz w:val="20"/>
          <w:szCs w:val="20"/>
          <w:color w:val="auto"/>
        </w:rPr>
      </w:pPr>
    </w:p>
    <w:p>
      <w:pPr>
        <w:jc w:val="both"/>
        <w:ind w:firstLine="1369"/>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shall mean the registration statement referred to in Section 2(a) above,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68" w:lineRule="exact"/>
        <w:rPr>
          <w:sz w:val="20"/>
          <w:szCs w:val="20"/>
          <w:color w:val="auto"/>
        </w:rPr>
      </w:pPr>
    </w:p>
    <w:p>
      <w:pPr>
        <w:jc w:val="both"/>
        <w:ind w:firstLine="1369"/>
        <w:spacing w:after="0" w:line="257"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Rule 158</w:t>
      </w:r>
      <w:r>
        <w:rPr>
          <w:rFonts w:ascii="Arial" w:cs="Arial" w:eastAsia="Arial" w:hAnsi="Arial"/>
          <w:sz w:val="23"/>
          <w:szCs w:val="23"/>
          <w:color w:val="auto"/>
        </w:rPr>
        <w:t>”, “</w:t>
      </w:r>
      <w:r>
        <w:rPr>
          <w:rFonts w:ascii="Arial" w:cs="Arial" w:eastAsia="Arial" w:hAnsi="Arial"/>
          <w:sz w:val="23"/>
          <w:szCs w:val="23"/>
          <w:u w:val="single" w:color="auto"/>
          <w:color w:val="auto"/>
        </w:rPr>
        <w:t>Rule 172</w:t>
      </w:r>
      <w:r>
        <w:rPr>
          <w:rFonts w:ascii="Arial" w:cs="Arial" w:eastAsia="Arial" w:hAnsi="Arial"/>
          <w:sz w:val="23"/>
          <w:szCs w:val="23"/>
          <w:color w:val="auto"/>
        </w:rPr>
        <w:t>”, “</w:t>
      </w:r>
      <w:r>
        <w:rPr>
          <w:rFonts w:ascii="Arial" w:cs="Arial" w:eastAsia="Arial" w:hAnsi="Arial"/>
          <w:sz w:val="23"/>
          <w:szCs w:val="23"/>
          <w:u w:val="single" w:color="auto"/>
          <w:color w:val="auto"/>
        </w:rPr>
        <w:t>Rule 405</w:t>
      </w:r>
      <w:r>
        <w:rPr>
          <w:rFonts w:ascii="Arial" w:cs="Arial" w:eastAsia="Arial" w:hAnsi="Arial"/>
          <w:sz w:val="23"/>
          <w:szCs w:val="23"/>
          <w:color w:val="auto"/>
        </w:rPr>
        <w:t>”, “</w:t>
      </w:r>
      <w:r>
        <w:rPr>
          <w:rFonts w:ascii="Arial" w:cs="Arial" w:eastAsia="Arial" w:hAnsi="Arial"/>
          <w:sz w:val="23"/>
          <w:szCs w:val="23"/>
          <w:u w:val="single" w:color="auto"/>
          <w:color w:val="auto"/>
        </w:rPr>
        <w:t>Rule 424</w:t>
      </w:r>
      <w:r>
        <w:rPr>
          <w:rFonts w:ascii="Arial" w:cs="Arial" w:eastAsia="Arial" w:hAnsi="Arial"/>
          <w:sz w:val="23"/>
          <w:szCs w:val="23"/>
          <w:color w:val="auto"/>
        </w:rPr>
        <w:t>”, “</w:t>
      </w:r>
      <w:r>
        <w:rPr>
          <w:rFonts w:ascii="Arial" w:cs="Arial" w:eastAsia="Arial" w:hAnsi="Arial"/>
          <w:sz w:val="23"/>
          <w:szCs w:val="23"/>
          <w:u w:val="single" w:color="auto"/>
          <w:color w:val="auto"/>
        </w:rPr>
        <w:t>Rule 430B</w:t>
      </w:r>
      <w:r>
        <w:rPr>
          <w:rFonts w:ascii="Arial" w:cs="Arial" w:eastAsia="Arial" w:hAnsi="Arial"/>
          <w:sz w:val="23"/>
          <w:szCs w:val="23"/>
          <w:color w:val="auto"/>
        </w:rPr>
        <w:t>”, “</w:t>
      </w:r>
      <w:r>
        <w:rPr>
          <w:rFonts w:ascii="Arial" w:cs="Arial" w:eastAsia="Arial" w:hAnsi="Arial"/>
          <w:sz w:val="23"/>
          <w:szCs w:val="23"/>
          <w:u w:val="single" w:color="auto"/>
          <w:color w:val="auto"/>
        </w:rPr>
        <w:t>Rule 433</w:t>
      </w:r>
      <w:r>
        <w:rPr>
          <w:rFonts w:ascii="Arial" w:cs="Arial" w:eastAsia="Arial" w:hAnsi="Arial"/>
          <w:sz w:val="23"/>
          <w:szCs w:val="23"/>
          <w:color w:val="auto"/>
        </w:rPr>
        <w:t>” and “</w:t>
      </w:r>
      <w:r>
        <w:rPr>
          <w:rFonts w:ascii="Arial" w:cs="Arial" w:eastAsia="Arial" w:hAnsi="Arial"/>
          <w:sz w:val="23"/>
          <w:szCs w:val="23"/>
          <w:u w:val="single" w:color="auto"/>
          <w:color w:val="auto"/>
        </w:rPr>
        <w:t>Rule 462</w:t>
      </w:r>
      <w:r>
        <w:rPr>
          <w:rFonts w:ascii="Arial" w:cs="Arial" w:eastAsia="Arial" w:hAnsi="Arial"/>
          <w:sz w:val="23"/>
          <w:szCs w:val="23"/>
          <w:color w:val="auto"/>
        </w:rPr>
        <w:t>” refer to such rules under the Act.</w:t>
      </w:r>
    </w:p>
    <w:p>
      <w:pPr>
        <w:spacing w:after="0" w:line="175" w:lineRule="exact"/>
        <w:rPr>
          <w:sz w:val="20"/>
          <w:szCs w:val="20"/>
          <w:color w:val="auto"/>
        </w:rPr>
      </w:pPr>
    </w:p>
    <w:p>
      <w:pPr>
        <w:jc w:val="both"/>
        <w:ind w:firstLine="1369"/>
        <w:spacing w:after="0" w:line="27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462(b) Registration Statement</w:t>
      </w:r>
      <w:r>
        <w:rPr>
          <w:rFonts w:ascii="Arial" w:cs="Arial" w:eastAsia="Arial" w:hAnsi="Arial"/>
          <w:sz w:val="22"/>
          <w:szCs w:val="22"/>
          <w:color w:val="auto"/>
        </w:rPr>
        <w:t>” shall mean a registration statement and any amendments thereto filed pursuant to Rule 462(b) relating to the offering covered by the registration statement referred to in Section 2(a) hereof.</w:t>
      </w:r>
    </w:p>
    <w:p>
      <w:pPr>
        <w:spacing w:after="0" w:line="153" w:lineRule="exact"/>
        <w:rPr>
          <w:sz w:val="20"/>
          <w:szCs w:val="20"/>
          <w:color w:val="auto"/>
        </w:rPr>
      </w:pPr>
    </w:p>
    <w:p>
      <w:pPr>
        <w:jc w:val="both"/>
        <w:ind w:firstLine="1369"/>
        <w:spacing w:after="0" w:line="245"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U.S. Special Resolution Regime</w:t>
      </w:r>
      <w:r>
        <w:rPr>
          <w:rFonts w:ascii="Arial" w:cs="Arial" w:eastAsia="Arial" w:hAnsi="Arial"/>
          <w:sz w:val="23"/>
          <w:szCs w:val="23"/>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8" w:lineRule="exact"/>
        <w:rPr>
          <w:sz w:val="20"/>
          <w:szCs w:val="20"/>
          <w:color w:val="auto"/>
        </w:rPr>
      </w:pPr>
    </w:p>
    <w:p>
      <w:pPr>
        <w:jc w:val="both"/>
        <w:ind w:firstLine="679"/>
        <w:spacing w:after="0" w:line="277" w:lineRule="auto"/>
        <w:tabs>
          <w:tab w:leader="none" w:pos="1555"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Partnership has appointed Puglisi &amp; Associates as its authorized agent (the “</w:t>
      </w:r>
      <w:r>
        <w:rPr>
          <w:rFonts w:ascii="Arial" w:cs="Arial" w:eastAsia="Arial" w:hAnsi="Arial"/>
          <w:sz w:val="20"/>
          <w:szCs w:val="20"/>
          <w:u w:val="single" w:color="auto"/>
          <w:color w:val="auto"/>
        </w:rPr>
        <w:t>Authorized Agent</w:t>
      </w:r>
      <w:r>
        <w:rPr>
          <w:rFonts w:ascii="Arial" w:cs="Arial" w:eastAsia="Arial" w:hAnsi="Arial"/>
          <w:sz w:val="20"/>
          <w:szCs w:val="20"/>
          <w:color w:val="auto"/>
        </w:rPr>
        <w:t>”) upon whom process may be served in any suit, action or proceeding arising out of or based upon this Agreement or the transactions contemplated herein which may be instituted, by any Manager, the directors, officers, employees and agents of any Manager, or by any person who controls any Manager,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40" w:name="page41"/>
    <w:bookmarkEnd w:id="40"/>
    <w:p>
      <w:pPr>
        <w:jc w:val="center"/>
        <w:spacing w:after="0"/>
        <w:rPr>
          <w:sz w:val="20"/>
          <w:szCs w:val="20"/>
          <w:color w:val="auto"/>
        </w:rPr>
      </w:pPr>
      <w:r>
        <w:rPr>
          <w:rFonts w:ascii="Arial" w:cs="Arial" w:eastAsia="Arial" w:hAnsi="Arial"/>
          <w:sz w:val="21"/>
          <w:szCs w:val="21"/>
          <w:i w:val="1"/>
          <w:iCs w:val="1"/>
          <w:color w:val="auto"/>
        </w:rPr>
        <w:t>[Signature Page Follows]</w:t>
      </w:r>
    </w:p>
    <w:p>
      <w:pPr>
        <w:sectPr>
          <w:pgSz w:w="12240" w:h="15840" w:orient="portrait"/>
          <w:cols w:equalWidth="0" w:num="1">
            <w:col w:w="9360"/>
          </w:cols>
          <w:pgMar w:left="1440" w:top="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95250</wp:posOffset>
            </wp:positionV>
            <wp:extent cx="7646670" cy="31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9360"/>
          </w:cols>
          <w:pgMar w:left="1440" w:top="204" w:right="1440" w:bottom="1440" w:gutter="0" w:footer="0" w:header="0"/>
          <w:type w:val="continuous"/>
        </w:sectPr>
      </w:pPr>
    </w:p>
    <w:bookmarkStart w:id="41" w:name="page42"/>
    <w:bookmarkEnd w:id="41"/>
    <w:p>
      <w:pPr>
        <w:jc w:val="both"/>
        <w:ind w:firstLine="685"/>
        <w:spacing w:after="0" w:line="289" w:lineRule="auto"/>
        <w:rPr>
          <w:sz w:val="20"/>
          <w:szCs w:val="20"/>
          <w:color w:val="auto"/>
        </w:rPr>
      </w:pPr>
      <w:r>
        <w:rPr>
          <w:rFonts w:ascii="Arial" w:cs="Arial" w:eastAsia="Arial" w:hAnsi="Arial"/>
          <w:sz w:val="20"/>
          <w:szCs w:val="20"/>
          <w:color w:val="auto"/>
        </w:rPr>
        <w:t>If the foregoing correctly sets forth the understanding between the Partnership Parties and the Managers, please so indicate in the space provided below for that purpose, whereupon this Agreement and your acceptance shall constitute a binding agreement between the Partnership Parties and the Managers. Alternatively, the execution of this Agreement by the Partnership Parties and its acceptance by or on behalf of the Managers may be evidenced by an exchange of telegraphic or other written communications.</w:t>
      </w:r>
    </w:p>
    <w:p>
      <w:pPr>
        <w:spacing w:after="0" w:line="375"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Very truly yours,</w:t>
      </w:r>
    </w:p>
    <w:p>
      <w:pPr>
        <w:spacing w:after="0" w:line="200" w:lineRule="exact"/>
        <w:rPr>
          <w:sz w:val="20"/>
          <w:szCs w:val="20"/>
          <w:color w:val="auto"/>
        </w:rPr>
      </w:pPr>
    </w:p>
    <w:p>
      <w:pPr>
        <w:spacing w:after="0" w:line="306"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GasLog Partners GP LLC</w:t>
      </w:r>
    </w:p>
    <w:p>
      <w:pPr>
        <w:spacing w:after="0" w:line="249"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23"/>
          <w:szCs w:val="23"/>
          <w:color w:val="auto"/>
        </w:rPr>
        <w:t>By:</w:t>
        <w:tab/>
        <w:t>GasLog Ltd., as sole member</w:t>
      </w:r>
    </w:p>
    <w:p>
      <w:pPr>
        <w:spacing w:after="0" w:line="249"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23"/>
          <w:szCs w:val="23"/>
          <w:color w:val="auto"/>
        </w:rPr>
        <w:t>By:</w:t>
        <w:tab/>
        <w:t>/s/ Paul Wogan</w:t>
      </w:r>
    </w:p>
    <w:p>
      <w:pPr>
        <w:spacing w:after="0" w:line="16" w:lineRule="exact"/>
        <w:rPr>
          <w:sz w:val="20"/>
          <w:szCs w:val="20"/>
          <w:color w:val="auto"/>
        </w:rPr>
      </w:pPr>
    </w:p>
    <w:tbl>
      <w:tblPr>
        <w:tblLayout w:type="fixed"/>
        <w:tblInd w:w="6620" w:type="dxa"/>
        <w:tblCellMar>
          <w:top w:w="0" w:type="dxa"/>
          <w:left w:w="0" w:type="dxa"/>
          <w:bottom w:w="0" w:type="dxa"/>
          <w:right w:w="0" w:type="dxa"/>
        </w:tblCellMar>
      </w:tblPr>
      <w:tr>
        <w:trPr>
          <w:trHeight w:val="227"/>
        </w:trPr>
        <w:tc>
          <w:tcPr>
            <w:tcW w:w="740" w:type="dxa"/>
            <w:vAlign w:val="bottom"/>
            <w:tcBorders>
              <w:top w:val="single" w:sz="8" w:color="auto"/>
            </w:tcBorders>
          </w:tcPr>
          <w:p>
            <w:pPr>
              <w:spacing w:after="0" w:line="228" w:lineRule="exact"/>
              <w:rPr>
                <w:sz w:val="20"/>
                <w:szCs w:val="20"/>
                <w:color w:val="auto"/>
              </w:rPr>
            </w:pPr>
            <w:r>
              <w:rPr>
                <w:rFonts w:ascii="Arial" w:cs="Arial" w:eastAsia="Arial" w:hAnsi="Arial"/>
                <w:sz w:val="23"/>
                <w:szCs w:val="23"/>
                <w:color w:val="auto"/>
              </w:rPr>
              <w:t>Name:</w:t>
            </w:r>
          </w:p>
        </w:tc>
        <w:tc>
          <w:tcPr>
            <w:tcW w:w="4640" w:type="dxa"/>
            <w:vAlign w:val="bottom"/>
            <w:tcBorders>
              <w:top w:val="single" w:sz="8" w:color="auto"/>
            </w:tcBorders>
          </w:tcPr>
          <w:p>
            <w:pPr>
              <w:ind w:left="140"/>
              <w:spacing w:after="0" w:line="228" w:lineRule="exact"/>
              <w:rPr>
                <w:sz w:val="20"/>
                <w:szCs w:val="20"/>
                <w:color w:val="auto"/>
              </w:rPr>
            </w:pPr>
            <w:r>
              <w:rPr>
                <w:rFonts w:ascii="Arial" w:cs="Arial" w:eastAsia="Arial" w:hAnsi="Arial"/>
                <w:sz w:val="23"/>
                <w:szCs w:val="23"/>
                <w:color w:val="auto"/>
              </w:rPr>
              <w:t>Paul Wogan</w:t>
            </w:r>
          </w:p>
        </w:tc>
      </w:tr>
      <w:tr>
        <w:trPr>
          <w:trHeight w:val="291"/>
        </w:trPr>
        <w:tc>
          <w:tcPr>
            <w:tcW w:w="740" w:type="dxa"/>
            <w:vAlign w:val="bottom"/>
          </w:tcPr>
          <w:p>
            <w:pPr>
              <w:spacing w:after="0"/>
              <w:rPr>
                <w:sz w:val="20"/>
                <w:szCs w:val="20"/>
                <w:color w:val="auto"/>
              </w:rPr>
            </w:pPr>
            <w:r>
              <w:rPr>
                <w:rFonts w:ascii="Arial" w:cs="Arial" w:eastAsia="Arial" w:hAnsi="Arial"/>
                <w:sz w:val="23"/>
                <w:szCs w:val="23"/>
                <w:color w:val="auto"/>
              </w:rPr>
              <w:t>Title:</w:t>
            </w:r>
          </w:p>
        </w:tc>
        <w:tc>
          <w:tcPr>
            <w:tcW w:w="4640" w:type="dxa"/>
            <w:vAlign w:val="bottom"/>
          </w:tcPr>
          <w:p>
            <w:pPr>
              <w:ind w:left="140"/>
              <w:spacing w:after="0"/>
              <w:rPr>
                <w:sz w:val="20"/>
                <w:szCs w:val="20"/>
                <w:color w:val="auto"/>
              </w:rPr>
            </w:pPr>
            <w:r>
              <w:rPr>
                <w:rFonts w:ascii="Arial" w:cs="Arial" w:eastAsia="Arial" w:hAnsi="Arial"/>
                <w:sz w:val="23"/>
                <w:szCs w:val="23"/>
                <w:color w:val="auto"/>
              </w:rPr>
              <w:t>Chief Executive Officer</w:t>
            </w:r>
          </w:p>
        </w:tc>
      </w:tr>
    </w:tbl>
    <w:p>
      <w:pPr>
        <w:spacing w:after="0" w:line="200" w:lineRule="exact"/>
        <w:rPr>
          <w:sz w:val="20"/>
          <w:szCs w:val="20"/>
          <w:color w:val="auto"/>
        </w:rPr>
      </w:pPr>
    </w:p>
    <w:p>
      <w:pPr>
        <w:spacing w:after="0" w:line="279"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GasLog Partners LP</w:t>
      </w:r>
    </w:p>
    <w:p>
      <w:pPr>
        <w:spacing w:after="0" w:line="249"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23"/>
          <w:szCs w:val="23"/>
          <w:color w:val="auto"/>
        </w:rPr>
        <w:t>By:</w:t>
        <w:tab/>
        <w:t>/s/ Andrew J. Orekar</w:t>
      </w:r>
    </w:p>
    <w:p>
      <w:pPr>
        <w:spacing w:after="0" w:line="16" w:lineRule="exact"/>
        <w:rPr>
          <w:sz w:val="20"/>
          <w:szCs w:val="20"/>
          <w:color w:val="auto"/>
        </w:rPr>
      </w:pPr>
    </w:p>
    <w:tbl>
      <w:tblPr>
        <w:tblLayout w:type="fixed"/>
        <w:tblInd w:w="6620" w:type="dxa"/>
        <w:tblCellMar>
          <w:top w:w="0" w:type="dxa"/>
          <w:left w:w="0" w:type="dxa"/>
          <w:bottom w:w="0" w:type="dxa"/>
          <w:right w:w="0" w:type="dxa"/>
        </w:tblCellMar>
      </w:tblPr>
      <w:tr>
        <w:trPr>
          <w:trHeight w:val="227"/>
        </w:trPr>
        <w:tc>
          <w:tcPr>
            <w:tcW w:w="740" w:type="dxa"/>
            <w:vAlign w:val="bottom"/>
            <w:tcBorders>
              <w:top w:val="single" w:sz="8" w:color="auto"/>
            </w:tcBorders>
          </w:tcPr>
          <w:p>
            <w:pPr>
              <w:spacing w:after="0" w:line="228" w:lineRule="exact"/>
              <w:rPr>
                <w:sz w:val="20"/>
                <w:szCs w:val="20"/>
                <w:color w:val="auto"/>
              </w:rPr>
            </w:pPr>
            <w:r>
              <w:rPr>
                <w:rFonts w:ascii="Arial" w:cs="Arial" w:eastAsia="Arial" w:hAnsi="Arial"/>
                <w:sz w:val="23"/>
                <w:szCs w:val="23"/>
                <w:color w:val="auto"/>
              </w:rPr>
              <w:t>Name:</w:t>
            </w:r>
          </w:p>
        </w:tc>
        <w:tc>
          <w:tcPr>
            <w:tcW w:w="4640" w:type="dxa"/>
            <w:vAlign w:val="bottom"/>
            <w:tcBorders>
              <w:top w:val="single" w:sz="8" w:color="auto"/>
            </w:tcBorders>
          </w:tcPr>
          <w:p>
            <w:pPr>
              <w:ind w:left="140"/>
              <w:spacing w:after="0" w:line="228" w:lineRule="exact"/>
              <w:rPr>
                <w:sz w:val="20"/>
                <w:szCs w:val="20"/>
                <w:color w:val="auto"/>
              </w:rPr>
            </w:pPr>
            <w:r>
              <w:rPr>
                <w:rFonts w:ascii="Arial" w:cs="Arial" w:eastAsia="Arial" w:hAnsi="Arial"/>
                <w:sz w:val="23"/>
                <w:szCs w:val="23"/>
                <w:color w:val="auto"/>
              </w:rPr>
              <w:t>Andrew J. Orekar</w:t>
            </w:r>
          </w:p>
        </w:tc>
      </w:tr>
      <w:tr>
        <w:trPr>
          <w:trHeight w:val="291"/>
        </w:trPr>
        <w:tc>
          <w:tcPr>
            <w:tcW w:w="740" w:type="dxa"/>
            <w:vAlign w:val="bottom"/>
          </w:tcPr>
          <w:p>
            <w:pPr>
              <w:spacing w:after="0"/>
              <w:rPr>
                <w:sz w:val="20"/>
                <w:szCs w:val="20"/>
                <w:color w:val="auto"/>
              </w:rPr>
            </w:pPr>
            <w:r>
              <w:rPr>
                <w:rFonts w:ascii="Arial" w:cs="Arial" w:eastAsia="Arial" w:hAnsi="Arial"/>
                <w:sz w:val="23"/>
                <w:szCs w:val="23"/>
                <w:color w:val="auto"/>
              </w:rPr>
              <w:t>Title:</w:t>
            </w:r>
          </w:p>
        </w:tc>
        <w:tc>
          <w:tcPr>
            <w:tcW w:w="4640" w:type="dxa"/>
            <w:vAlign w:val="bottom"/>
          </w:tcPr>
          <w:p>
            <w:pPr>
              <w:ind w:left="140"/>
              <w:spacing w:after="0"/>
              <w:rPr>
                <w:sz w:val="20"/>
                <w:szCs w:val="20"/>
                <w:color w:val="auto"/>
              </w:rPr>
            </w:pPr>
            <w:r>
              <w:rPr>
                <w:rFonts w:ascii="Arial" w:cs="Arial" w:eastAsia="Arial" w:hAnsi="Arial"/>
                <w:sz w:val="23"/>
                <w:szCs w:val="23"/>
                <w:color w:val="auto"/>
              </w:rPr>
              <w:t>Chief Executive Officer</w:t>
            </w:r>
          </w:p>
        </w:tc>
      </w:tr>
    </w:tbl>
    <w:p>
      <w:pPr>
        <w:spacing w:after="0" w:line="222"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GasLog Partners Holdings LLC</w:t>
      </w:r>
    </w:p>
    <w:p>
      <w:pPr>
        <w:spacing w:after="0" w:line="249"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23"/>
          <w:szCs w:val="23"/>
          <w:color w:val="auto"/>
        </w:rPr>
        <w:t>By:</w:t>
        <w:tab/>
        <w:t>GasLog Partners LP, as sole member</w:t>
      </w:r>
    </w:p>
    <w:p>
      <w:pPr>
        <w:spacing w:after="0" w:line="200" w:lineRule="exact"/>
        <w:rPr>
          <w:sz w:val="20"/>
          <w:szCs w:val="20"/>
          <w:color w:val="auto"/>
        </w:rPr>
      </w:pPr>
    </w:p>
    <w:p>
      <w:pPr>
        <w:spacing w:after="0" w:line="306"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23"/>
          <w:szCs w:val="23"/>
          <w:color w:val="auto"/>
        </w:rPr>
        <w:t>By:</w:t>
        <w:tab/>
        <w:t>/s/ Andrew J. Orekar</w:t>
      </w:r>
    </w:p>
    <w:p>
      <w:pPr>
        <w:spacing w:after="0" w:line="16" w:lineRule="exact"/>
        <w:rPr>
          <w:sz w:val="20"/>
          <w:szCs w:val="20"/>
          <w:color w:val="auto"/>
        </w:rPr>
      </w:pPr>
    </w:p>
    <w:tbl>
      <w:tblPr>
        <w:tblLayout w:type="fixed"/>
        <w:tblInd w:w="6620" w:type="dxa"/>
        <w:tblCellMar>
          <w:top w:w="0" w:type="dxa"/>
          <w:left w:w="0" w:type="dxa"/>
          <w:bottom w:w="0" w:type="dxa"/>
          <w:right w:w="0" w:type="dxa"/>
        </w:tblCellMar>
      </w:tblPr>
      <w:tr>
        <w:trPr>
          <w:trHeight w:val="227"/>
        </w:trPr>
        <w:tc>
          <w:tcPr>
            <w:tcW w:w="740" w:type="dxa"/>
            <w:vAlign w:val="bottom"/>
            <w:tcBorders>
              <w:top w:val="single" w:sz="8" w:color="auto"/>
            </w:tcBorders>
          </w:tcPr>
          <w:p>
            <w:pPr>
              <w:spacing w:after="0" w:line="228" w:lineRule="exact"/>
              <w:rPr>
                <w:sz w:val="20"/>
                <w:szCs w:val="20"/>
                <w:color w:val="auto"/>
              </w:rPr>
            </w:pPr>
            <w:r>
              <w:rPr>
                <w:rFonts w:ascii="Arial" w:cs="Arial" w:eastAsia="Arial" w:hAnsi="Arial"/>
                <w:sz w:val="23"/>
                <w:szCs w:val="23"/>
                <w:color w:val="auto"/>
              </w:rPr>
              <w:t>Name:</w:t>
            </w:r>
          </w:p>
        </w:tc>
        <w:tc>
          <w:tcPr>
            <w:tcW w:w="4640" w:type="dxa"/>
            <w:vAlign w:val="bottom"/>
            <w:tcBorders>
              <w:top w:val="single" w:sz="8" w:color="auto"/>
            </w:tcBorders>
          </w:tcPr>
          <w:p>
            <w:pPr>
              <w:ind w:left="140"/>
              <w:spacing w:after="0" w:line="228" w:lineRule="exact"/>
              <w:rPr>
                <w:sz w:val="20"/>
                <w:szCs w:val="20"/>
                <w:color w:val="auto"/>
              </w:rPr>
            </w:pPr>
            <w:r>
              <w:rPr>
                <w:rFonts w:ascii="Arial" w:cs="Arial" w:eastAsia="Arial" w:hAnsi="Arial"/>
                <w:sz w:val="23"/>
                <w:szCs w:val="23"/>
                <w:color w:val="auto"/>
              </w:rPr>
              <w:t>Andrew J. Orekar</w:t>
            </w:r>
          </w:p>
        </w:tc>
      </w:tr>
      <w:tr>
        <w:trPr>
          <w:trHeight w:val="291"/>
        </w:trPr>
        <w:tc>
          <w:tcPr>
            <w:tcW w:w="740" w:type="dxa"/>
            <w:vAlign w:val="bottom"/>
          </w:tcPr>
          <w:p>
            <w:pPr>
              <w:spacing w:after="0"/>
              <w:rPr>
                <w:sz w:val="20"/>
                <w:szCs w:val="20"/>
                <w:color w:val="auto"/>
              </w:rPr>
            </w:pPr>
            <w:r>
              <w:rPr>
                <w:rFonts w:ascii="Arial" w:cs="Arial" w:eastAsia="Arial" w:hAnsi="Arial"/>
                <w:sz w:val="23"/>
                <w:szCs w:val="23"/>
                <w:color w:val="auto"/>
              </w:rPr>
              <w:t>Title:</w:t>
            </w:r>
          </w:p>
        </w:tc>
        <w:tc>
          <w:tcPr>
            <w:tcW w:w="4640" w:type="dxa"/>
            <w:vAlign w:val="bottom"/>
          </w:tcPr>
          <w:p>
            <w:pPr>
              <w:ind w:left="140"/>
              <w:spacing w:after="0"/>
              <w:rPr>
                <w:sz w:val="20"/>
                <w:szCs w:val="20"/>
                <w:color w:val="auto"/>
              </w:rPr>
            </w:pPr>
            <w:r>
              <w:rPr>
                <w:rFonts w:ascii="Arial" w:cs="Arial" w:eastAsia="Arial" w:hAnsi="Arial"/>
                <w:sz w:val="23"/>
                <w:szCs w:val="23"/>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Third Amended and Restated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42" w:name="page43"/>
    <w:bookmarkEnd w:id="42"/>
    <w:p>
      <w:pPr>
        <w:spacing w:after="0"/>
        <w:rPr>
          <w:sz w:val="20"/>
          <w:szCs w:val="20"/>
          <w:color w:val="auto"/>
        </w:rPr>
      </w:pPr>
      <w:r>
        <w:rPr>
          <w:rFonts w:ascii="Arial" w:cs="Arial" w:eastAsia="Arial" w:hAnsi="Arial"/>
          <w:sz w:val="23"/>
          <w:szCs w:val="23"/>
          <w:color w:val="auto"/>
        </w:rPr>
        <w:t>The foregoing Agreement is hereby</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confirmed and accepted as of the</w:t>
      </w:r>
    </w:p>
    <w:p>
      <w:pPr>
        <w:spacing w:after="0"/>
        <w:rPr>
          <w:sz w:val="20"/>
          <w:szCs w:val="20"/>
          <w:color w:val="auto"/>
        </w:rPr>
      </w:pPr>
      <w:r>
        <w:rPr>
          <w:rFonts w:ascii="Arial" w:cs="Arial" w:eastAsia="Arial" w:hAnsi="Arial"/>
          <w:sz w:val="23"/>
          <w:szCs w:val="23"/>
          <w:color w:val="auto"/>
        </w:rPr>
        <w:t>date first written above.</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CITIGROUP GLOBAL MARKETS INC.</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/s/ Christa T. Volpicelli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10160</wp:posOffset>
            </wp:positionV>
            <wp:extent cx="29521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52115" cy="8890"/>
                    </a:xfrm>
                    <a:prstGeom prst="rect">
                      <a:avLst/>
                    </a:prstGeom>
                    <a:noFill/>
                  </pic:spPr>
                </pic:pic>
              </a:graphicData>
            </a:graphic>
          </wp:anchor>
        </w:drawing>
      </w:r>
    </w:p>
    <w:p>
      <w:pPr>
        <w:ind w:left="600"/>
        <w:spacing w:after="0"/>
        <w:tabs>
          <w:tab w:leader="none" w:pos="1460" w:val="left"/>
        </w:tabs>
        <w:rPr>
          <w:sz w:val="20"/>
          <w:szCs w:val="20"/>
          <w:color w:val="auto"/>
        </w:rPr>
      </w:pPr>
      <w:r>
        <w:rPr>
          <w:rFonts w:ascii="Arial" w:cs="Arial" w:eastAsia="Arial" w:hAnsi="Arial"/>
          <w:sz w:val="23"/>
          <w:szCs w:val="23"/>
          <w:color w:val="auto"/>
        </w:rPr>
        <w:t>Name:</w:t>
        <w:tab/>
        <w:t>Christa T. Volpicelli</w:t>
      </w:r>
    </w:p>
    <w:p>
      <w:pPr>
        <w:ind w:left="600"/>
        <w:spacing w:after="0"/>
        <w:tabs>
          <w:tab w:leader="none" w:pos="14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3"/>
          <w:szCs w:val="23"/>
          <w:color w:val="auto"/>
        </w:rPr>
        <w:t>Managing Director</w:t>
      </w:r>
    </w:p>
    <w:p>
      <w:pPr>
        <w:spacing w:after="0" w:line="200" w:lineRule="exact"/>
        <w:rPr>
          <w:sz w:val="20"/>
          <w:szCs w:val="20"/>
          <w:color w:val="auto"/>
        </w:rPr>
      </w:pPr>
    </w:p>
    <w:p>
      <w:pPr>
        <w:spacing w:after="0" w:line="286"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CREDIT SUISSE SECURITIES (USA) LLC</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/s/ Rebecca Kotkin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10160</wp:posOffset>
            </wp:positionV>
            <wp:extent cx="2952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52115" cy="8890"/>
                    </a:xfrm>
                    <a:prstGeom prst="rect">
                      <a:avLst/>
                    </a:prstGeom>
                    <a:noFill/>
                  </pic:spPr>
                </pic:pic>
              </a:graphicData>
            </a:graphic>
          </wp:anchor>
        </w:drawing>
      </w:r>
    </w:p>
    <w:p>
      <w:pPr>
        <w:ind w:left="600"/>
        <w:spacing w:after="0"/>
        <w:tabs>
          <w:tab w:leader="none" w:pos="1460" w:val="left"/>
        </w:tabs>
        <w:rPr>
          <w:sz w:val="20"/>
          <w:szCs w:val="20"/>
          <w:color w:val="auto"/>
        </w:rPr>
      </w:pPr>
      <w:r>
        <w:rPr>
          <w:rFonts w:ascii="Arial" w:cs="Arial" w:eastAsia="Arial" w:hAnsi="Arial"/>
          <w:sz w:val="23"/>
          <w:szCs w:val="23"/>
          <w:color w:val="auto"/>
        </w:rPr>
        <w:t>Name:</w:t>
        <w:tab/>
        <w:t>Rebecca Kotkin</w:t>
      </w:r>
    </w:p>
    <w:p>
      <w:pPr>
        <w:ind w:left="600"/>
        <w:spacing w:after="0"/>
        <w:tabs>
          <w:tab w:leader="none" w:pos="14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3"/>
          <w:szCs w:val="23"/>
          <w:color w:val="auto"/>
        </w:rPr>
        <w:t>Director</w:t>
      </w:r>
    </w:p>
    <w:p>
      <w:pPr>
        <w:spacing w:after="0" w:line="200" w:lineRule="exact"/>
        <w:rPr>
          <w:sz w:val="20"/>
          <w:szCs w:val="20"/>
          <w:color w:val="auto"/>
        </w:rPr>
      </w:pPr>
    </w:p>
    <w:p>
      <w:pPr>
        <w:spacing w:after="0" w:line="286"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MERRILL LYNCH, PIERCE, FENNER &amp; SMITH</w:t>
      </w:r>
    </w:p>
    <w:p>
      <w:pPr>
        <w:spacing w:after="0" w:line="12" w:lineRule="exact"/>
        <w:rPr>
          <w:sz w:val="20"/>
          <w:szCs w:val="20"/>
          <w:color w:val="auto"/>
        </w:rPr>
      </w:pPr>
    </w:p>
    <w:p>
      <w:pPr>
        <w:ind w:left="2340"/>
        <w:spacing w:after="0"/>
        <w:rPr>
          <w:sz w:val="20"/>
          <w:szCs w:val="20"/>
          <w:color w:val="auto"/>
        </w:rPr>
      </w:pPr>
      <w:r>
        <w:rPr>
          <w:rFonts w:ascii="Arial" w:cs="Arial" w:eastAsia="Arial" w:hAnsi="Arial"/>
          <w:sz w:val="23"/>
          <w:szCs w:val="23"/>
          <w:color w:val="auto"/>
        </w:rPr>
        <w:t>INCORPORATED</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/s/ Sam Kazdal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10160</wp:posOffset>
            </wp:positionV>
            <wp:extent cx="2952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52115" cy="8890"/>
                    </a:xfrm>
                    <a:prstGeom prst="rect">
                      <a:avLst/>
                    </a:prstGeom>
                    <a:noFill/>
                  </pic:spPr>
                </pic:pic>
              </a:graphicData>
            </a:graphic>
          </wp:anchor>
        </w:drawing>
      </w:r>
    </w:p>
    <w:p>
      <w:pPr>
        <w:ind w:left="600"/>
        <w:spacing w:after="0"/>
        <w:tabs>
          <w:tab w:leader="none" w:pos="1460" w:val="left"/>
        </w:tabs>
        <w:rPr>
          <w:sz w:val="20"/>
          <w:szCs w:val="20"/>
          <w:color w:val="auto"/>
        </w:rPr>
      </w:pPr>
      <w:r>
        <w:rPr>
          <w:rFonts w:ascii="Arial" w:cs="Arial" w:eastAsia="Arial" w:hAnsi="Arial"/>
          <w:sz w:val="23"/>
          <w:szCs w:val="23"/>
          <w:color w:val="auto"/>
        </w:rPr>
        <w:t>Name:</w:t>
        <w:tab/>
        <w:t>Sam Kazdal</w:t>
      </w:r>
    </w:p>
    <w:p>
      <w:pPr>
        <w:ind w:left="600"/>
        <w:spacing w:after="0"/>
        <w:tabs>
          <w:tab w:leader="none" w:pos="14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3"/>
          <w:szCs w:val="23"/>
          <w:color w:val="auto"/>
        </w:rPr>
        <w:t>Managing Director</w:t>
      </w:r>
    </w:p>
    <w:p>
      <w:pPr>
        <w:spacing w:after="0" w:line="200" w:lineRule="exact"/>
        <w:rPr>
          <w:sz w:val="20"/>
          <w:szCs w:val="20"/>
          <w:color w:val="auto"/>
        </w:rPr>
      </w:pPr>
    </w:p>
    <w:p>
      <w:pPr>
        <w:spacing w:after="0" w:line="286"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MORGAN STANLEY &amp; CO. LLC</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/s/ Neil Guha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10160</wp:posOffset>
            </wp:positionV>
            <wp:extent cx="29521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52115" cy="8890"/>
                    </a:xfrm>
                    <a:prstGeom prst="rect">
                      <a:avLst/>
                    </a:prstGeom>
                    <a:noFill/>
                  </pic:spPr>
                </pic:pic>
              </a:graphicData>
            </a:graphic>
          </wp:anchor>
        </w:drawing>
      </w:r>
    </w:p>
    <w:p>
      <w:pPr>
        <w:ind w:left="600"/>
        <w:spacing w:after="0"/>
        <w:tabs>
          <w:tab w:leader="none" w:pos="1460" w:val="left"/>
        </w:tabs>
        <w:rPr>
          <w:sz w:val="20"/>
          <w:szCs w:val="20"/>
          <w:color w:val="auto"/>
        </w:rPr>
      </w:pPr>
      <w:r>
        <w:rPr>
          <w:rFonts w:ascii="Arial" w:cs="Arial" w:eastAsia="Arial" w:hAnsi="Arial"/>
          <w:sz w:val="23"/>
          <w:szCs w:val="23"/>
          <w:color w:val="auto"/>
        </w:rPr>
        <w:t>Name:</w:t>
        <w:tab/>
        <w:t>Neil Guha</w:t>
      </w:r>
    </w:p>
    <w:p>
      <w:pPr>
        <w:ind w:left="600"/>
        <w:spacing w:after="0"/>
        <w:tabs>
          <w:tab w:leader="none" w:pos="14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3"/>
          <w:szCs w:val="23"/>
          <w:color w:val="auto"/>
        </w:rPr>
        <w:t>Vice President</w:t>
      </w:r>
    </w:p>
    <w:p>
      <w:pPr>
        <w:spacing w:after="0" w:line="200" w:lineRule="exact"/>
        <w:rPr>
          <w:sz w:val="20"/>
          <w:szCs w:val="20"/>
          <w:color w:val="auto"/>
        </w:rPr>
      </w:pPr>
    </w:p>
    <w:p>
      <w:pPr>
        <w:spacing w:after="0" w:line="286"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UBS SECURITIES LLC</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/s/ Evan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10160</wp:posOffset>
            </wp:positionV>
            <wp:extent cx="2952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52115" cy="8890"/>
                    </a:xfrm>
                    <a:prstGeom prst="rect">
                      <a:avLst/>
                    </a:prstGeom>
                    <a:noFill/>
                  </pic:spPr>
                </pic:pic>
              </a:graphicData>
            </a:graphic>
          </wp:anchor>
        </w:drawing>
      </w:r>
    </w:p>
    <w:p>
      <w:pPr>
        <w:ind w:left="600"/>
        <w:spacing w:after="0"/>
        <w:tabs>
          <w:tab w:leader="none" w:pos="1460" w:val="left"/>
        </w:tabs>
        <w:rPr>
          <w:sz w:val="20"/>
          <w:szCs w:val="20"/>
          <w:color w:val="auto"/>
        </w:rPr>
      </w:pPr>
      <w:r>
        <w:rPr>
          <w:rFonts w:ascii="Arial" w:cs="Arial" w:eastAsia="Arial" w:hAnsi="Arial"/>
          <w:sz w:val="23"/>
          <w:szCs w:val="23"/>
          <w:color w:val="auto"/>
        </w:rPr>
        <w:t>Name:</w:t>
        <w:tab/>
        <w:t>Evan Riley</w:t>
      </w:r>
    </w:p>
    <w:p>
      <w:pPr>
        <w:ind w:left="600"/>
        <w:spacing w:after="0"/>
        <w:tabs>
          <w:tab w:leader="none" w:pos="14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3"/>
          <w:szCs w:val="23"/>
          <w:color w:val="auto"/>
        </w:rPr>
        <w:t>Managing Director</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3"/>
          <w:szCs w:val="23"/>
          <w:color w:val="auto"/>
        </w:rPr>
        <w:t>By:</w:t>
        <w:tab/>
        <w:t>/s/ Michael Zahka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10160</wp:posOffset>
            </wp:positionV>
            <wp:extent cx="2952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52115" cy="8890"/>
                    </a:xfrm>
                    <a:prstGeom prst="rect">
                      <a:avLst/>
                    </a:prstGeom>
                    <a:noFill/>
                  </pic:spPr>
                </pic:pic>
              </a:graphicData>
            </a:graphic>
          </wp:anchor>
        </w:drawing>
      </w:r>
    </w:p>
    <w:p>
      <w:pPr>
        <w:ind w:left="600"/>
        <w:spacing w:after="0"/>
        <w:tabs>
          <w:tab w:leader="none" w:pos="1460" w:val="left"/>
        </w:tabs>
        <w:rPr>
          <w:sz w:val="20"/>
          <w:szCs w:val="20"/>
          <w:color w:val="auto"/>
        </w:rPr>
      </w:pPr>
      <w:r>
        <w:rPr>
          <w:rFonts w:ascii="Arial" w:cs="Arial" w:eastAsia="Arial" w:hAnsi="Arial"/>
          <w:sz w:val="23"/>
          <w:szCs w:val="23"/>
          <w:color w:val="auto"/>
        </w:rPr>
        <w:t>Name:</w:t>
        <w:tab/>
        <w:t>Michael Zahka</w:t>
      </w:r>
    </w:p>
    <w:p>
      <w:pPr>
        <w:ind w:left="600"/>
        <w:spacing w:after="0"/>
        <w:tabs>
          <w:tab w:leader="none" w:pos="1460" w:val="left"/>
        </w:tabs>
        <w:rPr>
          <w:sz w:val="20"/>
          <w:szCs w:val="20"/>
          <w:color w:val="auto"/>
        </w:rPr>
      </w:pPr>
      <w:r>
        <w:rPr>
          <w:rFonts w:ascii="Arial" w:cs="Arial" w:eastAsia="Arial" w:hAnsi="Arial"/>
          <w:sz w:val="23"/>
          <w:szCs w:val="23"/>
          <w:color w:val="auto"/>
        </w:rPr>
        <w:t>Title:</w:t>
      </w:r>
      <w:r>
        <w:rPr>
          <w:sz w:val="20"/>
          <w:szCs w:val="20"/>
          <w:color w:val="auto"/>
        </w:rPr>
        <w:tab/>
      </w:r>
      <w:r>
        <w:rPr>
          <w:rFonts w:ascii="Arial" w:cs="Arial" w:eastAsia="Arial" w:hAnsi="Arial"/>
          <w:sz w:val="23"/>
          <w:szCs w:val="23"/>
          <w:color w:val="auto"/>
        </w:rPr>
        <w:t>Director</w:t>
      </w:r>
    </w:p>
    <w:p>
      <w:pPr>
        <w:spacing w:after="0" w:line="200" w:lineRule="exact"/>
        <w:rPr>
          <w:sz w:val="20"/>
          <w:szCs w:val="20"/>
          <w:color w:val="auto"/>
        </w:rPr>
      </w:pPr>
    </w:p>
    <w:p>
      <w:pPr>
        <w:spacing w:after="0" w:line="238" w:lineRule="exact"/>
        <w:rPr>
          <w:sz w:val="20"/>
          <w:szCs w:val="20"/>
          <w:color w:val="auto"/>
        </w:rPr>
      </w:pPr>
    </w:p>
    <w:p>
      <w:pPr>
        <w:jc w:val="right"/>
        <w:ind w:right="1600"/>
        <w:spacing w:after="0"/>
        <w:rPr>
          <w:sz w:val="20"/>
          <w:szCs w:val="20"/>
          <w:color w:val="auto"/>
        </w:rPr>
      </w:pPr>
      <w:r>
        <w:rPr>
          <w:rFonts w:ascii="Arial" w:cs="Arial" w:eastAsia="Arial" w:hAnsi="Arial"/>
          <w:sz w:val="19"/>
          <w:szCs w:val="19"/>
          <w:i w:val="1"/>
          <w:iCs w:val="1"/>
          <w:color w:val="auto"/>
        </w:rPr>
        <w:t>[Signature Page to Third Amended and Restated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20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23"/>
          <w:szCs w:val="23"/>
          <w:b w:val="1"/>
          <w:bCs w:val="1"/>
          <w:u w:val="single" w:color="auto"/>
          <w:color w:val="auto"/>
        </w:rPr>
        <w:t>Schedule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Owned Vessels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40" w:type="dxa"/>
            <w:vAlign w:val="bottom"/>
            <w:tcBorders>
              <w:top w:val="single" w:sz="8" w:color="auto"/>
            </w:tcBorders>
            <w:gridSpan w:val="2"/>
          </w:tcPr>
          <w:p>
            <w:pPr>
              <w:ind w:left="1420"/>
              <w:spacing w:after="0" w:line="251" w:lineRule="exact"/>
              <w:rPr>
                <w:sz w:val="20"/>
                <w:szCs w:val="20"/>
                <w:color w:val="auto"/>
              </w:rPr>
            </w:pPr>
            <w:r>
              <w:rPr>
                <w:rFonts w:ascii="Arial" w:cs="Arial" w:eastAsia="Arial" w:hAnsi="Arial"/>
                <w:sz w:val="23"/>
                <w:szCs w:val="23"/>
                <w:b w:val="1"/>
                <w:bCs w:val="1"/>
                <w:color w:val="auto"/>
              </w:rPr>
              <w:t>Vessel</w:t>
            </w:r>
          </w:p>
        </w:tc>
        <w:tc>
          <w:tcPr>
            <w:tcW w:w="2680" w:type="dxa"/>
            <w:vAlign w:val="bottom"/>
            <w:tcBorders>
              <w:top w:val="single" w:sz="8" w:color="auto"/>
            </w:tcBorders>
            <w:gridSpan w:val="2"/>
          </w:tcPr>
          <w:p>
            <w:pPr>
              <w:ind w:left="980"/>
              <w:spacing w:after="0" w:line="251" w:lineRule="exact"/>
              <w:rPr>
                <w:sz w:val="20"/>
                <w:szCs w:val="20"/>
                <w:color w:val="auto"/>
              </w:rPr>
            </w:pPr>
            <w:r>
              <w:rPr>
                <w:rFonts w:ascii="Arial" w:cs="Arial" w:eastAsia="Arial" w:hAnsi="Arial"/>
                <w:sz w:val="23"/>
                <w:szCs w:val="23"/>
                <w:b w:val="1"/>
                <w:bCs w:val="1"/>
                <w:color w:val="auto"/>
              </w:rPr>
              <w:t>Flag</w:t>
            </w:r>
          </w:p>
        </w:tc>
        <w:tc>
          <w:tcPr>
            <w:tcW w:w="3180" w:type="dxa"/>
            <w:vAlign w:val="bottom"/>
            <w:tcBorders>
              <w:top w:val="single" w:sz="8" w:color="auto"/>
            </w:tcBorders>
            <w:gridSpan w:val="2"/>
          </w:tcPr>
          <w:p>
            <w:pPr>
              <w:ind w:left="720"/>
              <w:spacing w:after="0" w:line="251" w:lineRule="exact"/>
              <w:rPr>
                <w:sz w:val="20"/>
                <w:szCs w:val="20"/>
                <w:color w:val="auto"/>
              </w:rPr>
            </w:pPr>
            <w:r>
              <w:rPr>
                <w:rFonts w:ascii="Arial" w:cs="Arial" w:eastAsia="Arial" w:hAnsi="Arial"/>
                <w:sz w:val="23"/>
                <w:szCs w:val="23"/>
                <w:b w:val="1"/>
                <w:bCs w:val="1"/>
                <w:color w:val="auto"/>
              </w:rPr>
              <w:t>Owning Entity</w:t>
            </w:r>
          </w:p>
        </w:tc>
        <w:tc>
          <w:tcPr>
            <w:tcW w:w="2400" w:type="dxa"/>
            <w:vAlign w:val="bottom"/>
            <w:tcBorders>
              <w:top w:val="single" w:sz="8" w:color="auto"/>
            </w:tcBorders>
          </w:tcPr>
          <w:p>
            <w:pPr>
              <w:jc w:val="right"/>
              <w:ind w:right="406"/>
              <w:spacing w:after="0" w:line="251" w:lineRule="exact"/>
              <w:rPr>
                <w:sz w:val="20"/>
                <w:szCs w:val="20"/>
                <w:color w:val="auto"/>
              </w:rPr>
            </w:pPr>
            <w:r>
              <w:rPr>
                <w:rFonts w:ascii="Arial" w:cs="Arial" w:eastAsia="Arial" w:hAnsi="Arial"/>
                <w:sz w:val="23"/>
                <w:szCs w:val="23"/>
                <w:b w:val="1"/>
                <w:bCs w:val="1"/>
                <w:color w:val="auto"/>
              </w:rPr>
              <w:t>IMO Number</w:t>
            </w:r>
          </w:p>
        </w:tc>
      </w:tr>
      <w:tr>
        <w:trPr>
          <w:trHeight w:val="227"/>
        </w:trPr>
        <w:tc>
          <w:tcPr>
            <w:tcW w:w="3420" w:type="dxa"/>
            <w:vAlign w:val="bottom"/>
            <w:tcBorders>
              <w:top w:val="single" w:sz="8" w:color="auto"/>
            </w:tcBorders>
          </w:tcPr>
          <w:p>
            <w:pPr>
              <w:ind w:left="40"/>
              <w:spacing w:after="0" w:line="228" w:lineRule="exact"/>
              <w:rPr>
                <w:sz w:val="20"/>
                <w:szCs w:val="20"/>
                <w:color w:val="auto"/>
              </w:rPr>
            </w:pPr>
            <w:r>
              <w:rPr>
                <w:rFonts w:ascii="Arial" w:cs="Arial" w:eastAsia="Arial" w:hAnsi="Arial"/>
                <w:sz w:val="23"/>
                <w:szCs w:val="23"/>
                <w:i w:val="1"/>
                <w:iCs w:val="1"/>
                <w:color w:val="auto"/>
              </w:rPr>
              <w:t>GasLog Shanghai</w:t>
            </w:r>
          </w:p>
        </w:tc>
        <w:tc>
          <w:tcPr>
            <w:tcW w:w="320" w:type="dxa"/>
            <w:vAlign w:val="bottom"/>
          </w:tcPr>
          <w:p>
            <w:pPr>
              <w:spacing w:after="0"/>
              <w:rPr>
                <w:sz w:val="19"/>
                <w:szCs w:val="19"/>
                <w:color w:val="auto"/>
              </w:rPr>
            </w:pPr>
          </w:p>
        </w:tc>
        <w:tc>
          <w:tcPr>
            <w:tcW w:w="2380" w:type="dxa"/>
            <w:vAlign w:val="bottom"/>
            <w:tcBorders>
              <w:top w:val="single" w:sz="8" w:color="auto"/>
            </w:tcBorders>
          </w:tcPr>
          <w:p>
            <w:pPr>
              <w:ind w:left="40"/>
              <w:spacing w:after="0" w:line="228" w:lineRule="exact"/>
              <w:rPr>
                <w:sz w:val="20"/>
                <w:szCs w:val="20"/>
                <w:color w:val="auto"/>
              </w:rPr>
            </w:pPr>
            <w:r>
              <w:rPr>
                <w:rFonts w:ascii="Arial" w:cs="Arial" w:eastAsia="Arial" w:hAnsi="Arial"/>
                <w:sz w:val="23"/>
                <w:szCs w:val="23"/>
                <w:color w:val="auto"/>
              </w:rPr>
              <w:t>Bermuda</w:t>
            </w:r>
          </w:p>
        </w:tc>
        <w:tc>
          <w:tcPr>
            <w:tcW w:w="300" w:type="dxa"/>
            <w:vAlign w:val="bottom"/>
          </w:tcPr>
          <w:p>
            <w:pPr>
              <w:spacing w:after="0"/>
              <w:rPr>
                <w:sz w:val="19"/>
                <w:szCs w:val="19"/>
                <w:color w:val="auto"/>
              </w:rPr>
            </w:pPr>
          </w:p>
        </w:tc>
        <w:tc>
          <w:tcPr>
            <w:tcW w:w="2880" w:type="dxa"/>
            <w:vAlign w:val="bottom"/>
            <w:tcBorders>
              <w:top w:val="single" w:sz="8" w:color="auto"/>
            </w:tcBorders>
          </w:tcPr>
          <w:p>
            <w:pPr>
              <w:ind w:left="60"/>
              <w:spacing w:after="0" w:line="228" w:lineRule="exact"/>
              <w:rPr>
                <w:sz w:val="20"/>
                <w:szCs w:val="20"/>
                <w:color w:val="auto"/>
              </w:rPr>
            </w:pPr>
            <w:r>
              <w:rPr>
                <w:rFonts w:ascii="Arial" w:cs="Arial" w:eastAsia="Arial" w:hAnsi="Arial"/>
                <w:sz w:val="23"/>
                <w:szCs w:val="23"/>
                <w:color w:val="auto"/>
              </w:rPr>
              <w:t>GAS-three Ltd.</w:t>
            </w:r>
          </w:p>
        </w:tc>
        <w:tc>
          <w:tcPr>
            <w:tcW w:w="300" w:type="dxa"/>
            <w:vAlign w:val="bottom"/>
          </w:tcPr>
          <w:p>
            <w:pPr>
              <w:spacing w:after="0"/>
              <w:rPr>
                <w:sz w:val="19"/>
                <w:szCs w:val="19"/>
                <w:color w:val="auto"/>
              </w:rPr>
            </w:pPr>
          </w:p>
        </w:tc>
        <w:tc>
          <w:tcPr>
            <w:tcW w:w="2400" w:type="dxa"/>
            <w:vAlign w:val="bottom"/>
            <w:tcBorders>
              <w:top w:val="single" w:sz="8" w:color="auto"/>
            </w:tcBorders>
          </w:tcPr>
          <w:p>
            <w:pPr>
              <w:jc w:val="right"/>
              <w:ind w:right="1426"/>
              <w:spacing w:after="0" w:line="228" w:lineRule="exact"/>
              <w:rPr>
                <w:sz w:val="20"/>
                <w:szCs w:val="20"/>
                <w:color w:val="auto"/>
              </w:rPr>
            </w:pPr>
            <w:r>
              <w:rPr>
                <w:rFonts w:ascii="Arial" w:cs="Arial" w:eastAsia="Arial" w:hAnsi="Arial"/>
                <w:sz w:val="23"/>
                <w:szCs w:val="23"/>
                <w:color w:val="auto"/>
                <w:w w:val="93"/>
              </w:rPr>
              <w:t>9600528</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GasLog Santiago</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GAS-four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9600530</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GasLog Sydney</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GAS-five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9626273</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GasLog Seattle</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GAS-seven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9634086</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Solaris</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GAS-eight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9634098</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GasLog Greece</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GAS-eleven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9687019</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GasLog Geneva</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GAS-thirteen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9707508</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GasLog Gibraltar</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GAS-fourteen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9707510</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Methane Rita Andrea</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GAS-sixteen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9307188</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Methane Jane Elizabeth</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GAS-seventeen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9307190</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Methane Alison Victoria</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GAS-nineteen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9321768</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Methane Shirley Elisabeth</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GAS-twenty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9321756</w:t>
            </w:r>
          </w:p>
        </w:tc>
      </w:tr>
      <w:tr>
        <w:trPr>
          <w:trHeight w:val="257"/>
        </w:trPr>
        <w:tc>
          <w:tcPr>
            <w:tcW w:w="3740" w:type="dxa"/>
            <w:vAlign w:val="bottom"/>
            <w:gridSpan w:val="2"/>
          </w:tcPr>
          <w:p>
            <w:pPr>
              <w:ind w:left="40"/>
              <w:spacing w:after="0" w:line="256" w:lineRule="exact"/>
              <w:rPr>
                <w:sz w:val="20"/>
                <w:szCs w:val="20"/>
                <w:color w:val="auto"/>
              </w:rPr>
            </w:pPr>
            <w:r>
              <w:rPr>
                <w:rFonts w:ascii="Arial" w:cs="Arial" w:eastAsia="Arial" w:hAnsi="Arial"/>
                <w:sz w:val="23"/>
                <w:szCs w:val="23"/>
                <w:i w:val="1"/>
                <w:iCs w:val="1"/>
                <w:color w:val="auto"/>
              </w:rPr>
              <w:t>Methane Heather Sally</w:t>
            </w:r>
          </w:p>
        </w:tc>
        <w:tc>
          <w:tcPr>
            <w:tcW w:w="2680" w:type="dxa"/>
            <w:vAlign w:val="bottom"/>
            <w:gridSpan w:val="2"/>
          </w:tcPr>
          <w:p>
            <w:pPr>
              <w:ind w:left="40"/>
              <w:spacing w:after="0" w:line="256" w:lineRule="exact"/>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line="256" w:lineRule="exact"/>
              <w:rPr>
                <w:sz w:val="20"/>
                <w:szCs w:val="20"/>
                <w:color w:val="auto"/>
              </w:rPr>
            </w:pPr>
            <w:r>
              <w:rPr>
                <w:rFonts w:ascii="Arial" w:cs="Arial" w:eastAsia="Arial" w:hAnsi="Arial"/>
                <w:sz w:val="23"/>
                <w:szCs w:val="23"/>
                <w:color w:val="auto"/>
              </w:rPr>
              <w:t>GAS-twenty one Ltd.</w:t>
            </w:r>
          </w:p>
        </w:tc>
        <w:tc>
          <w:tcPr>
            <w:tcW w:w="2400" w:type="dxa"/>
            <w:vAlign w:val="bottom"/>
          </w:tcPr>
          <w:p>
            <w:pPr>
              <w:jc w:val="right"/>
              <w:ind w:right="1426"/>
              <w:spacing w:after="0" w:line="256" w:lineRule="exact"/>
              <w:rPr>
                <w:sz w:val="20"/>
                <w:szCs w:val="20"/>
                <w:color w:val="auto"/>
              </w:rPr>
            </w:pPr>
            <w:r>
              <w:rPr>
                <w:rFonts w:ascii="Arial" w:cs="Arial" w:eastAsia="Arial" w:hAnsi="Arial"/>
                <w:sz w:val="23"/>
                <w:szCs w:val="23"/>
                <w:color w:val="auto"/>
                <w:w w:val="93"/>
              </w:rPr>
              <w:t>9321744</w:t>
            </w:r>
          </w:p>
        </w:tc>
      </w:tr>
      <w:tr>
        <w:trPr>
          <w:trHeight w:val="291"/>
        </w:trPr>
        <w:tc>
          <w:tcPr>
            <w:tcW w:w="3740" w:type="dxa"/>
            <w:vAlign w:val="bottom"/>
            <w:gridSpan w:val="2"/>
          </w:tcPr>
          <w:p>
            <w:pPr>
              <w:ind w:left="40"/>
              <w:spacing w:after="0"/>
              <w:rPr>
                <w:sz w:val="20"/>
                <w:szCs w:val="20"/>
                <w:color w:val="auto"/>
              </w:rPr>
            </w:pPr>
            <w:r>
              <w:rPr>
                <w:rFonts w:ascii="Arial" w:cs="Arial" w:eastAsia="Arial" w:hAnsi="Arial"/>
                <w:sz w:val="23"/>
                <w:szCs w:val="23"/>
                <w:i w:val="1"/>
                <w:iCs w:val="1"/>
                <w:color w:val="auto"/>
              </w:rPr>
              <w:t>Methane Becki Anne</w:t>
            </w:r>
          </w:p>
        </w:tc>
        <w:tc>
          <w:tcPr>
            <w:tcW w:w="2680" w:type="dxa"/>
            <w:vAlign w:val="bottom"/>
            <w:gridSpan w:val="2"/>
          </w:tcPr>
          <w:p>
            <w:pPr>
              <w:ind w:left="40"/>
              <w:spacing w:after="0"/>
              <w:rPr>
                <w:sz w:val="20"/>
                <w:szCs w:val="20"/>
                <w:color w:val="auto"/>
              </w:rPr>
            </w:pPr>
            <w:r>
              <w:rPr>
                <w:rFonts w:ascii="Arial" w:cs="Arial" w:eastAsia="Arial" w:hAnsi="Arial"/>
                <w:sz w:val="23"/>
                <w:szCs w:val="23"/>
                <w:color w:val="auto"/>
              </w:rPr>
              <w:t>Bermuda</w:t>
            </w:r>
          </w:p>
        </w:tc>
        <w:tc>
          <w:tcPr>
            <w:tcW w:w="3180" w:type="dxa"/>
            <w:vAlign w:val="bottom"/>
            <w:gridSpan w:val="2"/>
          </w:tcPr>
          <w:p>
            <w:pPr>
              <w:ind w:left="60"/>
              <w:spacing w:after="0"/>
              <w:rPr>
                <w:sz w:val="20"/>
                <w:szCs w:val="20"/>
                <w:color w:val="auto"/>
              </w:rPr>
            </w:pPr>
            <w:r>
              <w:rPr>
                <w:rFonts w:ascii="Arial" w:cs="Arial" w:eastAsia="Arial" w:hAnsi="Arial"/>
                <w:sz w:val="23"/>
                <w:szCs w:val="23"/>
                <w:color w:val="auto"/>
              </w:rPr>
              <w:t>GAS-twenty seven Ltd.</w:t>
            </w:r>
          </w:p>
        </w:tc>
        <w:tc>
          <w:tcPr>
            <w:tcW w:w="2400" w:type="dxa"/>
            <w:vAlign w:val="bottom"/>
          </w:tcPr>
          <w:p>
            <w:pPr>
              <w:jc w:val="right"/>
              <w:ind w:right="1426"/>
              <w:spacing w:after="0"/>
              <w:rPr>
                <w:sz w:val="20"/>
                <w:szCs w:val="20"/>
                <w:color w:val="auto"/>
              </w:rPr>
            </w:pPr>
            <w:r>
              <w:rPr>
                <w:rFonts w:ascii="Arial" w:cs="Arial" w:eastAsia="Arial" w:hAnsi="Arial"/>
                <w:sz w:val="23"/>
                <w:szCs w:val="23"/>
                <w:color w:val="auto"/>
                <w:w w:val="93"/>
              </w:rPr>
              <w:t>9516129</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646670" cy="31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198" w:right="120" w:bottom="1440" w:gutter="0" w:footer="0" w:header="0"/>
        </w:sectPr>
      </w:pPr>
    </w:p>
    <w:bookmarkStart w:id="44" w:name="page45"/>
    <w:bookmarkEnd w:id="44"/>
    <w:p>
      <w:pPr>
        <w:jc w:val="center"/>
        <w:ind w:right="-1319"/>
        <w:spacing w:after="0"/>
        <w:rPr>
          <w:sz w:val="20"/>
          <w:szCs w:val="20"/>
          <w:color w:val="auto"/>
        </w:rPr>
      </w:pPr>
      <w:r>
        <w:rPr>
          <w:rFonts w:ascii="Arial" w:cs="Arial" w:eastAsia="Arial" w:hAnsi="Arial"/>
          <w:sz w:val="23"/>
          <w:szCs w:val="23"/>
          <w:b w:val="1"/>
          <w:bCs w:val="1"/>
          <w:u w:val="single" w:color="auto"/>
          <w:color w:val="auto"/>
        </w:rPr>
        <w:t>Schedule II</w:t>
      </w:r>
    </w:p>
    <w:p>
      <w:pPr>
        <w:spacing w:after="0" w:line="226" w:lineRule="exact"/>
        <w:rPr>
          <w:sz w:val="20"/>
          <w:szCs w:val="20"/>
          <w:color w:val="auto"/>
        </w:rPr>
      </w:pPr>
    </w:p>
    <w:p>
      <w:pPr>
        <w:jc w:val="center"/>
        <w:ind w:right="-1319"/>
        <w:spacing w:after="0"/>
        <w:rPr>
          <w:sz w:val="20"/>
          <w:szCs w:val="20"/>
          <w:color w:val="auto"/>
        </w:rPr>
      </w:pPr>
      <w:r>
        <w:rPr>
          <w:rFonts w:ascii="Arial" w:cs="Arial" w:eastAsia="Arial" w:hAnsi="Arial"/>
          <w:sz w:val="20"/>
          <w:szCs w:val="20"/>
          <w:color w:val="auto"/>
        </w:rPr>
        <w:t>Covered Agreements</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color w:val="auto"/>
        </w:rPr>
        <w:t>None.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646670" cy="31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198" w:right="1440" w:bottom="1440" w:gutter="0" w:footer="0" w:header="0"/>
        </w:sectPr>
      </w:pPr>
    </w:p>
    <w:bookmarkStart w:id="45" w:name="page46"/>
    <w:bookmarkEnd w:id="45"/>
    <w:p>
      <w:pPr>
        <w:jc w:val="center"/>
        <w:ind w:right="-1305"/>
        <w:spacing w:after="0"/>
        <w:rPr>
          <w:sz w:val="20"/>
          <w:szCs w:val="20"/>
          <w:color w:val="auto"/>
        </w:rPr>
      </w:pPr>
      <w:r>
        <w:rPr>
          <w:rFonts w:ascii="Arial" w:cs="Arial" w:eastAsia="Arial" w:hAnsi="Arial"/>
          <w:sz w:val="23"/>
          <w:szCs w:val="23"/>
          <w:b w:val="1"/>
          <w:bCs w:val="1"/>
          <w:u w:val="single" w:color="auto"/>
          <w:color w:val="auto"/>
        </w:rPr>
        <w:t>Schedule III</w:t>
      </w:r>
    </w:p>
    <w:p>
      <w:pPr>
        <w:spacing w:after="0" w:line="226" w:lineRule="exact"/>
        <w:rPr>
          <w:sz w:val="20"/>
          <w:szCs w:val="20"/>
          <w:color w:val="auto"/>
        </w:rPr>
      </w:pPr>
    </w:p>
    <w:p>
      <w:pPr>
        <w:jc w:val="center"/>
        <w:ind w:right="-1305"/>
        <w:spacing w:after="0"/>
        <w:rPr>
          <w:sz w:val="20"/>
          <w:szCs w:val="20"/>
          <w:color w:val="auto"/>
        </w:rPr>
      </w:pPr>
      <w:r>
        <w:rPr>
          <w:rFonts w:ascii="Arial" w:cs="Arial" w:eastAsia="Arial" w:hAnsi="Arial"/>
          <w:sz w:val="20"/>
          <w:szCs w:val="20"/>
          <w:color w:val="auto"/>
        </w:rPr>
        <w:t>Operative Agreements</w:t>
      </w:r>
    </w:p>
    <w:p>
      <w:pPr>
        <w:spacing w:after="0" w:line="255" w:lineRule="exact"/>
        <w:rPr>
          <w:sz w:val="20"/>
          <w:szCs w:val="20"/>
          <w:color w:val="auto"/>
        </w:rPr>
      </w:pPr>
    </w:p>
    <w:p>
      <w:pPr>
        <w:ind w:left="686" w:hanging="686"/>
        <w:spacing w:after="0"/>
        <w:tabs>
          <w:tab w:leader="none" w:pos="686" w:val="left"/>
        </w:tabs>
        <w:numPr>
          <w:ilvl w:val="0"/>
          <w:numId w:val="61"/>
        </w:numPr>
        <w:rPr>
          <w:rFonts w:ascii="Arial" w:cs="Arial" w:eastAsia="Arial" w:hAnsi="Arial"/>
          <w:sz w:val="19"/>
          <w:szCs w:val="19"/>
          <w:color w:val="auto"/>
        </w:rPr>
      </w:pPr>
      <w:r>
        <w:rPr>
          <w:rFonts w:ascii="Arial" w:cs="Arial" w:eastAsia="Arial" w:hAnsi="Arial"/>
          <w:sz w:val="23"/>
          <w:szCs w:val="23"/>
          <w:color w:val="auto"/>
        </w:rPr>
        <w:t>This Agreement.</w:t>
      </w:r>
    </w:p>
    <w:p>
      <w:pPr>
        <w:spacing w:after="0" w:line="225" w:lineRule="exact"/>
        <w:rPr>
          <w:sz w:val="20"/>
          <w:szCs w:val="20"/>
          <w:color w:val="auto"/>
        </w:rPr>
      </w:pPr>
    </w:p>
    <w:p>
      <w:pPr>
        <w:ind w:left="5566"/>
        <w:spacing w:after="0"/>
        <w:rPr>
          <w:sz w:val="20"/>
          <w:szCs w:val="20"/>
          <w:color w:val="auto"/>
        </w:rPr>
      </w:pPr>
      <w:r>
        <w:rPr>
          <w:rFonts w:ascii="Arial" w:cs="Arial" w:eastAsia="Arial" w:hAnsi="Arial"/>
          <w:sz w:val="15"/>
          <w:szCs w:val="15"/>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646670" cy="31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6"/>
          </w:cols>
          <w:pgMar w:left="114" w:top="198" w:right="1440" w:bottom="1440" w:gutter="0" w:footer="0" w:header="0"/>
        </w:sectPr>
      </w:pPr>
    </w:p>
    <w:bookmarkStart w:id="46" w:name="page47"/>
    <w:bookmarkEnd w:id="46"/>
    <w:p>
      <w:pPr>
        <w:jc w:val="center"/>
        <w:ind w:right="-5"/>
        <w:spacing w:after="0"/>
        <w:rPr>
          <w:sz w:val="20"/>
          <w:szCs w:val="20"/>
          <w:color w:val="auto"/>
        </w:rPr>
      </w:pPr>
      <w:r>
        <w:rPr>
          <w:rFonts w:ascii="Arial" w:cs="Arial" w:eastAsia="Arial" w:hAnsi="Arial"/>
          <w:sz w:val="23"/>
          <w:szCs w:val="23"/>
          <w:b w:val="1"/>
          <w:bCs w:val="1"/>
          <w:u w:val="single" w:color="auto"/>
          <w:color w:val="auto"/>
        </w:rPr>
        <w:t>Schedule IV</w:t>
      </w:r>
    </w:p>
    <w:p>
      <w:pPr>
        <w:spacing w:after="0" w:line="226" w:lineRule="exact"/>
        <w:rPr>
          <w:sz w:val="20"/>
          <w:szCs w:val="20"/>
          <w:color w:val="auto"/>
        </w:rPr>
      </w:pPr>
    </w:p>
    <w:p>
      <w:pPr>
        <w:jc w:val="center"/>
        <w:ind w:right="-5"/>
        <w:spacing w:after="0"/>
        <w:rPr>
          <w:sz w:val="20"/>
          <w:szCs w:val="20"/>
          <w:color w:val="auto"/>
        </w:rPr>
      </w:pPr>
      <w:r>
        <w:rPr>
          <w:rFonts w:ascii="Arial" w:cs="Arial" w:eastAsia="Arial" w:hAnsi="Arial"/>
          <w:sz w:val="23"/>
          <w:szCs w:val="23"/>
          <w:color w:val="auto"/>
        </w:rPr>
        <w:t>Specified Agreements</w:t>
      </w:r>
    </w:p>
    <w:p>
      <w:pPr>
        <w:spacing w:after="0" w:line="220" w:lineRule="exact"/>
        <w:rPr>
          <w:sz w:val="20"/>
          <w:szCs w:val="20"/>
          <w:color w:val="auto"/>
        </w:rPr>
      </w:pPr>
    </w:p>
    <w:p>
      <w:pPr>
        <w:jc w:val="both"/>
        <w:ind w:left="686" w:hanging="686"/>
        <w:spacing w:after="0" w:line="238" w:lineRule="auto"/>
        <w:tabs>
          <w:tab w:leader="none" w:pos="971" w:val="left"/>
        </w:tabs>
        <w:numPr>
          <w:ilvl w:val="0"/>
          <w:numId w:val="62"/>
        </w:numPr>
        <w:rPr>
          <w:rFonts w:ascii="Arial" w:cs="Arial" w:eastAsia="Arial" w:hAnsi="Arial"/>
          <w:sz w:val="21"/>
          <w:szCs w:val="21"/>
          <w:color w:val="auto"/>
        </w:rPr>
      </w:pPr>
      <w:r>
        <w:rPr>
          <w:rFonts w:ascii="Arial" w:cs="Arial" w:eastAsia="Arial" w:hAnsi="Arial"/>
          <w:sz w:val="23"/>
          <w:szCs w:val="23"/>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w:t>
      </w:r>
    </w:p>
    <w:p>
      <w:pPr>
        <w:spacing w:after="0" w:line="194" w:lineRule="exact"/>
        <w:rPr>
          <w:rFonts w:ascii="Arial" w:cs="Arial" w:eastAsia="Arial" w:hAnsi="Arial"/>
          <w:sz w:val="21"/>
          <w:szCs w:val="21"/>
          <w:color w:val="auto"/>
        </w:rPr>
      </w:pPr>
    </w:p>
    <w:p>
      <w:pPr>
        <w:ind w:left="666" w:hanging="666"/>
        <w:spacing w:after="0"/>
        <w:tabs>
          <w:tab w:leader="none" w:pos="666" w:val="left"/>
        </w:tabs>
        <w:numPr>
          <w:ilvl w:val="0"/>
          <w:numId w:val="62"/>
        </w:numPr>
        <w:rPr>
          <w:rFonts w:ascii="Arial" w:cs="Arial" w:eastAsia="Arial" w:hAnsi="Arial"/>
          <w:sz w:val="21"/>
          <w:szCs w:val="21"/>
          <w:color w:val="auto"/>
        </w:rPr>
      </w:pPr>
      <w:r>
        <w:rPr>
          <w:rFonts w:ascii="Arial" w:cs="Arial" w:eastAsia="Arial" w:hAnsi="Arial"/>
          <w:sz w:val="23"/>
          <w:szCs w:val="23"/>
          <w:color w:val="auto"/>
        </w:rPr>
        <w:t>Deed between GasLog Partners LP and Citibank, N.A., London Branch, dated November 12, 2014.</w:t>
      </w:r>
    </w:p>
    <w:p>
      <w:pPr>
        <w:spacing w:after="0" w:line="220" w:lineRule="exact"/>
        <w:rPr>
          <w:sz w:val="20"/>
          <w:szCs w:val="20"/>
          <w:color w:val="auto"/>
        </w:rPr>
      </w:pPr>
    </w:p>
    <w:p>
      <w:pPr>
        <w:jc w:val="both"/>
        <w:ind w:left="686" w:hanging="684"/>
        <w:spacing w:after="0" w:line="245" w:lineRule="auto"/>
        <w:tabs>
          <w:tab w:leader="none" w:pos="666" w:val="left"/>
        </w:tabs>
        <w:rPr>
          <w:sz w:val="20"/>
          <w:szCs w:val="20"/>
          <w:color w:val="auto"/>
        </w:rPr>
      </w:pPr>
      <w:r>
        <w:rPr>
          <w:rFonts w:ascii="Arial" w:cs="Arial" w:eastAsia="Arial" w:hAnsi="Arial"/>
          <w:sz w:val="21"/>
          <w:szCs w:val="21"/>
          <w:color w:val="auto"/>
        </w:rPr>
        <w:t>3.</w:t>
      </w:r>
      <w:r>
        <w:rPr>
          <w:sz w:val="20"/>
          <w:szCs w:val="20"/>
          <w:color w:val="auto"/>
        </w:rPr>
        <w:tab/>
      </w:r>
      <w:r>
        <w:rPr>
          <w:rFonts w:ascii="Arial" w:cs="Arial" w:eastAsia="Arial" w:hAnsi="Arial"/>
          <w:sz w:val="23"/>
          <w:szCs w:val="23"/>
          <w:color w:val="auto"/>
        </w:rPr>
        <w:t>Corporate Guarantee in relation to GAS-three Ltd. GAS-four Ltd, GAS-sixteen Ltd., Gas-seventeen Ltd., dated November 12, 2014, between GasLog Partners Holdings LLC, as Guarantor, and Citibank, N.A. London Branch, as Mortgagee.</w:t>
      </w:r>
    </w:p>
    <w:p>
      <w:pPr>
        <w:spacing w:after="0" w:line="188" w:lineRule="exact"/>
        <w:rPr>
          <w:sz w:val="20"/>
          <w:szCs w:val="20"/>
          <w:color w:val="auto"/>
        </w:rPr>
      </w:pPr>
    </w:p>
    <w:p>
      <w:pPr>
        <w:ind w:left="686" w:hanging="686"/>
        <w:spacing w:after="0" w:line="260" w:lineRule="auto"/>
        <w:tabs>
          <w:tab w:leader="none" w:pos="672" w:val="left"/>
        </w:tabs>
        <w:numPr>
          <w:ilvl w:val="0"/>
          <w:numId w:val="63"/>
        </w:numPr>
        <w:rPr>
          <w:rFonts w:ascii="Arial" w:cs="Arial" w:eastAsia="Arial" w:hAnsi="Arial"/>
          <w:sz w:val="19"/>
          <w:szCs w:val="19"/>
          <w:color w:val="auto"/>
        </w:rPr>
      </w:pPr>
      <w:r>
        <w:rPr>
          <w:rFonts w:ascii="Arial" w:cs="Arial" w:eastAsia="Arial" w:hAnsi="Arial"/>
          <w:sz w:val="21"/>
          <w:szCs w:val="21"/>
          <w:color w:val="auto"/>
        </w:rPr>
        <w:t>Facilities Agreement (the “</w:t>
      </w:r>
      <w:r>
        <w:rPr>
          <w:rFonts w:ascii="Arial" w:cs="Arial" w:eastAsia="Arial" w:hAnsi="Arial"/>
          <w:sz w:val="21"/>
          <w:szCs w:val="21"/>
          <w:u w:val="single" w:color="auto"/>
          <w:color w:val="auto"/>
        </w:rPr>
        <w:t>October 2015 Facility</w:t>
      </w:r>
      <w:r>
        <w:rPr>
          <w:rFonts w:ascii="Arial" w:cs="Arial" w:eastAsia="Arial" w:hAnsi="Arial"/>
          <w:sz w:val="21"/>
          <w:szCs w:val="21"/>
          <w:color w:val="auto"/>
        </w:rPr>
        <w: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Nordea Bank AB, London Branch, as agent, security agent, global coordinator and bookrunner, and Citibank N.A., London Branch, as export credit agent, global co-ordinator, bookrunner and export credit agent co-ordinator, guaranteed by GasLog Ltd. and GasLog Carriers Ltd. (as supplemented by supplemental deeds dated April 12, 2017, May 2, 2017, July 3, 2017 and April 25, 2018).</w:t>
      </w:r>
    </w:p>
    <w:p>
      <w:pPr>
        <w:spacing w:after="0" w:line="179" w:lineRule="exact"/>
        <w:rPr>
          <w:rFonts w:ascii="Arial" w:cs="Arial" w:eastAsia="Arial" w:hAnsi="Arial"/>
          <w:sz w:val="19"/>
          <w:szCs w:val="19"/>
          <w:color w:val="auto"/>
        </w:rPr>
      </w:pPr>
    </w:p>
    <w:p>
      <w:pPr>
        <w:ind w:left="686" w:right="160" w:hanging="686"/>
        <w:spacing w:after="0" w:line="245" w:lineRule="auto"/>
        <w:tabs>
          <w:tab w:leader="none" w:pos="672" w:val="left"/>
        </w:tabs>
        <w:numPr>
          <w:ilvl w:val="0"/>
          <w:numId w:val="63"/>
        </w:numPr>
        <w:rPr>
          <w:rFonts w:ascii="Arial" w:cs="Arial" w:eastAsia="Arial" w:hAnsi="Arial"/>
          <w:sz w:val="21"/>
          <w:szCs w:val="21"/>
          <w:color w:val="auto"/>
        </w:rPr>
      </w:pPr>
      <w:r>
        <w:rPr>
          <w:rFonts w:ascii="Arial" w:cs="Arial" w:eastAsia="Arial" w:hAnsi="Arial"/>
          <w:sz w:val="23"/>
          <w:szCs w:val="23"/>
          <w:color w:val="auto"/>
        </w:rPr>
        <w:t>Corporate Guarantee, dated May 3, 2017, of GasLog Partners Holdings LLC, as Guarantor, in favor of Nordea Bank AB, London Branch in connection with the October 2015 Facility (as supplemented by a supplemental deed dated July 3, 2017 and April 25, 2018).</w:t>
      </w:r>
    </w:p>
    <w:p>
      <w:pPr>
        <w:spacing w:after="0" w:line="188" w:lineRule="exact"/>
        <w:rPr>
          <w:rFonts w:ascii="Arial" w:cs="Arial" w:eastAsia="Arial" w:hAnsi="Arial"/>
          <w:sz w:val="21"/>
          <w:szCs w:val="21"/>
          <w:color w:val="auto"/>
        </w:rPr>
      </w:pPr>
    </w:p>
    <w:p>
      <w:pPr>
        <w:jc w:val="both"/>
        <w:ind w:left="686" w:right="540" w:hanging="686"/>
        <w:spacing w:after="0" w:line="245" w:lineRule="auto"/>
        <w:tabs>
          <w:tab w:leader="none" w:pos="672" w:val="left"/>
        </w:tabs>
        <w:numPr>
          <w:ilvl w:val="0"/>
          <w:numId w:val="63"/>
        </w:numPr>
        <w:rPr>
          <w:rFonts w:ascii="Arial" w:cs="Arial" w:eastAsia="Arial" w:hAnsi="Arial"/>
          <w:sz w:val="21"/>
          <w:szCs w:val="21"/>
          <w:color w:val="auto"/>
        </w:rPr>
      </w:pPr>
      <w:r>
        <w:rPr>
          <w:rFonts w:ascii="Arial" w:cs="Arial" w:eastAsia="Arial" w:hAnsi="Arial"/>
          <w:sz w:val="23"/>
          <w:szCs w:val="23"/>
          <w:color w:val="auto"/>
        </w:rPr>
        <w:t>Corporate Guarantee, dated May 3, 2017, of GasLog Partners LP, as Guarantor, in favor of Nordea Bank AB, London Branch in connection with the October 2015 Facility (as supplemented by a supplemental deed dated July 3, 2017 and April 25, 2018).</w:t>
      </w:r>
    </w:p>
    <w:p>
      <w:pPr>
        <w:spacing w:after="0" w:line="188" w:lineRule="exact"/>
        <w:rPr>
          <w:rFonts w:ascii="Arial" w:cs="Arial" w:eastAsia="Arial" w:hAnsi="Arial"/>
          <w:sz w:val="21"/>
          <w:szCs w:val="21"/>
          <w:color w:val="auto"/>
        </w:rPr>
      </w:pPr>
    </w:p>
    <w:p>
      <w:pPr>
        <w:ind w:left="686" w:right="440" w:hanging="686"/>
        <w:spacing w:after="0" w:line="279" w:lineRule="auto"/>
        <w:tabs>
          <w:tab w:leader="none" w:pos="672" w:val="left"/>
        </w:tabs>
        <w:numPr>
          <w:ilvl w:val="0"/>
          <w:numId w:val="63"/>
        </w:numPr>
        <w:rPr>
          <w:rFonts w:ascii="Arial" w:cs="Arial" w:eastAsia="Arial" w:hAnsi="Arial"/>
          <w:sz w:val="19"/>
          <w:szCs w:val="19"/>
          <w:color w:val="auto"/>
        </w:rPr>
      </w:pPr>
      <w:r>
        <w:rPr>
          <w:rFonts w:ascii="Arial" w:cs="Arial" w:eastAsia="Arial" w:hAnsi="Arial"/>
          <w:sz w:val="21"/>
          <w:szCs w:val="21"/>
          <w:color w:val="auto"/>
        </w:rPr>
        <w:t>Senior Facility Agreement (the “</w:t>
      </w:r>
      <w:r>
        <w:rPr>
          <w:rFonts w:ascii="Arial" w:cs="Arial" w:eastAsia="Arial" w:hAnsi="Arial"/>
          <w:sz w:val="21"/>
          <w:szCs w:val="21"/>
          <w:u w:val="single" w:color="auto"/>
          <w:color w:val="auto"/>
        </w:rPr>
        <w:t>Senior Facility Agreement</w:t>
      </w:r>
      <w:r>
        <w:rPr>
          <w:rFonts w:ascii="Arial" w:cs="Arial" w:eastAsia="Arial" w:hAnsi="Arial"/>
          <w:sz w:val="21"/>
          <w:szCs w:val="21"/>
          <w:color w:val="auto"/>
        </w:rPr>
        <w:t>”) for $396,500,000, dated February 18, 2016, among GAS-eighteen Ltd., GAS-nineteen Ltd., GAS-twenty Ltd., GAS-twenty one Ltd. and GAS-twenty seven Ltd., as borrowers, ABN AMRO Bank N.V., DNB (UK) Ltd. and DVB Bank America N.V., as mandated lead arrangers, the</w:t>
      </w:r>
    </w:p>
    <w:p>
      <w:pPr>
        <w:spacing w:after="0" w:line="16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646670" cy="31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198" w:right="120" w:bottom="1440" w:gutter="0" w:footer="0" w:header="0"/>
        </w:sectPr>
      </w:pPr>
    </w:p>
    <w:bookmarkStart w:id="47" w:name="page48"/>
    <w:bookmarkEnd w:id="47"/>
    <w:p>
      <w:pPr>
        <w:ind w:left="686" w:right="80"/>
        <w:spacing w:after="0" w:line="257" w:lineRule="auto"/>
        <w:rPr>
          <w:sz w:val="20"/>
          <w:szCs w:val="20"/>
          <w:color w:val="auto"/>
        </w:rPr>
      </w:pPr>
      <w:r>
        <w:rPr>
          <w:rFonts w:ascii="Arial" w:cs="Arial" w:eastAsia="Arial" w:hAnsi="Arial"/>
          <w:sz w:val="23"/>
          <w:szCs w:val="23"/>
          <w:color w:val="auto"/>
        </w:rPr>
        <w:t>financial institutions listed in Schedule 1 thereto, as lenders, ABN AMRO Bank N.V. and DNB (UK) Ltd., as bookrunners, and DNB Bank ASA, London Branch, as agent and security agent.</w:t>
      </w:r>
    </w:p>
    <w:p>
      <w:pPr>
        <w:spacing w:after="0" w:line="175" w:lineRule="exact"/>
        <w:rPr>
          <w:sz w:val="20"/>
          <w:szCs w:val="20"/>
          <w:color w:val="auto"/>
        </w:rPr>
      </w:pPr>
    </w:p>
    <w:p>
      <w:pPr>
        <w:ind w:left="686" w:hanging="686"/>
        <w:spacing w:after="0" w:line="257" w:lineRule="auto"/>
        <w:tabs>
          <w:tab w:leader="none" w:pos="871" w:val="left"/>
        </w:tabs>
        <w:numPr>
          <w:ilvl w:val="0"/>
          <w:numId w:val="64"/>
        </w:numPr>
        <w:rPr>
          <w:rFonts w:ascii="Arial" w:cs="Arial" w:eastAsia="Arial" w:hAnsi="Arial"/>
          <w:sz w:val="21"/>
          <w:szCs w:val="21"/>
          <w:color w:val="auto"/>
        </w:rPr>
      </w:pPr>
      <w:r>
        <w:rPr>
          <w:rFonts w:ascii="Arial" w:cs="Arial" w:eastAsia="Arial" w:hAnsi="Arial"/>
          <w:sz w:val="23"/>
          <w:szCs w:val="23"/>
          <w:color w:val="auto"/>
        </w:rPr>
        <w:t>Corporate Guarantee, dated February 18, 2016, of GasLog Partners LP, Mortgagee, in favor of DNB Bank ASA, London Branch in connection with the Senior Facility Agreement.</w:t>
      </w:r>
    </w:p>
    <w:p>
      <w:pPr>
        <w:spacing w:after="0" w:line="175" w:lineRule="exact"/>
        <w:rPr>
          <w:rFonts w:ascii="Arial" w:cs="Arial" w:eastAsia="Arial" w:hAnsi="Arial"/>
          <w:sz w:val="21"/>
          <w:szCs w:val="21"/>
          <w:color w:val="auto"/>
        </w:rPr>
      </w:pPr>
    </w:p>
    <w:p>
      <w:pPr>
        <w:ind w:left="686" w:right="20" w:hanging="686"/>
        <w:spacing w:after="0" w:line="257" w:lineRule="auto"/>
        <w:tabs>
          <w:tab w:leader="none" w:pos="871" w:val="left"/>
        </w:tabs>
        <w:numPr>
          <w:ilvl w:val="0"/>
          <w:numId w:val="64"/>
        </w:numPr>
        <w:rPr>
          <w:rFonts w:ascii="Arial" w:cs="Arial" w:eastAsia="Arial" w:hAnsi="Arial"/>
          <w:sz w:val="21"/>
          <w:szCs w:val="21"/>
          <w:color w:val="auto"/>
        </w:rPr>
      </w:pPr>
      <w:r>
        <w:rPr>
          <w:rFonts w:ascii="Arial" w:cs="Arial" w:eastAsia="Arial" w:hAnsi="Arial"/>
          <w:sz w:val="23"/>
          <w:szCs w:val="23"/>
          <w:color w:val="auto"/>
        </w:rPr>
        <w:t>Corporate Guarantee, dated February 18, 2016, of GasLog Partners Holdings LLC, as Mortgagee, in favor of DNB Bank ASA, London Branch in connection with the Senior Facility Agreement.</w:t>
      </w:r>
    </w:p>
    <w:p>
      <w:pPr>
        <w:spacing w:after="0" w:line="175" w:lineRule="exact"/>
        <w:rPr>
          <w:rFonts w:ascii="Arial" w:cs="Arial" w:eastAsia="Arial" w:hAnsi="Arial"/>
          <w:sz w:val="21"/>
          <w:szCs w:val="21"/>
          <w:color w:val="auto"/>
        </w:rPr>
      </w:pPr>
    </w:p>
    <w:p>
      <w:pPr>
        <w:ind w:left="686" w:right="20" w:hanging="686"/>
        <w:spacing w:after="0" w:line="239" w:lineRule="auto"/>
        <w:tabs>
          <w:tab w:leader="none" w:pos="662" w:val="left"/>
        </w:tabs>
        <w:numPr>
          <w:ilvl w:val="0"/>
          <w:numId w:val="64"/>
        </w:numPr>
        <w:rPr>
          <w:rFonts w:ascii="Arial" w:cs="Arial" w:eastAsia="Arial" w:hAnsi="Arial"/>
          <w:sz w:val="21"/>
          <w:szCs w:val="21"/>
          <w:color w:val="auto"/>
        </w:rPr>
      </w:pPr>
      <w:r>
        <w:rPr>
          <w:rFonts w:ascii="Arial" w:cs="Arial" w:eastAsia="Arial" w:hAnsi="Arial"/>
          <w:sz w:val="23"/>
          <w:szCs w:val="23"/>
          <w:color w:val="auto"/>
        </w:rPr>
        <w:t>Junior Facility Agreement (the “</w:t>
      </w:r>
      <w:r>
        <w:rPr>
          <w:rFonts w:ascii="Arial" w:cs="Arial" w:eastAsia="Arial" w:hAnsi="Arial"/>
          <w:sz w:val="23"/>
          <w:szCs w:val="23"/>
          <w:u w:val="single" w:color="auto"/>
          <w:color w:val="auto"/>
        </w:rPr>
        <w:t>Junior Facility Agreement</w:t>
      </w:r>
      <w:r>
        <w:rPr>
          <w:rFonts w:ascii="Arial" w:cs="Arial" w:eastAsia="Arial" w:hAnsi="Arial"/>
          <w:sz w:val="23"/>
          <w:szCs w:val="23"/>
          <w:color w:val="auto"/>
        </w:rPr>
        <w:t>”) for $180,000,000,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194" w:lineRule="exact"/>
        <w:rPr>
          <w:rFonts w:ascii="Arial" w:cs="Arial" w:eastAsia="Arial" w:hAnsi="Arial"/>
          <w:sz w:val="21"/>
          <w:szCs w:val="21"/>
          <w:color w:val="auto"/>
        </w:rPr>
      </w:pPr>
    </w:p>
    <w:p>
      <w:pPr>
        <w:ind w:left="686" w:hanging="686"/>
        <w:spacing w:after="0" w:line="257" w:lineRule="auto"/>
        <w:tabs>
          <w:tab w:leader="none" w:pos="697" w:val="left"/>
        </w:tabs>
        <w:numPr>
          <w:ilvl w:val="0"/>
          <w:numId w:val="64"/>
        </w:numPr>
        <w:rPr>
          <w:rFonts w:ascii="Arial" w:cs="Arial" w:eastAsia="Arial" w:hAnsi="Arial"/>
          <w:sz w:val="21"/>
          <w:szCs w:val="21"/>
          <w:color w:val="auto"/>
        </w:rPr>
      </w:pPr>
      <w:r>
        <w:rPr>
          <w:rFonts w:ascii="Arial" w:cs="Arial" w:eastAsia="Arial" w:hAnsi="Arial"/>
          <w:sz w:val="23"/>
          <w:szCs w:val="23"/>
          <w:color w:val="auto"/>
        </w:rPr>
        <w:t>Corporate Guarantee, dated February 18, 2016, of GasLog Partners LP, as Mortgagee, in favor of DNB Bank ASA, London Branch in connection with the Junior Facility Agreement.</w:t>
      </w:r>
    </w:p>
    <w:p>
      <w:pPr>
        <w:spacing w:after="0" w:line="175" w:lineRule="exact"/>
        <w:rPr>
          <w:rFonts w:ascii="Arial" w:cs="Arial" w:eastAsia="Arial" w:hAnsi="Arial"/>
          <w:sz w:val="21"/>
          <w:szCs w:val="21"/>
          <w:color w:val="auto"/>
        </w:rPr>
      </w:pPr>
    </w:p>
    <w:p>
      <w:pPr>
        <w:ind w:left="686" w:hanging="686"/>
        <w:spacing w:after="0" w:line="257" w:lineRule="auto"/>
        <w:tabs>
          <w:tab w:leader="none" w:pos="862" w:val="left"/>
        </w:tabs>
        <w:numPr>
          <w:ilvl w:val="0"/>
          <w:numId w:val="64"/>
        </w:numPr>
        <w:rPr>
          <w:rFonts w:ascii="Arial" w:cs="Arial" w:eastAsia="Arial" w:hAnsi="Arial"/>
          <w:sz w:val="21"/>
          <w:szCs w:val="21"/>
          <w:color w:val="auto"/>
        </w:rPr>
      </w:pPr>
      <w:r>
        <w:rPr>
          <w:rFonts w:ascii="Arial" w:cs="Arial" w:eastAsia="Arial" w:hAnsi="Arial"/>
          <w:sz w:val="23"/>
          <w:szCs w:val="23"/>
          <w:color w:val="auto"/>
        </w:rPr>
        <w:t>Corporate Guarantee, dated February 18, 2016, of GasLog Partners Holdings LLC, as Mortgagee, in favor of DNB Bank ASA, London Branch in connection with the Junior Facility Agreement.</w:t>
      </w:r>
    </w:p>
    <w:p>
      <w:pPr>
        <w:spacing w:after="0" w:line="175" w:lineRule="exact"/>
        <w:rPr>
          <w:rFonts w:ascii="Arial" w:cs="Arial" w:eastAsia="Arial" w:hAnsi="Arial"/>
          <w:sz w:val="21"/>
          <w:szCs w:val="21"/>
          <w:color w:val="auto"/>
        </w:rPr>
      </w:pPr>
    </w:p>
    <w:p>
      <w:pPr>
        <w:ind w:left="686" w:right="60" w:hanging="686"/>
        <w:spacing w:after="0" w:line="239" w:lineRule="auto"/>
        <w:tabs>
          <w:tab w:leader="none" w:pos="662" w:val="left"/>
        </w:tabs>
        <w:numPr>
          <w:ilvl w:val="0"/>
          <w:numId w:val="64"/>
        </w:numPr>
        <w:rPr>
          <w:rFonts w:ascii="Arial" w:cs="Arial" w:eastAsia="Arial" w:hAnsi="Arial"/>
          <w:sz w:val="21"/>
          <w:szCs w:val="21"/>
          <w:color w:val="auto"/>
        </w:rPr>
      </w:pPr>
      <w:r>
        <w:rPr>
          <w:rFonts w:ascii="Arial" w:cs="Arial" w:eastAsia="Arial" w:hAnsi="Arial"/>
          <w:sz w:val="23"/>
          <w:szCs w:val="23"/>
          <w:color w:val="auto"/>
        </w:rPr>
        <w:t>Intercreditor Agreement, dated February 18, 2016, among GAS-eighteen Ltd., GAS-nineteen Ltd., GAS-twenty Ltd., GAS-twenty one Ltd., GAS-twenty seven Ltd., as owners, DNB Bank ASA, London Branch, as agent and trustee for the Senior Finance Parties and Junior Finance Parties thereto, the Senior Lenders described in Schedule 1 thereto, as lenders under the Senior Facility Agreement, and the Junior Lenders described in Schedule 1 thereto, as lenders under the Junior Facility Agreement.</w:t>
      </w:r>
    </w:p>
    <w:p>
      <w:pPr>
        <w:spacing w:after="0" w:line="194" w:lineRule="exact"/>
        <w:rPr>
          <w:rFonts w:ascii="Arial" w:cs="Arial" w:eastAsia="Arial" w:hAnsi="Arial"/>
          <w:sz w:val="21"/>
          <w:szCs w:val="21"/>
          <w:color w:val="auto"/>
        </w:rPr>
      </w:pPr>
    </w:p>
    <w:p>
      <w:pPr>
        <w:ind w:left="686" w:right="100" w:hanging="686"/>
        <w:spacing w:after="0" w:line="262" w:lineRule="auto"/>
        <w:tabs>
          <w:tab w:leader="none" w:pos="662" w:val="left"/>
        </w:tabs>
        <w:numPr>
          <w:ilvl w:val="0"/>
          <w:numId w:val="64"/>
        </w:numPr>
        <w:rPr>
          <w:rFonts w:ascii="Arial" w:cs="Arial" w:eastAsia="Arial" w:hAnsi="Arial"/>
          <w:sz w:val="19"/>
          <w:szCs w:val="19"/>
          <w:color w:val="auto"/>
        </w:rPr>
      </w:pPr>
      <w:r>
        <w:rPr>
          <w:rFonts w:ascii="Arial" w:cs="Arial" w:eastAsia="Arial" w:hAnsi="Arial"/>
          <w:sz w:val="21"/>
          <w:szCs w:val="21"/>
          <w:color w:val="auto"/>
        </w:rPr>
        <w:t>Facility Agreement (the “</w:t>
      </w:r>
      <w:r>
        <w:rPr>
          <w:rFonts w:ascii="Arial" w:cs="Arial" w:eastAsia="Arial" w:hAnsi="Arial"/>
          <w:sz w:val="21"/>
          <w:szCs w:val="21"/>
          <w:u w:val="single" w:color="auto"/>
          <w:color w:val="auto"/>
        </w:rPr>
        <w:t>Parent Facility Agreement</w:t>
      </w:r>
      <w:r>
        <w:rPr>
          <w:rFonts w:ascii="Arial" w:cs="Arial" w:eastAsia="Arial" w:hAnsi="Arial"/>
          <w:sz w:val="21"/>
          <w:szCs w:val="21"/>
          <w:color w:val="auto"/>
        </w:rPr>
        <w:t>”) for $1,050,000,000, dated July 19, 2016, among GAS-one Ltd., GAS-two Ltd., GAS-six Ltd., GAS-seven Ltd., GAS-eight Ltd., GAS-nine Ltd., GAS-ten Ltd., GAS-fifteen Ltd., GasLog Ltd. and GasLog Carriers Ltd., as borrowers, Citigroup Global Markets Limited, Credit Suisse AG, Nordea Bank AB, London Branch, Skandinaviska Enskilda Banken AB (publ), HSBC Bank plc, ING Bank N.V., London Branch, Danmarks Skibskredit A/S and The Korea Development Bank, as mandated lead arrangers, DVB Bank America N.V., as arranger, Nordea Bank AB, London Branch, as agent, Nordea Bank AB, London Branch, as security agent, Citigroup Global Markets Limited, Credit Suisse AG, Nordea Bank AB, London Branch, Skandinaviska Enskilda Banken AB (publ), HSBC Bank plc and ING Bank N.V., London Branch, as bookrunners, Citigroup Global Markets Limited, as global co-</w:t>
      </w:r>
    </w:p>
    <w:p>
      <w:pPr>
        <w:spacing w:after="0" w:line="17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Schedule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646670"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4" w:right="120" w:bottom="1440" w:gutter="0" w:footer="0" w:header="0"/>
        </w:sectPr>
      </w:pPr>
    </w:p>
    <w:bookmarkStart w:id="48" w:name="page49"/>
    <w:bookmarkEnd w:id="48"/>
    <w:p>
      <w:pPr>
        <w:ind w:left="686" w:right="780"/>
        <w:spacing w:after="0" w:line="257" w:lineRule="auto"/>
        <w:rPr>
          <w:sz w:val="20"/>
          <w:szCs w:val="20"/>
          <w:color w:val="auto"/>
        </w:rPr>
      </w:pPr>
      <w:r>
        <w:rPr>
          <w:rFonts w:ascii="Arial" w:cs="Arial" w:eastAsia="Arial" w:hAnsi="Arial"/>
          <w:sz w:val="23"/>
          <w:szCs w:val="23"/>
          <w:color w:val="auto"/>
        </w:rPr>
        <w:t>ordinator, and guaranteed by GasLog Ltd. and GasLog Carriers Ltd. (as supplemented by supplemental deeds dated November 1, 2016, May 25, 2017 and October 18, 2017).</w:t>
      </w:r>
    </w:p>
    <w:p>
      <w:pPr>
        <w:spacing w:after="0" w:line="175" w:lineRule="exact"/>
        <w:rPr>
          <w:sz w:val="20"/>
          <w:szCs w:val="20"/>
          <w:color w:val="auto"/>
        </w:rPr>
      </w:pPr>
    </w:p>
    <w:p>
      <w:pPr>
        <w:ind w:left="686" w:right="180" w:hanging="686"/>
        <w:spacing w:after="0" w:line="245" w:lineRule="auto"/>
        <w:tabs>
          <w:tab w:leader="none" w:pos="662" w:val="left"/>
        </w:tabs>
        <w:numPr>
          <w:ilvl w:val="0"/>
          <w:numId w:val="65"/>
        </w:numPr>
        <w:rPr>
          <w:rFonts w:ascii="Arial" w:cs="Arial" w:eastAsia="Arial" w:hAnsi="Arial"/>
          <w:sz w:val="21"/>
          <w:szCs w:val="21"/>
          <w:color w:val="auto"/>
        </w:rPr>
      </w:pPr>
      <w:r>
        <w:rPr>
          <w:rFonts w:ascii="Arial" w:cs="Arial" w:eastAsia="Arial" w:hAnsi="Arial"/>
          <w:sz w:val="23"/>
          <w:szCs w:val="23"/>
          <w:color w:val="auto"/>
        </w:rPr>
        <w:t>Corporate Guarantee, dated November 1, 2016, of GasLog Partners Holdings LLC, as Guarantor, in favor of Nordea Bank AB, London Branch in connection with the Parent Facility Agreement (as supplemented by supplemental deeds dated May 25, 2017 and October 18, 2017).</w:t>
      </w:r>
    </w:p>
    <w:p>
      <w:pPr>
        <w:spacing w:after="0" w:line="188" w:lineRule="exact"/>
        <w:rPr>
          <w:rFonts w:ascii="Arial" w:cs="Arial" w:eastAsia="Arial" w:hAnsi="Arial"/>
          <w:sz w:val="21"/>
          <w:szCs w:val="21"/>
          <w:color w:val="auto"/>
        </w:rPr>
      </w:pPr>
    </w:p>
    <w:p>
      <w:pPr>
        <w:jc w:val="both"/>
        <w:ind w:left="686" w:right="60" w:hanging="686"/>
        <w:spacing w:after="0" w:line="245" w:lineRule="auto"/>
        <w:tabs>
          <w:tab w:leader="none" w:pos="662" w:val="left"/>
        </w:tabs>
        <w:numPr>
          <w:ilvl w:val="0"/>
          <w:numId w:val="65"/>
        </w:numPr>
        <w:rPr>
          <w:rFonts w:ascii="Arial" w:cs="Arial" w:eastAsia="Arial" w:hAnsi="Arial"/>
          <w:sz w:val="21"/>
          <w:szCs w:val="21"/>
          <w:color w:val="auto"/>
        </w:rPr>
      </w:pPr>
      <w:r>
        <w:rPr>
          <w:rFonts w:ascii="Arial" w:cs="Arial" w:eastAsia="Arial" w:hAnsi="Arial"/>
          <w:sz w:val="23"/>
          <w:szCs w:val="23"/>
          <w:color w:val="auto"/>
        </w:rPr>
        <w:t>Corporate Guarantee, dated November 1, 2016, of GasLog Partners LP, as Guarantor, in favor of Nordea Bank AB, London Branch in connection with the Parent Facility Agreement (as supplemented by supplemental deeds dated May 25, 2017 and October 18, 2017).</w:t>
      </w:r>
    </w:p>
    <w:p>
      <w:pPr>
        <w:spacing w:after="0" w:line="188" w:lineRule="exact"/>
        <w:rPr>
          <w:rFonts w:ascii="Arial" w:cs="Arial" w:eastAsia="Arial" w:hAnsi="Arial"/>
          <w:sz w:val="21"/>
          <w:szCs w:val="21"/>
          <w:color w:val="auto"/>
        </w:rPr>
      </w:pPr>
    </w:p>
    <w:p>
      <w:pPr>
        <w:ind w:left="686" w:right="20" w:hanging="686"/>
        <w:spacing w:after="0" w:line="257" w:lineRule="auto"/>
        <w:tabs>
          <w:tab w:leader="none" w:pos="762" w:val="left"/>
        </w:tabs>
        <w:numPr>
          <w:ilvl w:val="0"/>
          <w:numId w:val="65"/>
        </w:numPr>
        <w:rPr>
          <w:rFonts w:ascii="Arial" w:cs="Arial" w:eastAsia="Arial" w:hAnsi="Arial"/>
          <w:sz w:val="21"/>
          <w:szCs w:val="21"/>
          <w:color w:val="auto"/>
        </w:rPr>
      </w:pPr>
      <w:r>
        <w:rPr>
          <w:rFonts w:ascii="Arial" w:cs="Arial" w:eastAsia="Arial" w:hAnsi="Arial"/>
          <w:sz w:val="23"/>
          <w:szCs w:val="23"/>
          <w:color w:val="auto"/>
        </w:rPr>
        <w:t>Loan Agreement with GasLog Ltd., dated April 3, 2017, relating to a $75,000,000 unsecured term loan and revolving loan facility, between GasLog Partners LP, as borrower, and GasLog Ltd., as lender.</w:t>
      </w:r>
    </w:p>
    <w:p>
      <w:pPr>
        <w:spacing w:after="0" w:line="175" w:lineRule="exact"/>
        <w:rPr>
          <w:rFonts w:ascii="Arial" w:cs="Arial" w:eastAsia="Arial" w:hAnsi="Arial"/>
          <w:sz w:val="21"/>
          <w:szCs w:val="21"/>
          <w:color w:val="auto"/>
        </w:rPr>
      </w:pPr>
    </w:p>
    <w:p>
      <w:pPr>
        <w:jc w:val="both"/>
        <w:ind w:left="686" w:hanging="686"/>
        <w:spacing w:after="0" w:line="289" w:lineRule="auto"/>
        <w:tabs>
          <w:tab w:leader="none" w:pos="947" w:val="left"/>
        </w:tabs>
        <w:numPr>
          <w:ilvl w:val="0"/>
          <w:numId w:val="65"/>
        </w:numPr>
        <w:rPr>
          <w:rFonts w:ascii="Arial" w:cs="Arial" w:eastAsia="Arial" w:hAnsi="Arial"/>
          <w:sz w:val="18"/>
          <w:szCs w:val="18"/>
          <w:color w:val="auto"/>
        </w:rPr>
      </w:pPr>
      <w:r>
        <w:rPr>
          <w:rFonts w:ascii="Arial" w:cs="Arial" w:eastAsia="Arial" w:hAnsi="Arial"/>
          <w:sz w:val="20"/>
          <w:szCs w:val="20"/>
          <w:color w:val="auto"/>
        </w:rPr>
        <w:t>Facility Agreement for $450,000,000, dated February 20, 2019, among GasLog Partners LP, GasLog Partners Holdings LLC, GAS-three Ltd., GAS-four Ltd., GAS-five Ltd., GAS-sixteen Ltd., GAS-seventeen Ltd., as borrowers, Nordea Bank Abp, filial I Norge, as arranger, agent, security agent, bookrunner and original lender, Credit Suisse AG, as arranger, global co-ordinator and original lender and The IyoBank, Ltd. Singapore Branch, as bookrunner and original lender.</w:t>
      </w:r>
    </w:p>
    <w:p>
      <w:pPr>
        <w:spacing w:after="0" w:line="15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Schedule 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646670" cy="31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4" w:right="120" w:bottom="1440" w:gutter="0" w:footer="0" w:header="0"/>
        </w:sectPr>
      </w:pPr>
    </w:p>
    <w:bookmarkStart w:id="49" w:name="page50"/>
    <w:bookmarkEnd w:id="49"/>
    <w:p>
      <w:pPr>
        <w:jc w:val="right"/>
        <w:spacing w:after="0"/>
        <w:rPr>
          <w:sz w:val="20"/>
          <w:szCs w:val="20"/>
          <w:color w:val="auto"/>
        </w:rPr>
      </w:pPr>
      <w:r>
        <w:rPr>
          <w:rFonts w:ascii="Arial" w:cs="Arial" w:eastAsia="Arial" w:hAnsi="Arial"/>
          <w:sz w:val="23"/>
          <w:szCs w:val="23"/>
          <w:b w:val="1"/>
          <w:bCs w:val="1"/>
          <w:u w:val="single" w:color="auto"/>
          <w:color w:val="auto"/>
        </w:rPr>
        <w:t>Annex 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GasLog Partner LP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Common Units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u w:val="single" w:color="auto"/>
          <w:color w:val="auto"/>
        </w:rPr>
        <w:t>TERMS AGREEMENT</w:t>
      </w:r>
    </w:p>
    <w:p>
      <w:pPr>
        <w:spacing w:after="0" w:line="22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23"/>
          <w:szCs w:val="23"/>
          <w:color w:val="auto"/>
        </w:rPr>
        <w:t>[</w:t>
        <w:tab/>
        <w:t>]</w:t>
      </w:r>
    </w:p>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Citigroup Global Markets Inc.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388 Greenwich Street</w:t>
      </w:r>
    </w:p>
    <w:p>
      <w:pPr>
        <w:spacing w:after="0"/>
        <w:rPr>
          <w:sz w:val="20"/>
          <w:szCs w:val="20"/>
          <w:color w:val="auto"/>
        </w:rPr>
      </w:pPr>
      <w:r>
        <w:rPr>
          <w:rFonts w:ascii="Arial" w:cs="Arial" w:eastAsia="Arial" w:hAnsi="Arial"/>
          <w:sz w:val="23"/>
          <w:szCs w:val="23"/>
          <w:color w:val="auto"/>
        </w:rPr>
        <w:t>New York, New York, 10013</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Credit Suisse Securities (USA) LLC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11 Madison Avenue</w:t>
      </w:r>
    </w:p>
    <w:p>
      <w:pPr>
        <w:spacing w:after="0"/>
        <w:rPr>
          <w:sz w:val="20"/>
          <w:szCs w:val="20"/>
          <w:color w:val="auto"/>
        </w:rPr>
      </w:pPr>
      <w:r>
        <w:rPr>
          <w:rFonts w:ascii="Arial" w:cs="Arial" w:eastAsia="Arial" w:hAnsi="Arial"/>
          <w:sz w:val="23"/>
          <w:szCs w:val="23"/>
          <w:color w:val="auto"/>
        </w:rPr>
        <w:t>New York, New York 10010</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Merrill Lynch, Pierce, Fenner &amp; Smith</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23"/>
          <w:szCs w:val="23"/>
          <w:color w:val="auto"/>
        </w:rPr>
        <w:t>Incorporated</w:t>
      </w:r>
    </w:p>
    <w:p>
      <w:pPr>
        <w:spacing w:after="0" w:line="232" w:lineRule="auto"/>
        <w:rPr>
          <w:sz w:val="20"/>
          <w:szCs w:val="20"/>
          <w:color w:val="auto"/>
        </w:rPr>
      </w:pPr>
      <w:r>
        <w:rPr>
          <w:rFonts w:ascii="Arial" w:cs="Arial" w:eastAsia="Arial" w:hAnsi="Arial"/>
          <w:sz w:val="23"/>
          <w:szCs w:val="23"/>
          <w:color w:val="auto"/>
        </w:rPr>
        <w:t>One Bryant Park</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rPr>
        <w:t>New York, New York 10036</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Morgan Stanley &amp; Co. LLC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1585 Broadway</w:t>
      </w:r>
    </w:p>
    <w:p>
      <w:pPr>
        <w:spacing w:after="0"/>
        <w:rPr>
          <w:sz w:val="20"/>
          <w:szCs w:val="20"/>
          <w:color w:val="auto"/>
        </w:rPr>
      </w:pPr>
      <w:r>
        <w:rPr>
          <w:rFonts w:ascii="Arial" w:cs="Arial" w:eastAsia="Arial" w:hAnsi="Arial"/>
          <w:sz w:val="23"/>
          <w:szCs w:val="23"/>
          <w:color w:val="auto"/>
        </w:rPr>
        <w:t>New York, New York 10036</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UBS Securities LLC</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1285 Avenue of the Americas</w:t>
      </w:r>
    </w:p>
    <w:p>
      <w:pPr>
        <w:spacing w:after="0"/>
        <w:rPr>
          <w:sz w:val="20"/>
          <w:szCs w:val="20"/>
          <w:color w:val="auto"/>
        </w:rPr>
      </w:pPr>
      <w:r>
        <w:rPr>
          <w:rFonts w:ascii="Arial" w:cs="Arial" w:eastAsia="Arial" w:hAnsi="Arial"/>
          <w:sz w:val="23"/>
          <w:szCs w:val="23"/>
          <w:color w:val="auto"/>
        </w:rPr>
        <w:t>New York, New York 10019</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Dear Sirs:</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proposes, subject to the terms and conditions stated herein and in the Third Amended and Restated Equity Distribution Agreement, dated February 26, 2019 (the “</w:t>
      </w:r>
      <w:r>
        <w:rPr>
          <w:rFonts w:ascii="Arial" w:cs="Arial" w:eastAsia="Arial" w:hAnsi="Arial"/>
          <w:sz w:val="21"/>
          <w:szCs w:val="21"/>
          <w:u w:val="single" w:color="auto"/>
          <w:color w:val="auto"/>
        </w:rPr>
        <w:t>Equity Distribution Agreement</w:t>
      </w:r>
      <w:r>
        <w:rPr>
          <w:rFonts w:ascii="Arial" w:cs="Arial" w:eastAsia="Arial" w:hAnsi="Arial"/>
          <w:sz w:val="21"/>
          <w:szCs w:val="21"/>
          <w:color w:val="auto"/>
        </w:rPr>
        <w:t>”), between the Partnership, GasLog Partners GP LLC, a limited liability company organized under the laws of the Republic of The Marshall Islands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GasLog Partners Holdings LLC, a limited liability company organized under the laws of the Republic of The Marshall Islands (the “</w:t>
      </w:r>
      <w:r>
        <w:rPr>
          <w:rFonts w:ascii="Arial" w:cs="Arial" w:eastAsia="Arial" w:hAnsi="Arial"/>
          <w:sz w:val="21"/>
          <w:szCs w:val="21"/>
          <w:u w:val="single" w:color="auto"/>
          <w:color w:val="auto"/>
        </w:rPr>
        <w:t>Operating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w:t>
      </w:r>
      <w:r>
        <w:rPr>
          <w:rFonts w:ascii="Arial" w:cs="Arial" w:eastAsia="Arial" w:hAnsi="Arial"/>
          <w:sz w:val="21"/>
          <w:szCs w:val="21"/>
          <w:color w:val="auto"/>
        </w:rPr>
        <w:t>”, and together with the General Partner and the Partnership, the “</w:t>
      </w:r>
      <w:r>
        <w:rPr>
          <w:rFonts w:ascii="Arial" w:cs="Arial" w:eastAsia="Arial" w:hAnsi="Arial"/>
          <w:sz w:val="21"/>
          <w:szCs w:val="21"/>
          <w:u w:val="single" w:color="auto"/>
          <w:color w:val="auto"/>
        </w:rPr>
        <w:t>Partnership Parties</w:t>
      </w:r>
      <w:r>
        <w:rPr>
          <w:rFonts w:ascii="Arial" w:cs="Arial" w:eastAsia="Arial" w:hAnsi="Arial"/>
          <w:sz w:val="21"/>
          <w:szCs w:val="21"/>
          <w:color w:val="auto"/>
        </w:rPr>
        <w:t>”), and Citigroup Global Markets Inc., Credit Suisse Securities (USA) LLC, Merrill Lynch, Pierce, Fenner &amp; Smith Incorporated, Morgan Stanley &amp; Co. LLC and UBS Securities LLC (the “</w:t>
      </w:r>
      <w:r>
        <w:rPr>
          <w:rFonts w:ascii="Arial" w:cs="Arial" w:eastAsia="Arial" w:hAnsi="Arial"/>
          <w:sz w:val="21"/>
          <w:szCs w:val="21"/>
          <w:u w:val="single" w:color="auto"/>
          <w:color w:val="auto"/>
        </w:rPr>
        <w:t>Purchasers</w:t>
      </w:r>
      <w:r>
        <w:rPr>
          <w:rFonts w:ascii="Arial" w:cs="Arial" w:eastAsia="Arial" w:hAnsi="Arial"/>
          <w:sz w:val="21"/>
          <w:szCs w:val="21"/>
          <w:color w:val="auto"/>
        </w:rPr>
        <w:t>”) to issue and sell to the Purchasers the securities specified in Schedule 1 hereto (the “</w:t>
      </w:r>
      <w:r>
        <w:rPr>
          <w:rFonts w:ascii="Arial" w:cs="Arial" w:eastAsia="Arial" w:hAnsi="Arial"/>
          <w:sz w:val="21"/>
          <w:szCs w:val="21"/>
          <w:u w:val="single" w:color="auto"/>
          <w:color w:val="auto"/>
        </w:rPr>
        <w:t>Purchased Units</w:t>
      </w:r>
      <w:r>
        <w:rPr>
          <w:rFonts w:ascii="Arial" w:cs="Arial" w:eastAsia="Arial" w:hAnsi="Arial"/>
          <w:sz w:val="21"/>
          <w:szCs w:val="21"/>
          <w:color w:val="auto"/>
        </w:rPr>
        <w:t>”) [, and solely for the purpose of covering over-allotments, to grant to the Purchasers the option to purchase the additional securities specified in the Schedule 1 hereto (the “</w:t>
      </w:r>
      <w:r>
        <w:rPr>
          <w:rFonts w:ascii="Arial" w:cs="Arial" w:eastAsia="Arial" w:hAnsi="Arial"/>
          <w:sz w:val="21"/>
          <w:szCs w:val="21"/>
          <w:u w:val="single" w:color="auto"/>
          <w:color w:val="auto"/>
        </w:rPr>
        <w:t>Additional Units</w:t>
      </w:r>
      <w:r>
        <w:rPr>
          <w:rFonts w:ascii="Arial" w:cs="Arial" w:eastAsia="Arial" w:hAnsi="Arial"/>
          <w:sz w:val="21"/>
          <w:szCs w:val="2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646670" cy="31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198" w:right="120" w:bottom="1440" w:gutter="0" w:footer="0" w:header="0"/>
        </w:sectPr>
      </w:pPr>
    </w:p>
    <w:bookmarkStart w:id="50" w:name="page51"/>
    <w:bookmarkEnd w:id="50"/>
    <w:p>
      <w:pPr>
        <w:jc w:val="both"/>
        <w:spacing w:after="0" w:line="274" w:lineRule="auto"/>
        <w:rPr>
          <w:sz w:val="20"/>
          <w:szCs w:val="20"/>
          <w:color w:val="auto"/>
        </w:rPr>
      </w:pPr>
      <w:r>
        <w:rPr>
          <w:rFonts w:ascii="Arial" w:cs="Arial" w:eastAsia="Arial" w:hAnsi="Arial"/>
          <w:sz w:val="20"/>
          <w:szCs w:val="20"/>
          <w:color w:val="auto"/>
        </w:rPr>
        <w:t>[The Purchasers shall have the right to purchase from the Partnership all or a portion of the Additional Units as may be necessary to cover over-allotments made in connection with the offering of the Purchased Units, at the same purchase price per share to be paid by the Purchasers to the Partnership for the Purchased Units. This option may be exercised by the Purchasers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Arial" w:cs="Arial" w:eastAsia="Arial" w:hAnsi="Arial"/>
          <w:sz w:val="20"/>
          <w:szCs w:val="20"/>
          <w:u w:val="single" w:color="auto"/>
          <w:color w:val="auto"/>
        </w:rPr>
        <w:t>Option Closing Date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Option Closing Date shall not be earlier than the Time of Delivery (as set forth in the Schedule 1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Each of the provisions of the Equity Distribution Agreement not specifically related to the solicitation by the Purchasers, as agents of the Partnership Parties,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23"/>
          <w:szCs w:val="23"/>
          <w:color w:val="auto"/>
        </w:rPr>
        <w:t>An amendment to the Registration Statement (as defined in the Equity Distribution Agreement), or a supplement to the Prospectus, as the case may be, relating to the Purchased Units [and the Additional Units], in the form heretofore delivered to the Purchasers is now proposed to be filed with the Securities and Exchange Commission.</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Subject to the terms and conditions set forth herein and in the Equity Distribution Agreement which are incorporated herein by reference, the Partnership Parties agrees to issue and sell to the Purchasers and the latter agree to purchase from the Partnership Parties the number of the Purchased Units at the time and place and at the purchase price set forth in the Schedule 1 hereto.</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rPr>
        <w:t>Capitalized terms used but not defined herein shall have the meaning ascribed to them in the Equity Distribution Agreement.</w:t>
      </w:r>
    </w:p>
    <w:p>
      <w:pPr>
        <w:spacing w:after="0" w:line="243" w:lineRule="exact"/>
        <w:rPr>
          <w:sz w:val="20"/>
          <w:szCs w:val="20"/>
          <w:color w:val="auto"/>
        </w:rPr>
      </w:pPr>
    </w:p>
    <w:p>
      <w:pPr>
        <w:ind w:left="4880"/>
        <w:spacing w:after="0"/>
        <w:rPr>
          <w:sz w:val="20"/>
          <w:szCs w:val="20"/>
          <w:color w:val="auto"/>
        </w:rPr>
      </w:pPr>
      <w:r>
        <w:rPr>
          <w:rFonts w:ascii="Arial" w:cs="Arial" w:eastAsia="Arial" w:hAnsi="Arial"/>
          <w:sz w:val="23"/>
          <w:szCs w:val="23"/>
          <w:color w:val="auto"/>
        </w:rPr>
        <w:t>[</w:t>
      </w:r>
      <w:r>
        <w:rPr>
          <w:rFonts w:ascii="Arial" w:cs="Arial" w:eastAsia="Arial" w:hAnsi="Arial"/>
          <w:sz w:val="23"/>
          <w:szCs w:val="23"/>
          <w:i w:val="1"/>
          <w:iCs w:val="1"/>
          <w:color w:val="auto"/>
        </w:rPr>
        <w:t>Signature pages follow</w:t>
      </w:r>
      <w:r>
        <w:rPr>
          <w:rFonts w:ascii="Arial" w:cs="Arial" w:eastAsia="Arial" w:hAnsi="Arial"/>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646670" cy="31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51" w:name="page52"/>
    <w:bookmarkEnd w:id="51"/>
    <w:p>
      <w:pPr>
        <w:jc w:val="both"/>
        <w:spacing w:after="0" w:line="245" w:lineRule="auto"/>
        <w:rPr>
          <w:sz w:val="20"/>
          <w:szCs w:val="20"/>
          <w:color w:val="auto"/>
        </w:rPr>
      </w:pPr>
      <w:r>
        <w:rPr>
          <w:rFonts w:ascii="Arial" w:cs="Arial" w:eastAsia="Arial" w:hAnsi="Arial"/>
          <w:sz w:val="23"/>
          <w:szCs w:val="23"/>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Purchasers and the Partnership Parties.</w:t>
      </w:r>
    </w:p>
    <w:p>
      <w:pPr>
        <w:spacing w:after="0" w:line="188"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GasLog Partners GP LLC</w:t>
      </w:r>
    </w:p>
    <w:p>
      <w:pPr>
        <w:spacing w:after="0" w:line="249"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By: GasLog Ltd., as sole member</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Arial" w:cs="Arial" w:eastAsia="Arial" w:hAnsi="Arial"/>
          <w:sz w:val="23"/>
          <w:szCs w:val="23"/>
          <w:color w:val="auto"/>
        </w:rPr>
        <w:t>By:</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23"/>
          <w:szCs w:val="23"/>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-160020</wp:posOffset>
            </wp:positionV>
            <wp:extent cx="3531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23"/>
          <w:szCs w:val="23"/>
          <w:color w:val="auto"/>
        </w:rPr>
        <w:t>Title:  Chief Executive Officer</w:t>
      </w:r>
    </w:p>
    <w:p>
      <w:pPr>
        <w:spacing w:after="0" w:line="200" w:lineRule="exact"/>
        <w:rPr>
          <w:sz w:val="20"/>
          <w:szCs w:val="20"/>
          <w:color w:val="auto"/>
        </w:rPr>
      </w:pPr>
    </w:p>
    <w:p>
      <w:pPr>
        <w:spacing w:after="0" w:line="286"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GasLog Partners LP</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Arial" w:cs="Arial" w:eastAsia="Arial" w:hAnsi="Arial"/>
          <w:sz w:val="23"/>
          <w:szCs w:val="23"/>
          <w:color w:val="auto"/>
        </w:rPr>
        <w:t>By:</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23"/>
          <w:szCs w:val="23"/>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-160020</wp:posOffset>
            </wp:positionV>
            <wp:extent cx="3531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23"/>
          <w:szCs w:val="23"/>
          <w:color w:val="auto"/>
        </w:rPr>
        <w:t>Title:  Chief Executive Officer</w:t>
      </w:r>
    </w:p>
    <w:p>
      <w:pPr>
        <w:spacing w:after="0" w:line="200" w:lineRule="exact"/>
        <w:rPr>
          <w:sz w:val="20"/>
          <w:szCs w:val="20"/>
          <w:color w:val="auto"/>
        </w:rPr>
      </w:pPr>
    </w:p>
    <w:p>
      <w:pPr>
        <w:spacing w:after="0" w:line="286"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GasLog Partners Holdings LLC</w:t>
      </w:r>
    </w:p>
    <w:p>
      <w:pPr>
        <w:spacing w:after="0" w:line="249" w:lineRule="exact"/>
        <w:rPr>
          <w:sz w:val="20"/>
          <w:szCs w:val="20"/>
          <w:color w:val="auto"/>
        </w:rPr>
      </w:pPr>
    </w:p>
    <w:p>
      <w:pPr>
        <w:ind w:left="6020"/>
        <w:spacing w:after="0"/>
        <w:rPr>
          <w:sz w:val="20"/>
          <w:szCs w:val="20"/>
          <w:color w:val="auto"/>
        </w:rPr>
      </w:pPr>
      <w:r>
        <w:rPr>
          <w:rFonts w:ascii="Arial" w:cs="Arial" w:eastAsia="Arial" w:hAnsi="Arial"/>
          <w:sz w:val="23"/>
          <w:szCs w:val="23"/>
          <w:color w:val="auto"/>
        </w:rPr>
        <w:t>By: GasLog Partners LP, as sole member</w:t>
      </w: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Arial" w:cs="Arial" w:eastAsia="Arial" w:hAnsi="Arial"/>
          <w:sz w:val="23"/>
          <w:szCs w:val="23"/>
          <w:color w:val="auto"/>
        </w:rPr>
        <w:t>By:</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23"/>
          <w:szCs w:val="23"/>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-160020</wp:posOffset>
            </wp:positionV>
            <wp:extent cx="3531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23"/>
          <w:szCs w:val="23"/>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646670" cy="31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52" w:name="page53"/>
    <w:bookmarkEnd w:id="52"/>
    <w:p>
      <w:pPr>
        <w:spacing w:after="0"/>
        <w:rPr>
          <w:sz w:val="20"/>
          <w:szCs w:val="20"/>
          <w:color w:val="auto"/>
        </w:rPr>
      </w:pPr>
      <w:r>
        <w:rPr>
          <w:rFonts w:ascii="Arial" w:cs="Arial" w:eastAsia="Arial" w:hAnsi="Arial"/>
          <w:sz w:val="23"/>
          <w:szCs w:val="23"/>
          <w:color w:val="auto"/>
        </w:rPr>
        <w:t>ACCEPTED as of the date</w:t>
      </w:r>
    </w:p>
    <w:p>
      <w:pPr>
        <w:spacing w:after="0" w:line="12" w:lineRule="exact"/>
        <w:rPr>
          <w:sz w:val="20"/>
          <w:szCs w:val="20"/>
          <w:color w:val="auto"/>
        </w:rPr>
      </w:pPr>
    </w:p>
    <w:p>
      <w:pPr>
        <w:spacing w:after="0"/>
        <w:rPr>
          <w:sz w:val="20"/>
          <w:szCs w:val="20"/>
          <w:color w:val="auto"/>
        </w:rPr>
      </w:pPr>
      <w:r>
        <w:rPr>
          <w:rFonts w:ascii="Arial" w:cs="Arial" w:eastAsia="Arial" w:hAnsi="Arial"/>
          <w:sz w:val="23"/>
          <w:szCs w:val="23"/>
          <w:color w:val="auto"/>
        </w:rPr>
        <w:t>first written above.</w:t>
      </w:r>
    </w:p>
    <w:p>
      <w:pPr>
        <w:spacing w:after="0" w:line="229" w:lineRule="exact"/>
        <w:rPr>
          <w:sz w:val="20"/>
          <w:szCs w:val="20"/>
          <w:color w:val="auto"/>
        </w:rPr>
      </w:pPr>
    </w:p>
    <w:p>
      <w:pPr>
        <w:spacing w:after="0"/>
        <w:rPr>
          <w:sz w:val="20"/>
          <w:szCs w:val="20"/>
          <w:color w:val="auto"/>
        </w:rPr>
      </w:pPr>
      <w:r>
        <w:rPr>
          <w:rFonts w:ascii="Arial" w:cs="Arial" w:eastAsia="Arial" w:hAnsi="Arial"/>
          <w:sz w:val="23"/>
          <w:szCs w:val="23"/>
          <w:color w:val="auto"/>
        </w:rPr>
        <w:t>Citigroup Global Markets Inc.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3413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4137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23"/>
          <w:szCs w:val="23"/>
          <w:color w:val="auto"/>
        </w:rPr>
        <w:t>Name:</w:t>
      </w:r>
    </w:p>
    <w:p>
      <w:pPr>
        <w:ind w:left="760"/>
        <w:spacing w:after="0"/>
        <w:rPr>
          <w:sz w:val="20"/>
          <w:szCs w:val="20"/>
          <w:color w:val="auto"/>
        </w:rPr>
      </w:pPr>
      <w:r>
        <w:rPr>
          <w:rFonts w:ascii="Arial" w:cs="Arial" w:eastAsia="Arial" w:hAnsi="Arial"/>
          <w:sz w:val="23"/>
          <w:szCs w:val="23"/>
          <w:color w:val="auto"/>
        </w:rPr>
        <w:t>Title: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auto"/>
        </w:rPr>
        <w:t>Credit Suisse Securities (USA) LLC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3413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137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23"/>
          <w:szCs w:val="23"/>
          <w:color w:val="auto"/>
        </w:rPr>
        <w:t>Name:</w:t>
      </w:r>
    </w:p>
    <w:p>
      <w:pPr>
        <w:ind w:left="760"/>
        <w:spacing w:after="0"/>
        <w:rPr>
          <w:sz w:val="20"/>
          <w:szCs w:val="20"/>
          <w:color w:val="auto"/>
        </w:rPr>
      </w:pPr>
      <w:r>
        <w:rPr>
          <w:rFonts w:ascii="Arial" w:cs="Arial" w:eastAsia="Arial" w:hAnsi="Arial"/>
          <w:sz w:val="23"/>
          <w:szCs w:val="23"/>
          <w:color w:val="auto"/>
        </w:rPr>
        <w:t>Title:</w:t>
      </w:r>
    </w:p>
    <w:p>
      <w:pPr>
        <w:spacing w:after="0" w:line="200" w:lineRule="exact"/>
        <w:rPr>
          <w:sz w:val="20"/>
          <w:szCs w:val="20"/>
          <w:color w:val="auto"/>
        </w:rPr>
      </w:pPr>
    </w:p>
    <w:p>
      <w:pPr>
        <w:spacing w:after="0" w:line="286" w:lineRule="exact"/>
        <w:rPr>
          <w:sz w:val="20"/>
          <w:szCs w:val="20"/>
          <w:color w:val="auto"/>
        </w:rPr>
      </w:pPr>
    </w:p>
    <w:p>
      <w:pPr>
        <w:jc w:val="center"/>
        <w:ind w:right="7140"/>
        <w:spacing w:after="0"/>
        <w:rPr>
          <w:sz w:val="20"/>
          <w:szCs w:val="20"/>
          <w:color w:val="auto"/>
        </w:rPr>
      </w:pPr>
      <w:r>
        <w:rPr>
          <w:rFonts w:ascii="Arial" w:cs="Arial" w:eastAsia="Arial" w:hAnsi="Arial"/>
          <w:sz w:val="21"/>
          <w:szCs w:val="21"/>
          <w:color w:val="auto"/>
        </w:rPr>
        <w:t>Merrill Lynch, Pierce, Fenner &amp; Smith</w:t>
      </w:r>
    </w:p>
    <w:p>
      <w:pPr>
        <w:spacing w:after="0" w:line="35" w:lineRule="exact"/>
        <w:rPr>
          <w:sz w:val="20"/>
          <w:szCs w:val="20"/>
          <w:color w:val="auto"/>
        </w:rPr>
      </w:pPr>
    </w:p>
    <w:p>
      <w:pPr>
        <w:jc w:val="center"/>
        <w:ind w:right="7160"/>
        <w:spacing w:after="0"/>
        <w:rPr>
          <w:sz w:val="20"/>
          <w:szCs w:val="20"/>
          <w:color w:val="auto"/>
        </w:rPr>
      </w:pPr>
      <w:r>
        <w:rPr>
          <w:rFonts w:ascii="Arial" w:cs="Arial" w:eastAsia="Arial" w:hAnsi="Arial"/>
          <w:sz w:val="23"/>
          <w:szCs w:val="23"/>
          <w:color w:val="auto"/>
        </w:rPr>
        <w:t>Incorporated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3413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137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23"/>
          <w:szCs w:val="23"/>
          <w:color w:val="auto"/>
        </w:rPr>
        <w:t>Name:</w:t>
      </w:r>
    </w:p>
    <w:p>
      <w:pPr>
        <w:ind w:left="760"/>
        <w:spacing w:after="0"/>
        <w:rPr>
          <w:sz w:val="20"/>
          <w:szCs w:val="20"/>
          <w:color w:val="auto"/>
        </w:rPr>
      </w:pPr>
      <w:r>
        <w:rPr>
          <w:rFonts w:ascii="Arial" w:cs="Arial" w:eastAsia="Arial" w:hAnsi="Arial"/>
          <w:sz w:val="23"/>
          <w:szCs w:val="23"/>
          <w:color w:val="auto"/>
        </w:rPr>
        <w:t>Title: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auto"/>
        </w:rPr>
        <w:t>Morgan Stanley &amp; Co. LLC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3413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137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23"/>
          <w:szCs w:val="23"/>
          <w:color w:val="auto"/>
        </w:rPr>
        <w:t>Name:</w:t>
      </w:r>
    </w:p>
    <w:p>
      <w:pPr>
        <w:ind w:left="760"/>
        <w:spacing w:after="0"/>
        <w:rPr>
          <w:sz w:val="20"/>
          <w:szCs w:val="20"/>
          <w:color w:val="auto"/>
        </w:rPr>
      </w:pPr>
      <w:r>
        <w:rPr>
          <w:rFonts w:ascii="Arial" w:cs="Arial" w:eastAsia="Arial" w:hAnsi="Arial"/>
          <w:sz w:val="23"/>
          <w:szCs w:val="23"/>
          <w:color w:val="auto"/>
        </w:rPr>
        <w:t>Title: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auto"/>
        </w:rPr>
        <w:t>UBS Securities LLC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3413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4137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23"/>
          <w:szCs w:val="23"/>
          <w:color w:val="auto"/>
        </w:rPr>
        <w:t>Name:</w:t>
      </w:r>
    </w:p>
    <w:p>
      <w:pPr>
        <w:ind w:left="760"/>
        <w:spacing w:after="0"/>
        <w:rPr>
          <w:sz w:val="20"/>
          <w:szCs w:val="20"/>
          <w:color w:val="auto"/>
        </w:rPr>
      </w:pPr>
      <w:r>
        <w:rPr>
          <w:rFonts w:ascii="Arial" w:cs="Arial" w:eastAsia="Arial" w:hAnsi="Arial"/>
          <w:sz w:val="23"/>
          <w:szCs w:val="23"/>
          <w:color w:val="auto"/>
        </w:rPr>
        <w:t>Title: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3413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4137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23"/>
          <w:szCs w:val="23"/>
          <w:color w:val="auto"/>
        </w:rPr>
        <w:t>Name:</w:t>
      </w:r>
    </w:p>
    <w:p>
      <w:pPr>
        <w:ind w:left="760"/>
        <w:spacing w:after="0"/>
        <w:rPr>
          <w:sz w:val="20"/>
          <w:szCs w:val="20"/>
          <w:color w:val="auto"/>
        </w:rPr>
      </w:pPr>
      <w:r>
        <w:rPr>
          <w:rFonts w:ascii="Arial" w:cs="Arial" w:eastAsia="Arial" w:hAnsi="Arial"/>
          <w:sz w:val="23"/>
          <w:szCs w:val="23"/>
          <w:color w:val="auto"/>
        </w:rPr>
        <w:t>Title:</w:t>
      </w:r>
    </w:p>
    <w:p>
      <w:pPr>
        <w:spacing w:after="0" w:line="205" w:lineRule="exact"/>
        <w:rPr>
          <w:sz w:val="20"/>
          <w:szCs w:val="20"/>
          <w:color w:val="auto"/>
        </w:rPr>
      </w:pPr>
    </w:p>
    <w:p>
      <w:pPr>
        <w:jc w:val="right"/>
        <w:ind w:right="4380"/>
        <w:spacing w:after="0"/>
        <w:rPr>
          <w:sz w:val="20"/>
          <w:szCs w:val="20"/>
          <w:color w:val="auto"/>
        </w:rPr>
      </w:pPr>
      <w:r>
        <w:rPr>
          <w:rFonts w:ascii="Arial" w:cs="Arial" w:eastAsia="Arial" w:hAnsi="Arial"/>
          <w:sz w:val="15"/>
          <w:szCs w:val="15"/>
          <w:color w:val="auto"/>
        </w:rPr>
        <w:t>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646670" cy="31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204"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23"/>
          <w:szCs w:val="23"/>
          <w:b w:val="1"/>
          <w:bCs w:val="1"/>
          <w:color w:val="auto"/>
        </w:rPr>
        <w:t>Schedule 1 to Terms Agreement</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color w:val="auto"/>
        </w:rPr>
        <w:t>Title of Purchased Units [and Additional Units]:</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23"/>
          <w:szCs w:val="23"/>
          <w:color w:val="auto"/>
        </w:rPr>
        <w:t>Common Stock</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Number of Purchased Units:</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[Number of Additional Units:]</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[Price to Public:]</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Purchase Price by Purchasers:</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Method of and Specified Funds for Payment of Purchase Price:</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3"/>
          <w:szCs w:val="23"/>
          <w:color w:val="auto"/>
        </w:rPr>
        <w:t>By wire transfer to a bank account specified by the Company in same day funds.</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Method of Delivery:</w:t>
      </w:r>
    </w:p>
    <w:p>
      <w:pPr>
        <w:spacing w:after="0" w:line="92" w:lineRule="exact"/>
        <w:rPr>
          <w:sz w:val="20"/>
          <w:szCs w:val="20"/>
          <w:color w:val="auto"/>
        </w:rPr>
      </w:pPr>
    </w:p>
    <w:p>
      <w:pPr>
        <w:ind w:left="1300" w:right="40"/>
        <w:spacing w:after="0" w:line="257" w:lineRule="auto"/>
        <w:rPr>
          <w:sz w:val="20"/>
          <w:szCs w:val="20"/>
          <w:color w:val="auto"/>
        </w:rPr>
      </w:pPr>
      <w:r>
        <w:rPr>
          <w:rFonts w:ascii="Arial" w:cs="Arial" w:eastAsia="Arial" w:hAnsi="Arial"/>
          <w:sz w:val="23"/>
          <w:szCs w:val="23"/>
          <w:color w:val="auto"/>
        </w:rPr>
        <w:t>Free delivery of the Units to the Purchasers’ accounts at The Depository Trust Company in return for payment of the purchase price.</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color w:val="auto"/>
        </w:rPr>
        <w:t>Time of Delivery:</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Closing Location:</w:t>
      </w:r>
    </w:p>
    <w:p>
      <w:pPr>
        <w:spacing w:after="0" w:line="92" w:lineRule="exact"/>
        <w:rPr>
          <w:sz w:val="20"/>
          <w:szCs w:val="20"/>
          <w:color w:val="auto"/>
        </w:rPr>
      </w:pPr>
    </w:p>
    <w:p>
      <w:pPr>
        <w:spacing w:after="0"/>
        <w:rPr>
          <w:sz w:val="20"/>
          <w:szCs w:val="20"/>
          <w:color w:val="auto"/>
        </w:rPr>
      </w:pPr>
      <w:r>
        <w:rPr>
          <w:rFonts w:ascii="Arial" w:cs="Arial" w:eastAsia="Arial" w:hAnsi="Arial"/>
          <w:sz w:val="23"/>
          <w:szCs w:val="23"/>
          <w:color w:val="auto"/>
        </w:rPr>
        <w:t>Documents to be Delivered:</w:t>
      </w:r>
    </w:p>
    <w:p>
      <w:pPr>
        <w:spacing w:after="0" w:line="92" w:lineRule="exact"/>
        <w:rPr>
          <w:sz w:val="20"/>
          <w:szCs w:val="20"/>
          <w:color w:val="auto"/>
        </w:rPr>
      </w:pPr>
    </w:p>
    <w:p>
      <w:pPr>
        <w:ind w:left="1300" w:right="320"/>
        <w:spacing w:after="0" w:line="257" w:lineRule="auto"/>
        <w:rPr>
          <w:sz w:val="20"/>
          <w:szCs w:val="20"/>
          <w:color w:val="auto"/>
        </w:rPr>
      </w:pPr>
      <w:r>
        <w:rPr>
          <w:rFonts w:ascii="Arial" w:cs="Arial" w:eastAsia="Arial" w:hAnsi="Arial"/>
          <w:sz w:val="23"/>
          <w:szCs w:val="23"/>
          <w:color w:val="auto"/>
        </w:rPr>
        <w:t>The following documents referred to in the Equity Distribution Agreement shall be delivered as a condition to the closing at the Time of Delivery [and on any Option Closing Date]:</w:t>
      </w:r>
    </w:p>
    <w:p>
      <w:pPr>
        <w:spacing w:after="0" w:line="47" w:lineRule="exact"/>
        <w:rPr>
          <w:sz w:val="20"/>
          <w:szCs w:val="20"/>
          <w:color w:val="auto"/>
        </w:rPr>
      </w:pPr>
    </w:p>
    <w:p>
      <w:pPr>
        <w:ind w:left="1620" w:hanging="325"/>
        <w:spacing w:after="0"/>
        <w:tabs>
          <w:tab w:leader="none" w:pos="1620" w:val="left"/>
        </w:tabs>
        <w:numPr>
          <w:ilvl w:val="0"/>
          <w:numId w:val="66"/>
        </w:numPr>
        <w:rPr>
          <w:rFonts w:ascii="Arial" w:cs="Arial" w:eastAsia="Arial" w:hAnsi="Arial"/>
          <w:sz w:val="23"/>
          <w:szCs w:val="23"/>
          <w:color w:val="auto"/>
        </w:rPr>
      </w:pPr>
      <w:r>
        <w:rPr>
          <w:rFonts w:ascii="Arial" w:cs="Arial" w:eastAsia="Arial" w:hAnsi="Arial"/>
          <w:sz w:val="23"/>
          <w:szCs w:val="23"/>
          <w:color w:val="auto"/>
        </w:rPr>
        <w:t>The opinions referred to in Sections 4(l)-4(m).</w:t>
      </w:r>
    </w:p>
    <w:p>
      <w:pPr>
        <w:spacing w:after="0" w:line="92" w:lineRule="exact"/>
        <w:rPr>
          <w:rFonts w:ascii="Arial" w:cs="Arial" w:eastAsia="Arial" w:hAnsi="Arial"/>
          <w:sz w:val="23"/>
          <w:szCs w:val="23"/>
          <w:color w:val="auto"/>
        </w:rPr>
      </w:pPr>
    </w:p>
    <w:p>
      <w:pPr>
        <w:ind w:left="1620" w:hanging="325"/>
        <w:spacing w:after="0"/>
        <w:tabs>
          <w:tab w:leader="none" w:pos="1620" w:val="left"/>
        </w:tabs>
        <w:numPr>
          <w:ilvl w:val="0"/>
          <w:numId w:val="66"/>
        </w:numPr>
        <w:rPr>
          <w:rFonts w:ascii="Arial" w:cs="Arial" w:eastAsia="Arial" w:hAnsi="Arial"/>
          <w:sz w:val="23"/>
          <w:szCs w:val="23"/>
          <w:color w:val="auto"/>
        </w:rPr>
      </w:pPr>
      <w:r>
        <w:rPr>
          <w:rFonts w:ascii="Arial" w:cs="Arial" w:eastAsia="Arial" w:hAnsi="Arial"/>
          <w:sz w:val="23"/>
          <w:szCs w:val="23"/>
          <w:color w:val="auto"/>
        </w:rPr>
        <w:t>The opinion referred to in Section 4(p).</w:t>
      </w:r>
    </w:p>
    <w:p>
      <w:pPr>
        <w:spacing w:after="0" w:line="92" w:lineRule="exact"/>
        <w:rPr>
          <w:rFonts w:ascii="Arial" w:cs="Arial" w:eastAsia="Arial" w:hAnsi="Arial"/>
          <w:sz w:val="23"/>
          <w:szCs w:val="23"/>
          <w:color w:val="auto"/>
        </w:rPr>
      </w:pPr>
    </w:p>
    <w:p>
      <w:pPr>
        <w:ind w:left="1620" w:hanging="325"/>
        <w:spacing w:after="0"/>
        <w:tabs>
          <w:tab w:leader="none" w:pos="1620" w:val="left"/>
        </w:tabs>
        <w:numPr>
          <w:ilvl w:val="0"/>
          <w:numId w:val="66"/>
        </w:numPr>
        <w:rPr>
          <w:rFonts w:ascii="Arial" w:cs="Arial" w:eastAsia="Arial" w:hAnsi="Arial"/>
          <w:sz w:val="23"/>
          <w:szCs w:val="23"/>
          <w:color w:val="auto"/>
        </w:rPr>
      </w:pPr>
      <w:r>
        <w:rPr>
          <w:rFonts w:ascii="Arial" w:cs="Arial" w:eastAsia="Arial" w:hAnsi="Arial"/>
          <w:sz w:val="23"/>
          <w:szCs w:val="23"/>
          <w:color w:val="auto"/>
        </w:rPr>
        <w:t>The accountant’s letter referred to in Section 4(q).</w:t>
      </w:r>
    </w:p>
    <w:p>
      <w:pPr>
        <w:spacing w:after="0" w:line="92" w:lineRule="exact"/>
        <w:rPr>
          <w:rFonts w:ascii="Arial" w:cs="Arial" w:eastAsia="Arial" w:hAnsi="Arial"/>
          <w:sz w:val="23"/>
          <w:szCs w:val="23"/>
          <w:color w:val="auto"/>
        </w:rPr>
      </w:pPr>
    </w:p>
    <w:p>
      <w:pPr>
        <w:ind w:left="1620" w:hanging="325"/>
        <w:spacing w:after="0"/>
        <w:tabs>
          <w:tab w:leader="none" w:pos="1620" w:val="left"/>
        </w:tabs>
        <w:numPr>
          <w:ilvl w:val="0"/>
          <w:numId w:val="66"/>
        </w:numPr>
        <w:rPr>
          <w:rFonts w:ascii="Arial" w:cs="Arial" w:eastAsia="Arial" w:hAnsi="Arial"/>
          <w:sz w:val="23"/>
          <w:szCs w:val="23"/>
          <w:color w:val="auto"/>
        </w:rPr>
      </w:pPr>
      <w:r>
        <w:rPr>
          <w:rFonts w:ascii="Arial" w:cs="Arial" w:eastAsia="Arial" w:hAnsi="Arial"/>
          <w:sz w:val="23"/>
          <w:szCs w:val="23"/>
          <w:color w:val="auto"/>
        </w:rPr>
        <w:t>The officers’ certificate referred to in Section 4(k).</w:t>
      </w:r>
    </w:p>
    <w:p>
      <w:pPr>
        <w:spacing w:after="0" w:line="92" w:lineRule="exact"/>
        <w:rPr>
          <w:rFonts w:ascii="Arial" w:cs="Arial" w:eastAsia="Arial" w:hAnsi="Arial"/>
          <w:sz w:val="23"/>
          <w:szCs w:val="23"/>
          <w:color w:val="auto"/>
        </w:rPr>
      </w:pPr>
    </w:p>
    <w:p>
      <w:pPr>
        <w:ind w:left="1620" w:hanging="325"/>
        <w:spacing w:after="0"/>
        <w:tabs>
          <w:tab w:leader="none" w:pos="1620" w:val="left"/>
        </w:tabs>
        <w:numPr>
          <w:ilvl w:val="0"/>
          <w:numId w:val="66"/>
        </w:numPr>
        <w:rPr>
          <w:rFonts w:ascii="Arial" w:cs="Arial" w:eastAsia="Arial" w:hAnsi="Arial"/>
          <w:sz w:val="23"/>
          <w:szCs w:val="23"/>
          <w:color w:val="auto"/>
        </w:rPr>
      </w:pPr>
      <w:r>
        <w:rPr>
          <w:rFonts w:ascii="Arial" w:cs="Arial" w:eastAsia="Arial" w:hAnsi="Arial"/>
          <w:sz w:val="23"/>
          <w:szCs w:val="23"/>
          <w:color w:val="auto"/>
        </w:rPr>
        <w:t>Such other documents as the Manager shall reasonably request.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646670" cy="31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198" w:right="120" w:bottom="1440" w:gutter="0" w:footer="0" w:header="0"/>
        </w:sectPr>
      </w:pPr>
    </w:p>
    <w:bookmarkStart w:id="54" w:name="page55"/>
    <w:bookmarkEnd w:id="54"/>
    <w:p>
      <w:pPr>
        <w:ind w:left="11146"/>
        <w:spacing w:after="0"/>
        <w:rPr>
          <w:sz w:val="20"/>
          <w:szCs w:val="20"/>
          <w:color w:val="auto"/>
        </w:rPr>
      </w:pPr>
      <w:r>
        <w:rPr>
          <w:rFonts w:ascii="Arial" w:cs="Arial" w:eastAsia="Arial" w:hAnsi="Arial"/>
          <w:sz w:val="22"/>
          <w:szCs w:val="22"/>
          <w:b w:val="1"/>
          <w:bCs w:val="1"/>
          <w:u w:val="single" w:color="auto"/>
          <w:color w:val="auto"/>
        </w:rPr>
        <w:t>Annex II</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23"/>
          <w:szCs w:val="23"/>
          <w:u w:val="single" w:color="auto"/>
          <w:color w:val="auto"/>
        </w:rPr>
        <w:t>MATTERS TO BE COVERED BY U.S. COUNSEL OPINION</w:t>
      </w:r>
    </w:p>
    <w:p>
      <w:pPr>
        <w:spacing w:after="0" w:line="249" w:lineRule="exact"/>
        <w:rPr>
          <w:sz w:val="20"/>
          <w:szCs w:val="20"/>
          <w:color w:val="auto"/>
        </w:rPr>
      </w:pPr>
    </w:p>
    <w:p>
      <w:pPr>
        <w:jc w:val="both"/>
        <w:ind w:left="686" w:hanging="686"/>
        <w:spacing w:after="0" w:line="299" w:lineRule="auto"/>
        <w:tabs>
          <w:tab w:leader="none" w:pos="942" w:val="left"/>
        </w:tabs>
        <w:numPr>
          <w:ilvl w:val="0"/>
          <w:numId w:val="67"/>
        </w:numPr>
        <w:rPr>
          <w:rFonts w:ascii="Arial" w:cs="Arial" w:eastAsia="Arial" w:hAnsi="Arial"/>
          <w:sz w:val="18"/>
          <w:szCs w:val="18"/>
          <w:color w:val="auto"/>
        </w:rPr>
      </w:pPr>
      <w:r>
        <w:rPr>
          <w:rFonts w:ascii="Arial" w:cs="Arial" w:eastAsia="Arial" w:hAnsi="Arial"/>
          <w:sz w:val="20"/>
          <w:szCs w:val="20"/>
          <w:color w:val="auto"/>
        </w:rPr>
        <w:t>Assuming that the Equity Distribution Agreement has been duly authorized by each of the Partnership Parties under the laws of its respective jurisdiction of formation, the Equity Distribution Agreement has been duly executed and delivered by the Partnership Parties, to the extent such execution and delivery are governed by the laws of the State of New York.</w:t>
      </w:r>
    </w:p>
    <w:p>
      <w:pPr>
        <w:spacing w:after="0" w:line="167" w:lineRule="exact"/>
        <w:rPr>
          <w:rFonts w:ascii="Arial" w:cs="Arial" w:eastAsia="Arial" w:hAnsi="Arial"/>
          <w:sz w:val="18"/>
          <w:szCs w:val="18"/>
          <w:color w:val="auto"/>
        </w:rPr>
      </w:pPr>
    </w:p>
    <w:p>
      <w:pPr>
        <w:jc w:val="both"/>
        <w:ind w:left="686" w:hanging="686"/>
        <w:spacing w:after="0" w:line="238" w:lineRule="auto"/>
        <w:tabs>
          <w:tab w:leader="none" w:pos="800" w:val="left"/>
        </w:tabs>
        <w:numPr>
          <w:ilvl w:val="0"/>
          <w:numId w:val="67"/>
        </w:numPr>
        <w:rPr>
          <w:rFonts w:ascii="Arial" w:cs="Arial" w:eastAsia="Arial" w:hAnsi="Arial"/>
          <w:sz w:val="21"/>
          <w:szCs w:val="21"/>
          <w:color w:val="auto"/>
        </w:rPr>
      </w:pPr>
      <w:r>
        <w:rPr>
          <w:rFonts w:ascii="Arial" w:cs="Arial" w:eastAsia="Arial" w:hAnsi="Arial"/>
          <w:sz w:val="23"/>
          <w:szCs w:val="23"/>
          <w:color w:val="auto"/>
        </w:rPr>
        <w:t>The Registration Statement became effective under the Act on October 10, 2017 (the “</w:t>
      </w:r>
      <w:r>
        <w:rPr>
          <w:rFonts w:ascii="Arial" w:cs="Arial" w:eastAsia="Arial" w:hAnsi="Arial"/>
          <w:sz w:val="23"/>
          <w:szCs w:val="23"/>
          <w:u w:val="single" w:color="auto"/>
          <w:color w:val="auto"/>
        </w:rPr>
        <w:t>Effective Date</w:t>
      </w:r>
      <w:r>
        <w:rPr>
          <w:rFonts w:ascii="Arial" w:cs="Arial" w:eastAsia="Arial" w:hAnsi="Arial"/>
          <w:sz w:val="23"/>
          <w:szCs w:val="23"/>
          <w:color w:val="auto"/>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and the required filing of the Prospectus pursuant to Rule 424(b) has been made in the manner and within the time period required by Rule 424(b) (without reference to Rule 424(b)(8)).</w:t>
      </w:r>
    </w:p>
    <w:p>
      <w:pPr>
        <w:spacing w:after="0" w:line="223" w:lineRule="exact"/>
        <w:rPr>
          <w:rFonts w:ascii="Arial" w:cs="Arial" w:eastAsia="Arial" w:hAnsi="Arial"/>
          <w:sz w:val="21"/>
          <w:szCs w:val="21"/>
          <w:color w:val="auto"/>
        </w:rPr>
      </w:pPr>
    </w:p>
    <w:p>
      <w:pPr>
        <w:jc w:val="both"/>
        <w:ind w:left="686" w:hanging="686"/>
        <w:spacing w:after="0" w:line="245" w:lineRule="auto"/>
        <w:tabs>
          <w:tab w:leader="none" w:pos="800" w:val="left"/>
        </w:tabs>
        <w:numPr>
          <w:ilvl w:val="0"/>
          <w:numId w:val="67"/>
        </w:numPr>
        <w:rPr>
          <w:rFonts w:ascii="Arial" w:cs="Arial" w:eastAsia="Arial" w:hAnsi="Arial"/>
          <w:sz w:val="21"/>
          <w:szCs w:val="21"/>
          <w:color w:val="auto"/>
        </w:rPr>
      </w:pPr>
      <w:r>
        <w:rPr>
          <w:rFonts w:ascii="Arial" w:cs="Arial" w:eastAsia="Arial" w:hAnsi="Arial"/>
          <w:sz w:val="23"/>
          <w:szCs w:val="23"/>
          <w:color w:val="auto"/>
        </w:rPr>
        <w:t>Assuming that the Equity Distribution Agreement has been duly authorized and validly executed and delivered by each of the Partnership Parties, the Equity Distribution Agreement constitutes a legal, valid and binding obligation of the Partnership Parties.</w:t>
      </w:r>
    </w:p>
    <w:p>
      <w:pPr>
        <w:spacing w:after="0" w:line="216" w:lineRule="exact"/>
        <w:rPr>
          <w:rFonts w:ascii="Arial" w:cs="Arial" w:eastAsia="Arial" w:hAnsi="Arial"/>
          <w:sz w:val="21"/>
          <w:szCs w:val="21"/>
          <w:color w:val="auto"/>
        </w:rPr>
      </w:pPr>
    </w:p>
    <w:p>
      <w:pPr>
        <w:jc w:val="both"/>
        <w:ind w:left="686" w:hanging="686"/>
        <w:spacing w:after="0" w:line="238" w:lineRule="auto"/>
        <w:tabs>
          <w:tab w:leader="none" w:pos="700" w:val="left"/>
        </w:tabs>
        <w:numPr>
          <w:ilvl w:val="0"/>
          <w:numId w:val="67"/>
        </w:numPr>
        <w:rPr>
          <w:rFonts w:ascii="Arial" w:cs="Arial" w:eastAsia="Arial" w:hAnsi="Arial"/>
          <w:sz w:val="21"/>
          <w:szCs w:val="21"/>
          <w:color w:val="auto"/>
        </w:rPr>
      </w:pPr>
      <w:r>
        <w:rPr>
          <w:rFonts w:ascii="Arial" w:cs="Arial" w:eastAsia="Arial" w:hAnsi="Arial"/>
          <w:sz w:val="23"/>
          <w:szCs w:val="23"/>
          <w:color w:val="auto"/>
        </w:rPr>
        <w:t xml:space="preserve">The statements made in the Registration Statement and Prospectus under “Our Cash Distribution Policy and Restrictions on Distributions”, “Description of Common Units”, and “Summary of Our Partnership Agreement”, insofar as such statements purport to summarize any agreement, statute or regulation or refer to statements of law or legal conclusions, fairly summarize the matters described therein; </w:t>
      </w:r>
      <w:r>
        <w:rPr>
          <w:rFonts w:ascii="Arial" w:cs="Arial" w:eastAsia="Arial" w:hAnsi="Arial"/>
          <w:sz w:val="23"/>
          <w:szCs w:val="23"/>
          <w:i w:val="1"/>
          <w:iCs w:val="1"/>
          <w:color w:val="auto"/>
        </w:rPr>
        <w:t>provided, however</w:t>
      </w:r>
      <w:r>
        <w:rPr>
          <w:rFonts w:ascii="Arial" w:cs="Arial" w:eastAsia="Arial" w:hAnsi="Arial"/>
          <w:sz w:val="23"/>
          <w:szCs w:val="23"/>
          <w:color w:val="auto"/>
        </w:rPr>
        <w:t>, that we express no opinion with respect to any laws other than the laws of the State of New York and, to the extent specifically identified herein, the federal laws of the United States of America.</w:t>
      </w:r>
    </w:p>
    <w:p>
      <w:pPr>
        <w:spacing w:after="0" w:line="223" w:lineRule="exact"/>
        <w:rPr>
          <w:rFonts w:ascii="Arial" w:cs="Arial" w:eastAsia="Arial" w:hAnsi="Arial"/>
          <w:sz w:val="21"/>
          <w:szCs w:val="21"/>
          <w:color w:val="auto"/>
        </w:rPr>
      </w:pPr>
    </w:p>
    <w:p>
      <w:pPr>
        <w:ind w:left="686" w:hanging="686"/>
        <w:spacing w:after="0" w:line="257" w:lineRule="auto"/>
        <w:tabs>
          <w:tab w:leader="none" w:pos="828" w:val="left"/>
        </w:tabs>
        <w:numPr>
          <w:ilvl w:val="0"/>
          <w:numId w:val="67"/>
        </w:numPr>
        <w:rPr>
          <w:rFonts w:ascii="Arial" w:cs="Arial" w:eastAsia="Arial" w:hAnsi="Arial"/>
          <w:sz w:val="21"/>
          <w:szCs w:val="21"/>
          <w:color w:val="auto"/>
        </w:rPr>
      </w:pPr>
      <w:r>
        <w:rPr>
          <w:rFonts w:ascii="Arial" w:cs="Arial" w:eastAsia="Arial" w:hAnsi="Arial"/>
          <w:sz w:val="23"/>
          <w:szCs w:val="23"/>
          <w:color w:val="auto"/>
        </w:rPr>
        <w:t>The Opinion of Cravath, Swaine &amp; Moore LLP filed as Exhibit 8.1 to the Prospectus is confirmed and the Managers may rely upon such opinion.</w:t>
      </w:r>
    </w:p>
    <w:p>
      <w:pPr>
        <w:spacing w:after="0" w:line="203" w:lineRule="exact"/>
        <w:rPr>
          <w:rFonts w:ascii="Arial" w:cs="Arial" w:eastAsia="Arial" w:hAnsi="Arial"/>
          <w:sz w:val="21"/>
          <w:szCs w:val="21"/>
          <w:color w:val="auto"/>
        </w:rPr>
      </w:pPr>
    </w:p>
    <w:p>
      <w:pPr>
        <w:jc w:val="both"/>
        <w:ind w:left="686" w:hanging="686"/>
        <w:spacing w:after="0" w:line="238" w:lineRule="auto"/>
        <w:tabs>
          <w:tab w:leader="none" w:pos="686" w:val="left"/>
        </w:tabs>
        <w:numPr>
          <w:ilvl w:val="0"/>
          <w:numId w:val="67"/>
        </w:numPr>
        <w:rPr>
          <w:rFonts w:ascii="Arial" w:cs="Arial" w:eastAsia="Arial" w:hAnsi="Arial"/>
          <w:sz w:val="21"/>
          <w:szCs w:val="21"/>
          <w:color w:val="auto"/>
        </w:rPr>
      </w:pPr>
      <w:r>
        <w:rPr>
          <w:rFonts w:ascii="Arial" w:cs="Arial" w:eastAsia="Arial" w:hAnsi="Arial"/>
          <w:sz w:val="23"/>
          <w:szCs w:val="23"/>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Equity Distribution Agreement, other than (i) those that have been obtained or made under the Act, (ii) those that may be required under the Act in connection with the use of a “free writing prospectus” and (iii) those that may be required under the blue sky laws of any jurisdiction in connection with the purchase and distribution of the Units by the Managers.</w:t>
      </w:r>
    </w:p>
    <w:p>
      <w:pPr>
        <w:spacing w:after="0" w:line="223" w:lineRule="exact"/>
        <w:rPr>
          <w:rFonts w:ascii="Arial" w:cs="Arial" w:eastAsia="Arial" w:hAnsi="Arial"/>
          <w:sz w:val="21"/>
          <w:szCs w:val="21"/>
          <w:color w:val="auto"/>
        </w:rPr>
      </w:pPr>
    </w:p>
    <w:p>
      <w:pPr>
        <w:ind w:left="686" w:hanging="686"/>
        <w:spacing w:after="0" w:line="257" w:lineRule="auto"/>
        <w:tabs>
          <w:tab w:leader="none" w:pos="885" w:val="left"/>
        </w:tabs>
        <w:numPr>
          <w:ilvl w:val="0"/>
          <w:numId w:val="67"/>
        </w:numPr>
        <w:rPr>
          <w:rFonts w:ascii="Arial" w:cs="Arial" w:eastAsia="Arial" w:hAnsi="Arial"/>
          <w:sz w:val="21"/>
          <w:szCs w:val="21"/>
          <w:color w:val="auto"/>
        </w:rPr>
      </w:pPr>
      <w:r>
        <w:rPr>
          <w:rFonts w:ascii="Arial" w:cs="Arial" w:eastAsia="Arial" w:hAnsi="Arial"/>
          <w:sz w:val="23"/>
          <w:szCs w:val="23"/>
          <w:color w:val="auto"/>
        </w:rPr>
        <w:t>Based solely on the certificate dated the date hereof, from an officer of the Partnership, after giving effect to the offering and sale of the Units, the Partnership will not be an</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646670" cy="31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198" w:right="120" w:bottom="1440" w:gutter="0" w:footer="0" w:header="0"/>
        </w:sectPr>
      </w:pPr>
    </w:p>
    <w:bookmarkStart w:id="55" w:name="page56"/>
    <w:bookmarkEnd w:id="55"/>
    <w:p>
      <w:pPr>
        <w:ind w:left="686"/>
        <w:spacing w:after="0"/>
        <w:rPr>
          <w:sz w:val="20"/>
          <w:szCs w:val="20"/>
          <w:color w:val="auto"/>
        </w:rPr>
      </w:pPr>
      <w:r>
        <w:rPr>
          <w:rFonts w:ascii="Arial" w:cs="Arial" w:eastAsia="Arial" w:hAnsi="Arial"/>
          <w:sz w:val="23"/>
          <w:szCs w:val="23"/>
          <w:color w:val="auto"/>
        </w:rPr>
        <w:t>“investment company” as such term is defined in the Investment Company Act of 1940, as amended.</w:t>
      </w:r>
    </w:p>
    <w:p>
      <w:pPr>
        <w:spacing w:after="0" w:line="249" w:lineRule="exact"/>
        <w:rPr>
          <w:sz w:val="20"/>
          <w:szCs w:val="20"/>
          <w:color w:val="auto"/>
        </w:rPr>
      </w:pPr>
    </w:p>
    <w:p>
      <w:pPr>
        <w:ind w:left="686" w:hanging="686"/>
        <w:spacing w:after="0" w:line="257" w:lineRule="auto"/>
        <w:tabs>
          <w:tab w:leader="none" w:pos="814" w:val="left"/>
        </w:tabs>
        <w:numPr>
          <w:ilvl w:val="0"/>
          <w:numId w:val="68"/>
        </w:numPr>
        <w:rPr>
          <w:rFonts w:ascii="Arial" w:cs="Arial" w:eastAsia="Arial" w:hAnsi="Arial"/>
          <w:sz w:val="21"/>
          <w:szCs w:val="21"/>
          <w:color w:val="auto"/>
        </w:rPr>
      </w:pPr>
      <w:r>
        <w:rPr>
          <w:rFonts w:ascii="Arial" w:cs="Arial" w:eastAsia="Arial" w:hAnsi="Arial"/>
          <w:sz w:val="23"/>
          <w:szCs w:val="23"/>
          <w:color w:val="auto"/>
        </w:rPr>
        <w:t>None of the Partnership Entities should be a “passive foreign investment company” as such term is defined in the Internal Revenue Code of 1986, as amended.</w:t>
      </w:r>
    </w:p>
    <w:p>
      <w:pPr>
        <w:spacing w:after="0" w:line="203" w:lineRule="exact"/>
        <w:rPr>
          <w:rFonts w:ascii="Arial" w:cs="Arial" w:eastAsia="Arial" w:hAnsi="Arial"/>
          <w:sz w:val="21"/>
          <w:szCs w:val="21"/>
          <w:color w:val="auto"/>
        </w:rPr>
      </w:pPr>
    </w:p>
    <w:p>
      <w:pPr>
        <w:ind w:left="686" w:hanging="686"/>
        <w:spacing w:after="0" w:line="257" w:lineRule="auto"/>
        <w:tabs>
          <w:tab w:leader="none" w:pos="771" w:val="left"/>
        </w:tabs>
        <w:numPr>
          <w:ilvl w:val="0"/>
          <w:numId w:val="68"/>
        </w:numPr>
        <w:rPr>
          <w:rFonts w:ascii="Arial" w:cs="Arial" w:eastAsia="Arial" w:hAnsi="Arial"/>
          <w:sz w:val="21"/>
          <w:szCs w:val="21"/>
          <w:color w:val="auto"/>
        </w:rPr>
      </w:pPr>
      <w:r>
        <w:rPr>
          <w:rFonts w:ascii="Arial" w:cs="Arial" w:eastAsia="Arial" w:hAnsi="Arial"/>
          <w:sz w:val="23"/>
          <w:szCs w:val="23"/>
          <w:color w:val="auto"/>
        </w:rPr>
        <w:t>The Common Units have been duly registered as a class pursuant to Section 12 of the Securities Exchange Act of 1934, as amended.</w:t>
      </w:r>
    </w:p>
    <w:p>
      <w:pPr>
        <w:spacing w:after="0" w:line="203" w:lineRule="exact"/>
        <w:rPr>
          <w:rFonts w:ascii="Arial" w:cs="Arial" w:eastAsia="Arial" w:hAnsi="Arial"/>
          <w:sz w:val="21"/>
          <w:szCs w:val="21"/>
          <w:color w:val="auto"/>
        </w:rPr>
      </w:pPr>
    </w:p>
    <w:p>
      <w:pPr>
        <w:jc w:val="both"/>
        <w:ind w:left="686" w:hanging="686"/>
        <w:spacing w:after="0" w:line="245" w:lineRule="auto"/>
        <w:tabs>
          <w:tab w:leader="none" w:pos="1133" w:val="left"/>
        </w:tabs>
        <w:numPr>
          <w:ilvl w:val="0"/>
          <w:numId w:val="68"/>
        </w:numPr>
        <w:rPr>
          <w:rFonts w:ascii="Arial" w:cs="Arial" w:eastAsia="Arial" w:hAnsi="Arial"/>
          <w:sz w:val="21"/>
          <w:szCs w:val="21"/>
          <w:color w:val="auto"/>
        </w:rPr>
      </w:pPr>
      <w:r>
        <w:rPr>
          <w:rFonts w:ascii="Arial" w:cs="Arial" w:eastAsia="Arial" w:hAnsi="Arial"/>
          <w:sz w:val="23"/>
          <w:szCs w:val="23"/>
          <w:color w:val="auto"/>
        </w:rPr>
        <w:t>Assuming the validity of such action under the laws of The Marshall Islands and Bermuda relating to submission to jurisdiction, pursuant to Section 14 of the Equity Distribution Agreement, the Partnership Parties validly and irrevocably submitted to the personal jurisdiction of the courts of the State of New York.</w:t>
      </w:r>
    </w:p>
    <w:p>
      <w:pPr>
        <w:spacing w:after="0" w:line="216" w:lineRule="exact"/>
        <w:rPr>
          <w:rFonts w:ascii="Arial" w:cs="Arial" w:eastAsia="Arial" w:hAnsi="Arial"/>
          <w:sz w:val="21"/>
          <w:szCs w:val="21"/>
          <w:color w:val="auto"/>
        </w:rPr>
      </w:pPr>
    </w:p>
    <w:p>
      <w:pPr>
        <w:ind w:left="646" w:hanging="646"/>
        <w:spacing w:after="0"/>
        <w:tabs>
          <w:tab w:leader="none" w:pos="646" w:val="left"/>
        </w:tabs>
        <w:numPr>
          <w:ilvl w:val="0"/>
          <w:numId w:val="68"/>
        </w:numPr>
        <w:rPr>
          <w:rFonts w:ascii="Arial" w:cs="Arial" w:eastAsia="Arial" w:hAnsi="Arial"/>
          <w:sz w:val="21"/>
          <w:szCs w:val="21"/>
          <w:color w:val="auto"/>
        </w:rPr>
      </w:pPr>
      <w:r>
        <w:rPr>
          <w:rFonts w:ascii="Arial" w:cs="Arial" w:eastAsia="Arial" w:hAnsi="Arial"/>
          <w:sz w:val="23"/>
          <w:szCs w:val="23"/>
          <w:color w:val="auto"/>
        </w:rPr>
        <w:t>The Partnership is a “foreign private issuer” as defined in Rule 405 under the Securities Act.</w:t>
      </w:r>
    </w:p>
    <w:p>
      <w:pPr>
        <w:spacing w:after="0" w:line="248" w:lineRule="exact"/>
        <w:rPr>
          <w:rFonts w:ascii="Arial" w:cs="Arial" w:eastAsia="Arial" w:hAnsi="Arial"/>
          <w:sz w:val="21"/>
          <w:szCs w:val="21"/>
          <w:color w:val="auto"/>
        </w:rPr>
      </w:pPr>
    </w:p>
    <w:p>
      <w:pPr>
        <w:jc w:val="both"/>
        <w:ind w:left="686" w:hanging="686"/>
        <w:spacing w:after="0" w:line="237" w:lineRule="auto"/>
        <w:tabs>
          <w:tab w:leader="none" w:pos="762" w:val="left"/>
        </w:tabs>
        <w:numPr>
          <w:ilvl w:val="0"/>
          <w:numId w:val="68"/>
        </w:numPr>
        <w:rPr>
          <w:rFonts w:ascii="Arial" w:cs="Arial" w:eastAsia="Arial" w:hAnsi="Arial"/>
          <w:sz w:val="21"/>
          <w:szCs w:val="21"/>
          <w:color w:val="auto"/>
        </w:rPr>
      </w:pPr>
      <w:r>
        <w:rPr>
          <w:rFonts w:ascii="Arial" w:cs="Arial" w:eastAsia="Arial" w:hAnsi="Arial"/>
          <w:sz w:val="23"/>
          <w:szCs w:val="23"/>
          <w:color w:val="auto"/>
        </w:rPr>
        <w:t>None of the execution, delivery and performance on the date hereof of the terms of the Equity Distribution Agreement nor the consummation on the date hereof by the Partnership Parties of the transactions set forth therein will result in any violation of United States Federal or New York State law, rule or regulation or any ruling, judgment, order or decree, known to us and of the type that in our experience typically would be applicable to transactions of the type contemplated by the Equity Distribution Agreement, of any United States Federal or New York State court, agency or official having jurisdiction over the Partnership or any of its subsidiaries or any of the properties or assets of the Partnership or any of its subsidiaries.</w:t>
      </w:r>
    </w:p>
    <w:p>
      <w:pPr>
        <w:spacing w:after="0" w:line="225" w:lineRule="exact"/>
        <w:rPr>
          <w:sz w:val="20"/>
          <w:szCs w:val="20"/>
          <w:color w:val="auto"/>
        </w:rPr>
      </w:pPr>
    </w:p>
    <w:p>
      <w:pPr>
        <w:jc w:val="both"/>
        <w:ind w:left="6" w:firstLine="685"/>
        <w:spacing w:after="0" w:line="246" w:lineRule="auto"/>
        <w:rPr>
          <w:sz w:val="20"/>
          <w:szCs w:val="20"/>
          <w:color w:val="auto"/>
        </w:rPr>
      </w:pPr>
      <w:r>
        <w:rPr>
          <w:rFonts w:ascii="Arial" w:cs="Arial" w:eastAsia="Arial" w:hAnsi="Arial"/>
          <w:sz w:val="22"/>
          <w:szCs w:val="22"/>
          <w:color w:val="auto"/>
        </w:rPr>
        <w:t>In addition to the matters set forth above, such counsel shall also state (i) on the basis of information gained in the course of the performance of the services rendered, that, the Registration Statement, at the time it initially became effective, and the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except that, in each case, such counsel does not express any view as to the financial statements, other information of an accounting or financial nature.</w:t>
      </w: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646670" cy="31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4" w:right="120" w:bottom="1440" w:gutter="0" w:footer="0" w:header="0"/>
        </w:sectPr>
      </w:pPr>
    </w:p>
    <w:bookmarkStart w:id="56" w:name="page57"/>
    <w:bookmarkEnd w:id="56"/>
    <w:p>
      <w:pPr>
        <w:jc w:val="right"/>
        <w:spacing w:after="0"/>
        <w:rPr>
          <w:sz w:val="20"/>
          <w:szCs w:val="20"/>
          <w:color w:val="auto"/>
        </w:rPr>
      </w:pPr>
      <w:r>
        <w:rPr>
          <w:rFonts w:ascii="Arial" w:cs="Arial" w:eastAsia="Arial" w:hAnsi="Arial"/>
          <w:sz w:val="23"/>
          <w:szCs w:val="23"/>
          <w:b w:val="1"/>
          <w:bCs w:val="1"/>
          <w:u w:val="single" w:color="auto"/>
          <w:color w:val="auto"/>
        </w:rPr>
        <w:t>Annex III</w:t>
      </w:r>
    </w:p>
    <w:p>
      <w:pPr>
        <w:spacing w:after="0" w:line="226"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MATTERS TO BE COVERED BY MARSHALL ISLANDS COUNSEL OPINION</w:t>
      </w:r>
    </w:p>
    <w:p>
      <w:pPr>
        <w:spacing w:after="0" w:line="249" w:lineRule="exact"/>
        <w:rPr>
          <w:sz w:val="20"/>
          <w:szCs w:val="20"/>
          <w:color w:val="auto"/>
        </w:rPr>
      </w:pPr>
    </w:p>
    <w:p>
      <w:pPr>
        <w:jc w:val="both"/>
        <w:ind w:left="1020" w:hanging="681"/>
        <w:spacing w:after="0" w:line="261" w:lineRule="auto"/>
        <w:tabs>
          <w:tab w:leader="none" w:pos="1149" w:val="left"/>
        </w:tabs>
        <w:numPr>
          <w:ilvl w:val="0"/>
          <w:numId w:val="69"/>
        </w:numPr>
        <w:rPr>
          <w:rFonts w:ascii="Arial" w:cs="Arial" w:eastAsia="Arial" w:hAnsi="Arial"/>
          <w:sz w:val="20"/>
          <w:szCs w:val="20"/>
          <w:color w:val="auto"/>
        </w:rPr>
      </w:pPr>
      <w:r>
        <w:rPr>
          <w:rFonts w:ascii="Arial" w:cs="Arial" w:eastAsia="Arial" w:hAnsi="Arial"/>
          <w:sz w:val="22"/>
          <w:szCs w:val="22"/>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and the Prospectus.</w:t>
      </w:r>
    </w:p>
    <w:p>
      <w:pPr>
        <w:spacing w:after="0" w:line="73" w:lineRule="exact"/>
        <w:rPr>
          <w:rFonts w:ascii="Arial" w:cs="Arial" w:eastAsia="Arial" w:hAnsi="Arial"/>
          <w:sz w:val="20"/>
          <w:szCs w:val="20"/>
          <w:color w:val="auto"/>
        </w:rPr>
      </w:pPr>
    </w:p>
    <w:p>
      <w:pPr>
        <w:jc w:val="both"/>
        <w:ind w:left="1020" w:hanging="681"/>
        <w:spacing w:after="0" w:line="241" w:lineRule="auto"/>
        <w:tabs>
          <w:tab w:leader="none" w:pos="1192" w:val="left"/>
        </w:tabs>
        <w:numPr>
          <w:ilvl w:val="0"/>
          <w:numId w:val="69"/>
        </w:numPr>
        <w:rPr>
          <w:rFonts w:ascii="Arial" w:cs="Arial" w:eastAsia="Arial" w:hAnsi="Arial"/>
          <w:sz w:val="21"/>
          <w:szCs w:val="21"/>
          <w:color w:val="auto"/>
        </w:rPr>
      </w:pPr>
      <w:r>
        <w:rPr>
          <w:rFonts w:ascii="Arial" w:cs="Arial" w:eastAsia="Arial" w:hAnsi="Arial"/>
          <w:sz w:val="23"/>
          <w:szCs w:val="23"/>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and the Prospectus.</w:t>
      </w:r>
    </w:p>
    <w:p>
      <w:pPr>
        <w:spacing w:after="0" w:line="92" w:lineRule="exact"/>
        <w:rPr>
          <w:rFonts w:ascii="Arial" w:cs="Arial" w:eastAsia="Arial" w:hAnsi="Arial"/>
          <w:sz w:val="21"/>
          <w:szCs w:val="21"/>
          <w:color w:val="auto"/>
        </w:rPr>
      </w:pPr>
    </w:p>
    <w:p>
      <w:pPr>
        <w:jc w:val="both"/>
        <w:ind w:left="1020" w:hanging="681"/>
        <w:spacing w:after="0" w:line="279" w:lineRule="auto"/>
        <w:tabs>
          <w:tab w:leader="none" w:pos="1178" w:val="left"/>
        </w:tabs>
        <w:numPr>
          <w:ilvl w:val="0"/>
          <w:numId w:val="69"/>
        </w:numPr>
        <w:rPr>
          <w:rFonts w:ascii="Arial" w:cs="Arial" w:eastAsia="Arial" w:hAnsi="Arial"/>
          <w:sz w:val="19"/>
          <w:szCs w:val="19"/>
          <w:color w:val="auto"/>
        </w:rPr>
      </w:pPr>
      <w:r>
        <w:rPr>
          <w:rFonts w:ascii="Arial" w:cs="Arial" w:eastAsia="Arial" w:hAnsi="Arial"/>
          <w:sz w:val="21"/>
          <w:szCs w:val="21"/>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and the Prospectus.</w:t>
      </w:r>
    </w:p>
    <w:p>
      <w:pPr>
        <w:spacing w:after="0" w:line="56" w:lineRule="exact"/>
        <w:rPr>
          <w:rFonts w:ascii="Arial" w:cs="Arial" w:eastAsia="Arial" w:hAnsi="Arial"/>
          <w:sz w:val="19"/>
          <w:szCs w:val="19"/>
          <w:color w:val="auto"/>
        </w:rPr>
      </w:pPr>
    </w:p>
    <w:p>
      <w:pPr>
        <w:jc w:val="both"/>
        <w:ind w:left="1020" w:hanging="681"/>
        <w:spacing w:after="0" w:line="263" w:lineRule="auto"/>
        <w:tabs>
          <w:tab w:leader="none" w:pos="1492" w:val="left"/>
        </w:tabs>
        <w:numPr>
          <w:ilvl w:val="0"/>
          <w:numId w:val="69"/>
        </w:numPr>
        <w:rPr>
          <w:rFonts w:ascii="Arial" w:cs="Arial" w:eastAsia="Arial" w:hAnsi="Arial"/>
          <w:sz w:val="19"/>
          <w:szCs w:val="19"/>
          <w:color w:val="auto"/>
        </w:rPr>
      </w:pPr>
      <w:r>
        <w:rPr>
          <w:rFonts w:ascii="Arial" w:cs="Arial" w:eastAsia="Arial" w:hAnsi="Arial"/>
          <w:sz w:val="21"/>
          <w:szCs w:val="21"/>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Prospectus).</w:t>
      </w:r>
    </w:p>
    <w:p>
      <w:pPr>
        <w:spacing w:after="0" w:line="72" w:lineRule="exact"/>
        <w:rPr>
          <w:rFonts w:ascii="Arial" w:cs="Arial" w:eastAsia="Arial" w:hAnsi="Arial"/>
          <w:sz w:val="19"/>
          <w:szCs w:val="19"/>
          <w:color w:val="auto"/>
        </w:rPr>
      </w:pPr>
    </w:p>
    <w:p>
      <w:pPr>
        <w:jc w:val="both"/>
        <w:ind w:left="1020" w:hanging="681"/>
        <w:spacing w:after="0" w:line="263" w:lineRule="auto"/>
        <w:tabs>
          <w:tab w:leader="none" w:pos="1178" w:val="left"/>
        </w:tabs>
        <w:numPr>
          <w:ilvl w:val="0"/>
          <w:numId w:val="69"/>
        </w:numPr>
        <w:rPr>
          <w:rFonts w:ascii="Arial" w:cs="Arial" w:eastAsia="Arial" w:hAnsi="Arial"/>
          <w:sz w:val="19"/>
          <w:szCs w:val="19"/>
          <w:color w:val="auto"/>
        </w:rPr>
      </w:pPr>
      <w:r>
        <w:rPr>
          <w:rFonts w:ascii="Arial" w:cs="Arial" w:eastAsia="Arial" w:hAnsi="Arial"/>
          <w:sz w:val="21"/>
          <w:szCs w:val="21"/>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Prospectus).</w:t>
      </w:r>
    </w:p>
    <w:p>
      <w:pPr>
        <w:spacing w:after="0" w:line="72" w:lineRule="exact"/>
        <w:rPr>
          <w:rFonts w:ascii="Arial" w:cs="Arial" w:eastAsia="Arial" w:hAnsi="Arial"/>
          <w:sz w:val="19"/>
          <w:szCs w:val="19"/>
          <w:color w:val="auto"/>
        </w:rPr>
      </w:pPr>
    </w:p>
    <w:p>
      <w:pPr>
        <w:jc w:val="both"/>
        <w:ind w:left="1020" w:hanging="681"/>
        <w:spacing w:after="0" w:line="273" w:lineRule="auto"/>
        <w:tabs>
          <w:tab w:leader="none" w:pos="1206" w:val="left"/>
        </w:tabs>
        <w:numPr>
          <w:ilvl w:val="0"/>
          <w:numId w:val="69"/>
        </w:numPr>
        <w:rPr>
          <w:rFonts w:ascii="Arial" w:cs="Arial" w:eastAsia="Arial" w:hAnsi="Arial"/>
          <w:sz w:val="18"/>
          <w:szCs w:val="18"/>
          <w:color w:val="auto"/>
        </w:rPr>
      </w:pPr>
      <w:r>
        <w:rPr>
          <w:rFonts w:ascii="Arial" w:cs="Arial" w:eastAsia="Arial" w:hAnsi="Arial"/>
          <w:sz w:val="20"/>
          <w:szCs w:val="20"/>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 Operating Company LLC Agreement) and nonassessable (except as such nonassessability may be affected by Sections 20, 31,</w:t>
      </w:r>
    </w:p>
    <w:p>
      <w:pPr>
        <w:jc w:val="center"/>
        <w:ind w:right="320"/>
        <w:spacing w:after="0"/>
        <w:rPr>
          <w:sz w:val="20"/>
          <w:szCs w:val="20"/>
          <w:color w:val="auto"/>
        </w:rPr>
      </w:pPr>
      <w:r>
        <w:rPr>
          <w:rFonts w:ascii="Arial" w:cs="Arial" w:eastAsia="Arial" w:hAnsi="Arial"/>
          <w:sz w:val="23"/>
          <w:szCs w:val="23"/>
          <w:color w:val="auto"/>
        </w:rPr>
        <w:t>40 and 49 of the Marshall Islands LLC Act and except as may otherwise be provided in the Operating</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217805</wp:posOffset>
            </wp:positionV>
            <wp:extent cx="7646670"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660"/>
          </w:cols>
          <w:pgMar w:left="460" w:top="198" w:right="120" w:bottom="1440" w:gutter="0" w:footer="0" w:header="0"/>
        </w:sectPr>
      </w:pPr>
    </w:p>
    <w:bookmarkStart w:id="57" w:name="page58"/>
    <w:bookmarkEnd w:id="57"/>
    <w:p>
      <w:pPr>
        <w:jc w:val="both"/>
        <w:ind w:left="681"/>
        <w:spacing w:after="0" w:line="245" w:lineRule="auto"/>
        <w:rPr>
          <w:sz w:val="20"/>
          <w:szCs w:val="20"/>
          <w:color w:val="auto"/>
        </w:rPr>
      </w:pPr>
      <w:r>
        <w:rPr>
          <w:rFonts w:ascii="Arial" w:cs="Arial" w:eastAsia="Arial" w:hAnsi="Arial"/>
          <w:sz w:val="23"/>
          <w:szCs w:val="23"/>
          <w:color w:val="auto"/>
        </w:rPr>
        <w:t>Company LLC Agreement); and to our knowledge, the Partnership owns such limited liability company interests free and clear of all Liens (except for restrictions on transferability under applicable securities laws or as described in the Prospectus).</w:t>
      </w:r>
    </w:p>
    <w:p>
      <w:pPr>
        <w:spacing w:after="0" w:line="88" w:lineRule="exact"/>
        <w:rPr>
          <w:sz w:val="20"/>
          <w:szCs w:val="20"/>
          <w:color w:val="auto"/>
        </w:rPr>
      </w:pPr>
    </w:p>
    <w:p>
      <w:pPr>
        <w:jc w:val="both"/>
        <w:ind w:left="681" w:hanging="681"/>
        <w:spacing w:after="0" w:line="245" w:lineRule="auto"/>
        <w:tabs>
          <w:tab w:leader="none" w:pos="797" w:val="left"/>
        </w:tabs>
        <w:numPr>
          <w:ilvl w:val="0"/>
          <w:numId w:val="70"/>
        </w:numPr>
        <w:rPr>
          <w:rFonts w:ascii="Arial" w:cs="Arial" w:eastAsia="Arial" w:hAnsi="Arial"/>
          <w:sz w:val="21"/>
          <w:szCs w:val="21"/>
          <w:color w:val="auto"/>
        </w:rPr>
      </w:pPr>
      <w:r>
        <w:rPr>
          <w:rFonts w:ascii="Arial" w:cs="Arial" w:eastAsia="Arial" w:hAnsi="Arial"/>
          <w:sz w:val="23"/>
          <w:szCs w:val="23"/>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Prospectus).</w:t>
      </w:r>
    </w:p>
    <w:p>
      <w:pPr>
        <w:spacing w:after="0" w:line="88" w:lineRule="exact"/>
        <w:rPr>
          <w:rFonts w:ascii="Arial" w:cs="Arial" w:eastAsia="Arial" w:hAnsi="Arial"/>
          <w:sz w:val="21"/>
          <w:szCs w:val="21"/>
          <w:color w:val="auto"/>
        </w:rPr>
      </w:pPr>
    </w:p>
    <w:p>
      <w:pPr>
        <w:jc w:val="both"/>
        <w:ind w:left="681" w:hanging="681"/>
        <w:spacing w:after="0" w:line="245" w:lineRule="auto"/>
        <w:tabs>
          <w:tab w:leader="none" w:pos="882" w:val="left"/>
        </w:tabs>
        <w:numPr>
          <w:ilvl w:val="0"/>
          <w:numId w:val="70"/>
        </w:numPr>
        <w:rPr>
          <w:rFonts w:ascii="Arial" w:cs="Arial" w:eastAsia="Arial" w:hAnsi="Arial"/>
          <w:sz w:val="21"/>
          <w:szCs w:val="21"/>
          <w:color w:val="auto"/>
        </w:rPr>
      </w:pPr>
      <w:r>
        <w:rPr>
          <w:rFonts w:ascii="Arial" w:cs="Arial" w:eastAsia="Arial" w:hAnsi="Arial"/>
          <w:sz w:val="23"/>
          <w:szCs w:val="23"/>
          <w:color w:val="auto"/>
        </w:rPr>
        <w:t>To our knowledge, except as described in or incorporated by reference into the Equity Distribution Agreement or the Prospectus, there are no preemptive rights or other rights to subscribe for or to purchase, or any other restriction upon transfer of, any limited partner interests in the Partnership.</w:t>
      </w:r>
    </w:p>
    <w:p>
      <w:pPr>
        <w:spacing w:after="0" w:line="88" w:lineRule="exact"/>
        <w:rPr>
          <w:rFonts w:ascii="Arial" w:cs="Arial" w:eastAsia="Arial" w:hAnsi="Arial"/>
          <w:sz w:val="21"/>
          <w:szCs w:val="21"/>
          <w:color w:val="auto"/>
        </w:rPr>
      </w:pPr>
    </w:p>
    <w:p>
      <w:pPr>
        <w:jc w:val="both"/>
        <w:ind w:left="681" w:hanging="681"/>
        <w:spacing w:after="0" w:line="245" w:lineRule="auto"/>
        <w:tabs>
          <w:tab w:leader="none" w:pos="953" w:val="left"/>
        </w:tabs>
        <w:numPr>
          <w:ilvl w:val="0"/>
          <w:numId w:val="70"/>
        </w:numPr>
        <w:rPr>
          <w:rFonts w:ascii="Arial" w:cs="Arial" w:eastAsia="Arial" w:hAnsi="Arial"/>
          <w:sz w:val="21"/>
          <w:szCs w:val="21"/>
          <w:color w:val="auto"/>
        </w:rPr>
      </w:pPr>
      <w:r>
        <w:rPr>
          <w:rFonts w:ascii="Arial" w:cs="Arial" w:eastAsia="Arial" w:hAnsi="Arial"/>
          <w:sz w:val="23"/>
          <w:szCs w:val="23"/>
          <w:color w:val="auto"/>
        </w:rPr>
        <w:t>Each of the MI Entities has all requisite limited partnership or limited liability company power and authority, as applicable, to execute and deliver the Equity Distribution Agreement and to perform its obligations thereunder and to consummate the transactions contemplated thereby.</w:t>
      </w:r>
    </w:p>
    <w:p>
      <w:pPr>
        <w:spacing w:after="0" w:line="88" w:lineRule="exact"/>
        <w:rPr>
          <w:rFonts w:ascii="Arial" w:cs="Arial" w:eastAsia="Arial" w:hAnsi="Arial"/>
          <w:sz w:val="21"/>
          <w:szCs w:val="21"/>
          <w:color w:val="auto"/>
        </w:rPr>
      </w:pPr>
    </w:p>
    <w:p>
      <w:pPr>
        <w:ind w:left="681" w:hanging="681"/>
        <w:spacing w:after="0" w:line="304" w:lineRule="auto"/>
        <w:tabs>
          <w:tab w:leader="none" w:pos="701" w:val="left"/>
        </w:tabs>
        <w:numPr>
          <w:ilvl w:val="0"/>
          <w:numId w:val="70"/>
        </w:numPr>
        <w:rPr>
          <w:rFonts w:ascii="Arial" w:cs="Arial" w:eastAsia="Arial" w:hAnsi="Arial"/>
          <w:sz w:val="19"/>
          <w:szCs w:val="19"/>
          <w:color w:val="auto"/>
        </w:rPr>
      </w:pPr>
      <w:r>
        <w:rPr>
          <w:rFonts w:ascii="Arial" w:cs="Arial" w:eastAsia="Arial" w:hAnsi="Arial"/>
          <w:sz w:val="21"/>
          <w:szCs w:val="21"/>
          <w:color w:val="auto"/>
        </w:rPr>
        <w:t>The execution and delivery of the Equity Distribution Agreement by the MI Entities has been duly authorized by all necessary limited partnership or limited liability company action, as applicable, of the relevant MI Entities.</w:t>
      </w:r>
    </w:p>
    <w:p>
      <w:pPr>
        <w:spacing w:after="0" w:line="29" w:lineRule="exact"/>
        <w:rPr>
          <w:rFonts w:ascii="Arial" w:cs="Arial" w:eastAsia="Arial" w:hAnsi="Arial"/>
          <w:sz w:val="19"/>
          <w:szCs w:val="19"/>
          <w:color w:val="auto"/>
        </w:rPr>
      </w:pPr>
    </w:p>
    <w:p>
      <w:pPr>
        <w:jc w:val="both"/>
        <w:ind w:left="681" w:hanging="681"/>
        <w:spacing w:after="0" w:line="248" w:lineRule="auto"/>
        <w:tabs>
          <w:tab w:leader="none" w:pos="965" w:val="left"/>
        </w:tabs>
        <w:numPr>
          <w:ilvl w:val="0"/>
          <w:numId w:val="70"/>
        </w:numPr>
        <w:rPr>
          <w:rFonts w:ascii="Arial" w:cs="Arial" w:eastAsia="Arial" w:hAnsi="Arial"/>
          <w:sz w:val="20"/>
          <w:szCs w:val="20"/>
          <w:color w:val="auto"/>
        </w:rPr>
      </w:pPr>
      <w:r>
        <w:rPr>
          <w:rFonts w:ascii="Arial" w:cs="Arial" w:eastAsia="Arial" w:hAnsi="Arial"/>
          <w:sz w:val="22"/>
          <w:szCs w:val="22"/>
          <w:color w:val="auto"/>
        </w:rPr>
        <w:t>The Equity Distribution Agreement has been validly executed and delivered by each of the MI Entities and the Equity Distribution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90" w:lineRule="exact"/>
        <w:rPr>
          <w:rFonts w:ascii="Arial" w:cs="Arial" w:eastAsia="Arial" w:hAnsi="Arial"/>
          <w:sz w:val="20"/>
          <w:szCs w:val="20"/>
          <w:color w:val="auto"/>
        </w:rPr>
      </w:pPr>
    </w:p>
    <w:p>
      <w:pPr>
        <w:jc w:val="both"/>
        <w:ind w:left="681" w:hanging="681"/>
        <w:spacing w:after="0" w:line="248" w:lineRule="auto"/>
        <w:tabs>
          <w:tab w:leader="none" w:pos="801" w:val="left"/>
        </w:tabs>
        <w:numPr>
          <w:ilvl w:val="0"/>
          <w:numId w:val="70"/>
        </w:numPr>
        <w:rPr>
          <w:rFonts w:ascii="Arial" w:cs="Arial" w:eastAsia="Arial" w:hAnsi="Arial"/>
          <w:sz w:val="20"/>
          <w:szCs w:val="20"/>
          <w:color w:val="auto"/>
        </w:rPr>
      </w:pPr>
      <w:r>
        <w:rPr>
          <w:rFonts w:ascii="Arial" w:cs="Arial" w:eastAsia="Arial" w:hAnsi="Arial"/>
          <w:sz w:val="22"/>
          <w:szCs w:val="22"/>
          <w:color w:val="auto"/>
        </w:rPr>
        <w:t>The execution, delivery and performance of the Equity Distribution Agreement by each of the MI Entities and the performance by each of the MI Entities of their respective obligations thereunder and the consummation of the transactions contemplated thereby, do not and will not (i)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 regulatory body, administrative agency, governmental body, arbitrator or other authority in the Republic of The Marshall Islands to which such MI Entity is a party.</w:t>
      </w:r>
    </w:p>
    <w:p>
      <w:pPr>
        <w:spacing w:after="0" w:line="190" w:lineRule="exact"/>
        <w:rPr>
          <w:sz w:val="20"/>
          <w:szCs w:val="20"/>
          <w:color w:val="auto"/>
        </w:rPr>
      </w:pPr>
    </w:p>
    <w:p>
      <w:pPr>
        <w:ind w:left="4961"/>
        <w:spacing w:after="0"/>
        <w:rPr>
          <w:sz w:val="20"/>
          <w:szCs w:val="20"/>
          <w:color w:val="auto"/>
        </w:rPr>
      </w:pPr>
      <w:r>
        <w:rPr>
          <w:rFonts w:ascii="Arial" w:cs="Arial" w:eastAsia="Arial" w:hAnsi="Arial"/>
          <w:sz w:val="15"/>
          <w:szCs w:val="15"/>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217805</wp:posOffset>
            </wp:positionV>
            <wp:extent cx="7646670" cy="31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04" w:right="120" w:bottom="1440" w:gutter="0" w:footer="0" w:header="0"/>
        </w:sectPr>
      </w:pPr>
    </w:p>
    <w:bookmarkStart w:id="58" w:name="page59"/>
    <w:bookmarkEnd w:id="58"/>
    <w:p>
      <w:pPr>
        <w:jc w:val="both"/>
        <w:ind w:left="681" w:hanging="681"/>
        <w:spacing w:after="0" w:line="239" w:lineRule="auto"/>
        <w:tabs>
          <w:tab w:leader="none" w:pos="787" w:val="left"/>
        </w:tabs>
        <w:numPr>
          <w:ilvl w:val="0"/>
          <w:numId w:val="71"/>
        </w:numPr>
        <w:rPr>
          <w:rFonts w:ascii="Arial" w:cs="Arial" w:eastAsia="Arial" w:hAnsi="Arial"/>
          <w:sz w:val="21"/>
          <w:szCs w:val="21"/>
          <w:color w:val="auto"/>
        </w:rPr>
      </w:pPr>
      <w:r>
        <w:rPr>
          <w:rFonts w:ascii="Arial" w:cs="Arial" w:eastAsia="Arial" w:hAnsi="Arial"/>
          <w:sz w:val="23"/>
          <w:szCs w:val="23"/>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Equity Distribution Agreement, the consummation of the transactions contemplated thereby or the performance by the MI Entities of their respective obligations thereunder.</w:t>
      </w:r>
    </w:p>
    <w:p>
      <w:pPr>
        <w:spacing w:after="0" w:line="94" w:lineRule="exact"/>
        <w:rPr>
          <w:rFonts w:ascii="Arial" w:cs="Arial" w:eastAsia="Arial" w:hAnsi="Arial"/>
          <w:sz w:val="21"/>
          <w:szCs w:val="21"/>
          <w:color w:val="auto"/>
        </w:rPr>
      </w:pPr>
    </w:p>
    <w:p>
      <w:pPr>
        <w:jc w:val="both"/>
        <w:ind w:left="681" w:hanging="681"/>
        <w:spacing w:after="0" w:line="250" w:lineRule="auto"/>
        <w:tabs>
          <w:tab w:leader="none" w:pos="773" w:val="left"/>
        </w:tabs>
        <w:numPr>
          <w:ilvl w:val="0"/>
          <w:numId w:val="71"/>
        </w:numPr>
        <w:rPr>
          <w:rFonts w:ascii="Arial" w:cs="Arial" w:eastAsia="Arial" w:hAnsi="Arial"/>
          <w:sz w:val="20"/>
          <w:szCs w:val="20"/>
          <w:color w:val="auto"/>
        </w:rPr>
      </w:pPr>
      <w:r>
        <w:rPr>
          <w:rFonts w:ascii="Arial" w:cs="Arial" w:eastAsia="Arial" w:hAnsi="Arial"/>
          <w:sz w:val="22"/>
          <w:szCs w:val="22"/>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pacing w:after="0" w:line="87" w:lineRule="exact"/>
        <w:rPr>
          <w:rFonts w:ascii="Arial" w:cs="Arial" w:eastAsia="Arial" w:hAnsi="Arial"/>
          <w:sz w:val="20"/>
          <w:szCs w:val="20"/>
          <w:color w:val="auto"/>
        </w:rPr>
      </w:pPr>
    </w:p>
    <w:p>
      <w:pPr>
        <w:jc w:val="both"/>
        <w:ind w:left="681" w:hanging="681"/>
        <w:spacing w:after="0" w:line="239" w:lineRule="auto"/>
        <w:tabs>
          <w:tab w:leader="none" w:pos="1001" w:val="left"/>
        </w:tabs>
        <w:numPr>
          <w:ilvl w:val="0"/>
          <w:numId w:val="71"/>
        </w:numPr>
        <w:rPr>
          <w:rFonts w:ascii="Arial" w:cs="Arial" w:eastAsia="Arial" w:hAnsi="Arial"/>
          <w:sz w:val="21"/>
          <w:szCs w:val="21"/>
          <w:color w:val="auto"/>
        </w:rPr>
      </w:pPr>
      <w:r>
        <w:rPr>
          <w:rFonts w:ascii="Arial" w:cs="Arial" w:eastAsia="Arial" w:hAnsi="Arial"/>
          <w:sz w:val="23"/>
          <w:szCs w:val="23"/>
          <w:color w:val="auto"/>
        </w:rPr>
        <w:t>When the Units are issued against payment therefor in accordance with the terms and conditions of the Equity Distribution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94" w:lineRule="exact"/>
        <w:rPr>
          <w:rFonts w:ascii="Arial" w:cs="Arial" w:eastAsia="Arial" w:hAnsi="Arial"/>
          <w:sz w:val="21"/>
          <w:szCs w:val="21"/>
          <w:color w:val="auto"/>
        </w:rPr>
      </w:pPr>
    </w:p>
    <w:p>
      <w:pPr>
        <w:jc w:val="both"/>
        <w:ind w:left="681" w:hanging="681"/>
        <w:spacing w:after="0" w:line="267" w:lineRule="auto"/>
        <w:tabs>
          <w:tab w:leader="none" w:pos="1172" w:val="left"/>
        </w:tabs>
        <w:numPr>
          <w:ilvl w:val="0"/>
          <w:numId w:val="71"/>
        </w:numPr>
        <w:rPr>
          <w:rFonts w:ascii="Arial" w:cs="Arial" w:eastAsia="Arial" w:hAnsi="Arial"/>
          <w:sz w:val="19"/>
          <w:szCs w:val="19"/>
          <w:color w:val="auto"/>
        </w:rPr>
      </w:pPr>
      <w:r>
        <w:rPr>
          <w:rFonts w:ascii="Arial" w:cs="Arial" w:eastAsia="Arial" w:hAnsi="Arial"/>
          <w:sz w:val="21"/>
          <w:szCs w:val="21"/>
          <w:color w:val="auto"/>
        </w:rPr>
        <w:t>The Incentive Distribution Rights are duly authorized and validly issued in accordance with the Partnership Agreement, and are fully paid (to the extent required under the Partnership Agreement) and nonassessable (except as such nonassessability may be affected by Sections 30, 41, 51 and 60 of the Marshall Islands LP Act); and to our knowledge, GasLog owns such Incentive Distribution Rights free and clear of all Liens (except for restrictions on transferability under applicable securities laws or as described in the Prospectus).</w:t>
      </w:r>
    </w:p>
    <w:p>
      <w:pPr>
        <w:spacing w:after="0" w:line="68" w:lineRule="exact"/>
        <w:rPr>
          <w:rFonts w:ascii="Arial" w:cs="Arial" w:eastAsia="Arial" w:hAnsi="Arial"/>
          <w:sz w:val="19"/>
          <w:szCs w:val="19"/>
          <w:color w:val="auto"/>
        </w:rPr>
      </w:pPr>
    </w:p>
    <w:p>
      <w:pPr>
        <w:jc w:val="both"/>
        <w:ind w:left="681" w:hanging="681"/>
        <w:spacing w:after="0" w:line="279" w:lineRule="auto"/>
        <w:tabs>
          <w:tab w:leader="none" w:pos="1029" w:val="left"/>
        </w:tabs>
        <w:numPr>
          <w:ilvl w:val="0"/>
          <w:numId w:val="71"/>
        </w:numPr>
        <w:rPr>
          <w:rFonts w:ascii="Arial" w:cs="Arial" w:eastAsia="Arial" w:hAnsi="Arial"/>
          <w:sz w:val="19"/>
          <w:szCs w:val="19"/>
          <w:color w:val="auto"/>
        </w:rPr>
      </w:pPr>
      <w:r>
        <w:rPr>
          <w:rFonts w:ascii="Arial" w:cs="Arial" w:eastAsia="Arial" w:hAnsi="Arial"/>
          <w:sz w:val="21"/>
          <w:szCs w:val="21"/>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or the Prospectus which is not adequately disclosed as required.</w:t>
      </w:r>
    </w:p>
    <w:p>
      <w:pPr>
        <w:spacing w:after="0" w:line="56" w:lineRule="exact"/>
        <w:rPr>
          <w:rFonts w:ascii="Arial" w:cs="Arial" w:eastAsia="Arial" w:hAnsi="Arial"/>
          <w:sz w:val="19"/>
          <w:szCs w:val="19"/>
          <w:color w:val="auto"/>
        </w:rPr>
      </w:pPr>
    </w:p>
    <w:p>
      <w:pPr>
        <w:jc w:val="both"/>
        <w:ind w:left="681" w:hanging="681"/>
        <w:spacing w:after="0" w:line="239" w:lineRule="auto"/>
        <w:tabs>
          <w:tab w:leader="none" w:pos="1158" w:val="left"/>
        </w:tabs>
        <w:numPr>
          <w:ilvl w:val="0"/>
          <w:numId w:val="71"/>
        </w:numPr>
        <w:rPr>
          <w:rFonts w:ascii="Arial" w:cs="Arial" w:eastAsia="Arial" w:hAnsi="Arial"/>
          <w:sz w:val="21"/>
          <w:szCs w:val="21"/>
          <w:color w:val="auto"/>
        </w:rPr>
      </w:pPr>
      <w:r>
        <w:rPr>
          <w:rFonts w:ascii="Arial" w:cs="Arial" w:eastAsia="Arial" w:hAnsi="Arial"/>
          <w:sz w:val="23"/>
          <w:szCs w:val="23"/>
          <w:color w:val="auto"/>
        </w:rPr>
        <w:t>The statements in the Registration Statement and the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 and regulations addressed thereby, subject to the qualifications and assumptions stated therein.</w:t>
      </w:r>
    </w:p>
    <w:p>
      <w:pPr>
        <w:spacing w:after="0" w:line="94" w:lineRule="exact"/>
        <w:rPr>
          <w:rFonts w:ascii="Arial" w:cs="Arial" w:eastAsia="Arial" w:hAnsi="Arial"/>
          <w:sz w:val="21"/>
          <w:szCs w:val="21"/>
          <w:color w:val="auto"/>
        </w:rPr>
      </w:pPr>
    </w:p>
    <w:p>
      <w:pPr>
        <w:jc w:val="both"/>
        <w:ind w:left="681" w:hanging="681"/>
        <w:spacing w:after="0" w:line="245" w:lineRule="auto"/>
        <w:tabs>
          <w:tab w:leader="none" w:pos="773" w:val="left"/>
        </w:tabs>
        <w:numPr>
          <w:ilvl w:val="0"/>
          <w:numId w:val="71"/>
        </w:numPr>
        <w:rPr>
          <w:rFonts w:ascii="Arial" w:cs="Arial" w:eastAsia="Arial" w:hAnsi="Arial"/>
          <w:sz w:val="21"/>
          <w:szCs w:val="21"/>
          <w:color w:val="auto"/>
        </w:rPr>
      </w:pPr>
      <w:r>
        <w:rPr>
          <w:rFonts w:ascii="Arial" w:cs="Arial" w:eastAsia="Arial" w:hAnsi="Arial"/>
          <w:sz w:val="23"/>
          <w:szCs w:val="23"/>
          <w:color w:val="auto"/>
        </w:rPr>
        <w:t>So long as none of the Units are owned directly or indirectly by the Republic of The Marshall Islands or any other sovereign state, the MI Entities are not entitled to any immunity under the laws of the Republic of The Marshall Islands, whether</w:t>
      </w:r>
    </w:p>
    <w:p>
      <w:pPr>
        <w:spacing w:after="0" w:line="65" w:lineRule="exact"/>
        <w:rPr>
          <w:sz w:val="20"/>
          <w:szCs w:val="20"/>
          <w:color w:val="auto"/>
        </w:rPr>
      </w:pPr>
    </w:p>
    <w:p>
      <w:pPr>
        <w:ind w:left="4961"/>
        <w:spacing w:after="0"/>
        <w:rPr>
          <w:sz w:val="20"/>
          <w:szCs w:val="20"/>
          <w:color w:val="auto"/>
        </w:rPr>
      </w:pPr>
      <w:r>
        <w:rPr>
          <w:rFonts w:ascii="Arial" w:cs="Arial" w:eastAsia="Arial" w:hAnsi="Arial"/>
          <w:sz w:val="15"/>
          <w:szCs w:val="15"/>
          <w:color w:val="auto"/>
        </w:rPr>
        <w:t>Annex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217805</wp:posOffset>
            </wp:positionV>
            <wp:extent cx="7646670"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04" w:right="120" w:bottom="1440" w:gutter="0" w:footer="0" w:header="0"/>
        </w:sectPr>
      </w:pPr>
    </w:p>
    <w:bookmarkStart w:id="59" w:name="page60"/>
    <w:bookmarkEnd w:id="59"/>
    <w:p>
      <w:pPr>
        <w:ind w:left="681"/>
        <w:spacing w:after="0" w:line="257" w:lineRule="auto"/>
        <w:rPr>
          <w:sz w:val="20"/>
          <w:szCs w:val="20"/>
          <w:color w:val="auto"/>
        </w:rPr>
      </w:pPr>
      <w:r>
        <w:rPr>
          <w:rFonts w:ascii="Arial" w:cs="Arial" w:eastAsia="Arial" w:hAnsi="Arial"/>
          <w:sz w:val="23"/>
          <w:szCs w:val="23"/>
          <w:color w:val="auto"/>
        </w:rPr>
        <w:t>characterized as sovereign immunity or otherwise, from any legal proceedings in respect of themselves or their respective properties in relation to the Equity Distribution Agreement.</w:t>
      </w:r>
    </w:p>
    <w:p>
      <w:pPr>
        <w:spacing w:after="0" w:line="75" w:lineRule="exact"/>
        <w:rPr>
          <w:sz w:val="20"/>
          <w:szCs w:val="20"/>
          <w:color w:val="auto"/>
        </w:rPr>
      </w:pPr>
    </w:p>
    <w:p>
      <w:pPr>
        <w:ind w:left="681" w:right="20" w:hanging="681"/>
        <w:spacing w:after="0" w:line="279" w:lineRule="auto"/>
        <w:tabs>
          <w:tab w:leader="none" w:pos="815" w:val="left"/>
        </w:tabs>
        <w:numPr>
          <w:ilvl w:val="0"/>
          <w:numId w:val="72"/>
        </w:numPr>
        <w:rPr>
          <w:rFonts w:ascii="Arial" w:cs="Arial" w:eastAsia="Arial" w:hAnsi="Arial"/>
          <w:sz w:val="20"/>
          <w:szCs w:val="20"/>
          <w:color w:val="auto"/>
        </w:rPr>
      </w:pPr>
      <w:r>
        <w:rPr>
          <w:rFonts w:ascii="Arial" w:cs="Arial" w:eastAsia="Arial" w:hAnsi="Arial"/>
          <w:sz w:val="22"/>
          <w:szCs w:val="22"/>
          <w:color w:val="auto"/>
        </w:rPr>
        <w:t>The choice of New York law to govern the Equity Distribution Agreement would be regarded by the courts of the Marshall Islands as a matter of civil contract to be enforced in the same manner as other contracts.</w:t>
      </w:r>
    </w:p>
    <w:p>
      <w:pPr>
        <w:spacing w:after="0" w:line="53" w:lineRule="exact"/>
        <w:rPr>
          <w:rFonts w:ascii="Arial" w:cs="Arial" w:eastAsia="Arial" w:hAnsi="Arial"/>
          <w:sz w:val="20"/>
          <w:szCs w:val="20"/>
          <w:color w:val="auto"/>
        </w:rPr>
      </w:pPr>
    </w:p>
    <w:p>
      <w:pPr>
        <w:jc w:val="both"/>
        <w:ind w:left="681" w:hanging="681"/>
        <w:spacing w:after="0" w:line="261" w:lineRule="auto"/>
        <w:tabs>
          <w:tab w:leader="none" w:pos="830" w:val="left"/>
        </w:tabs>
        <w:numPr>
          <w:ilvl w:val="0"/>
          <w:numId w:val="72"/>
        </w:numPr>
        <w:rPr>
          <w:rFonts w:ascii="Arial" w:cs="Arial" w:eastAsia="Arial" w:hAnsi="Arial"/>
          <w:sz w:val="20"/>
          <w:szCs w:val="20"/>
          <w:color w:val="auto"/>
        </w:rPr>
      </w:pPr>
      <w:r>
        <w:rPr>
          <w:rFonts w:ascii="Arial" w:cs="Arial" w:eastAsia="Arial" w:hAnsi="Arial"/>
          <w:sz w:val="22"/>
          <w:szCs w:val="22"/>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73" w:lineRule="exact"/>
        <w:rPr>
          <w:rFonts w:ascii="Arial" w:cs="Arial" w:eastAsia="Arial" w:hAnsi="Arial"/>
          <w:sz w:val="20"/>
          <w:szCs w:val="20"/>
          <w:color w:val="auto"/>
        </w:rPr>
      </w:pPr>
    </w:p>
    <w:p>
      <w:pPr>
        <w:ind w:left="1381" w:hanging="697"/>
        <w:spacing w:after="0"/>
        <w:tabs>
          <w:tab w:leader="none" w:pos="1381" w:val="left"/>
        </w:tabs>
        <w:numPr>
          <w:ilvl w:val="1"/>
          <w:numId w:val="72"/>
        </w:numPr>
        <w:rPr>
          <w:rFonts w:ascii="Arial" w:cs="Arial" w:eastAsia="Arial" w:hAnsi="Arial"/>
          <w:sz w:val="23"/>
          <w:szCs w:val="23"/>
          <w:color w:val="auto"/>
        </w:rPr>
      </w:pPr>
      <w:r>
        <w:rPr>
          <w:rFonts w:ascii="Arial" w:cs="Arial" w:eastAsia="Arial" w:hAnsi="Arial"/>
          <w:sz w:val="23"/>
          <w:szCs w:val="23"/>
          <w:color w:val="auto"/>
        </w:rPr>
        <w:t>it has not been pronounced by a court of competent jurisdiction;</w:t>
      </w:r>
    </w:p>
    <w:p>
      <w:pPr>
        <w:spacing w:after="0" w:line="120" w:lineRule="exact"/>
        <w:rPr>
          <w:rFonts w:ascii="Arial" w:cs="Arial" w:eastAsia="Arial" w:hAnsi="Arial"/>
          <w:sz w:val="23"/>
          <w:szCs w:val="23"/>
          <w:color w:val="auto"/>
        </w:rPr>
      </w:pPr>
    </w:p>
    <w:p>
      <w:pPr>
        <w:ind w:left="1381" w:hanging="697"/>
        <w:spacing w:after="0"/>
        <w:tabs>
          <w:tab w:leader="none" w:pos="1381" w:val="left"/>
        </w:tabs>
        <w:numPr>
          <w:ilvl w:val="1"/>
          <w:numId w:val="72"/>
        </w:numPr>
        <w:rPr>
          <w:rFonts w:ascii="Arial" w:cs="Arial" w:eastAsia="Arial" w:hAnsi="Arial"/>
          <w:sz w:val="23"/>
          <w:szCs w:val="23"/>
          <w:color w:val="auto"/>
        </w:rPr>
      </w:pPr>
      <w:r>
        <w:rPr>
          <w:rFonts w:ascii="Arial" w:cs="Arial" w:eastAsia="Arial" w:hAnsi="Arial"/>
          <w:sz w:val="23"/>
          <w:szCs w:val="23"/>
          <w:color w:val="auto"/>
        </w:rPr>
        <w:t>it has not been given on the merits of the case;</w:t>
      </w:r>
    </w:p>
    <w:p>
      <w:pPr>
        <w:spacing w:after="0" w:line="120" w:lineRule="exact"/>
        <w:rPr>
          <w:rFonts w:ascii="Arial" w:cs="Arial" w:eastAsia="Arial" w:hAnsi="Arial"/>
          <w:sz w:val="23"/>
          <w:szCs w:val="23"/>
          <w:color w:val="auto"/>
        </w:rPr>
      </w:pPr>
    </w:p>
    <w:p>
      <w:pPr>
        <w:ind w:left="1361" w:right="180" w:hanging="677"/>
        <w:spacing w:after="0" w:line="331" w:lineRule="auto"/>
        <w:tabs>
          <w:tab w:leader="none" w:pos="1372" w:val="left"/>
        </w:tabs>
        <w:numPr>
          <w:ilvl w:val="1"/>
          <w:numId w:val="72"/>
        </w:numPr>
        <w:rPr>
          <w:rFonts w:ascii="Arial" w:cs="Arial" w:eastAsia="Arial" w:hAnsi="Arial"/>
          <w:sz w:val="20"/>
          <w:szCs w:val="20"/>
          <w:color w:val="auto"/>
        </w:rPr>
      </w:pPr>
      <w:r>
        <w:rPr>
          <w:rFonts w:ascii="Arial" w:cs="Arial" w:eastAsia="Arial" w:hAnsi="Arial"/>
          <w:sz w:val="20"/>
          <w:szCs w:val="20"/>
          <w:color w:val="auto"/>
        </w:rPr>
        <w:t>it appears on the face of the proceeding to be founded on an incorrect view of international law or a refusal to recognize the laws of the Republic of the Marshall Islands in cases in which such laws are applicable;</w:t>
      </w:r>
    </w:p>
    <w:p>
      <w:pPr>
        <w:spacing w:after="0" w:line="7" w:lineRule="exact"/>
        <w:rPr>
          <w:rFonts w:ascii="Arial" w:cs="Arial" w:eastAsia="Arial" w:hAnsi="Arial"/>
          <w:sz w:val="20"/>
          <w:szCs w:val="20"/>
          <w:color w:val="auto"/>
        </w:rPr>
      </w:pPr>
    </w:p>
    <w:p>
      <w:pPr>
        <w:ind w:left="1361" w:hanging="677"/>
        <w:spacing w:after="0"/>
        <w:tabs>
          <w:tab w:leader="none" w:pos="1361" w:val="left"/>
        </w:tabs>
        <w:numPr>
          <w:ilvl w:val="1"/>
          <w:numId w:val="72"/>
        </w:numPr>
        <w:rPr>
          <w:rFonts w:ascii="Arial" w:cs="Arial" w:eastAsia="Arial" w:hAnsi="Arial"/>
          <w:sz w:val="23"/>
          <w:szCs w:val="23"/>
          <w:color w:val="auto"/>
        </w:rPr>
      </w:pPr>
      <w:r>
        <w:rPr>
          <w:rFonts w:ascii="Arial" w:cs="Arial" w:eastAsia="Arial" w:hAnsi="Arial"/>
          <w:sz w:val="23"/>
          <w:szCs w:val="23"/>
          <w:color w:val="auto"/>
        </w:rPr>
        <w:t>the proceedings in which the judgment was obtained are opposed to natural justice;</w:t>
      </w:r>
    </w:p>
    <w:p>
      <w:pPr>
        <w:spacing w:after="0" w:line="120" w:lineRule="exact"/>
        <w:rPr>
          <w:rFonts w:ascii="Arial" w:cs="Arial" w:eastAsia="Arial" w:hAnsi="Arial"/>
          <w:sz w:val="23"/>
          <w:szCs w:val="23"/>
          <w:color w:val="auto"/>
        </w:rPr>
      </w:pPr>
    </w:p>
    <w:p>
      <w:pPr>
        <w:ind w:left="1381" w:hanging="697"/>
        <w:spacing w:after="0"/>
        <w:tabs>
          <w:tab w:leader="none" w:pos="1381" w:val="left"/>
        </w:tabs>
        <w:numPr>
          <w:ilvl w:val="1"/>
          <w:numId w:val="72"/>
        </w:numPr>
        <w:rPr>
          <w:rFonts w:ascii="Arial" w:cs="Arial" w:eastAsia="Arial" w:hAnsi="Arial"/>
          <w:sz w:val="23"/>
          <w:szCs w:val="23"/>
          <w:color w:val="auto"/>
        </w:rPr>
      </w:pPr>
      <w:r>
        <w:rPr>
          <w:rFonts w:ascii="Arial" w:cs="Arial" w:eastAsia="Arial" w:hAnsi="Arial"/>
          <w:sz w:val="23"/>
          <w:szCs w:val="23"/>
          <w:color w:val="auto"/>
        </w:rPr>
        <w:t>it has been obtained by fraud;</w:t>
      </w:r>
    </w:p>
    <w:p>
      <w:pPr>
        <w:spacing w:after="0" w:line="120" w:lineRule="exact"/>
        <w:rPr>
          <w:rFonts w:ascii="Arial" w:cs="Arial" w:eastAsia="Arial" w:hAnsi="Arial"/>
          <w:sz w:val="23"/>
          <w:szCs w:val="23"/>
          <w:color w:val="auto"/>
        </w:rPr>
      </w:pPr>
    </w:p>
    <w:p>
      <w:pPr>
        <w:ind w:left="1361" w:hanging="677"/>
        <w:spacing w:after="0"/>
        <w:tabs>
          <w:tab w:leader="none" w:pos="1361" w:val="left"/>
        </w:tabs>
        <w:numPr>
          <w:ilvl w:val="1"/>
          <w:numId w:val="72"/>
        </w:numPr>
        <w:rPr>
          <w:rFonts w:ascii="Arial" w:cs="Arial" w:eastAsia="Arial" w:hAnsi="Arial"/>
          <w:sz w:val="22"/>
          <w:szCs w:val="22"/>
          <w:color w:val="auto"/>
        </w:rPr>
      </w:pPr>
      <w:r>
        <w:rPr>
          <w:rFonts w:ascii="Arial" w:cs="Arial" w:eastAsia="Arial" w:hAnsi="Arial"/>
          <w:sz w:val="22"/>
          <w:szCs w:val="22"/>
          <w:color w:val="auto"/>
        </w:rPr>
        <w:t>it sustains a claim founded on a breach of any law in force in the Republic of the Marshall Islands; or</w:t>
      </w:r>
    </w:p>
    <w:p>
      <w:pPr>
        <w:spacing w:after="0" w:line="132" w:lineRule="exact"/>
        <w:rPr>
          <w:rFonts w:ascii="Arial" w:cs="Arial" w:eastAsia="Arial" w:hAnsi="Arial"/>
          <w:sz w:val="22"/>
          <w:szCs w:val="22"/>
          <w:color w:val="auto"/>
        </w:rPr>
      </w:pPr>
    </w:p>
    <w:p>
      <w:pPr>
        <w:ind w:left="1381" w:hanging="697"/>
        <w:spacing w:after="0"/>
        <w:tabs>
          <w:tab w:leader="none" w:pos="1381" w:val="left"/>
        </w:tabs>
        <w:numPr>
          <w:ilvl w:val="1"/>
          <w:numId w:val="72"/>
        </w:numPr>
        <w:rPr>
          <w:rFonts w:ascii="Arial" w:cs="Arial" w:eastAsia="Arial" w:hAnsi="Arial"/>
          <w:sz w:val="23"/>
          <w:szCs w:val="23"/>
          <w:color w:val="auto"/>
        </w:rPr>
      </w:pPr>
      <w:r>
        <w:rPr>
          <w:rFonts w:ascii="Arial" w:cs="Arial" w:eastAsia="Arial" w:hAnsi="Arial"/>
          <w:sz w:val="23"/>
          <w:szCs w:val="23"/>
          <w:color w:val="auto"/>
        </w:rPr>
        <w:t>it has been obtained by default where the relevant MI Entity was not represented.</w:t>
      </w:r>
    </w:p>
    <w:p>
      <w:pPr>
        <w:spacing w:after="0" w:line="225" w:lineRule="exact"/>
        <w:rPr>
          <w:sz w:val="20"/>
          <w:szCs w:val="20"/>
          <w:color w:val="auto"/>
        </w:rPr>
      </w:pPr>
    </w:p>
    <w:p>
      <w:pPr>
        <w:ind w:left="4961"/>
        <w:spacing w:after="0"/>
        <w:rPr>
          <w:sz w:val="20"/>
          <w:szCs w:val="20"/>
          <w:color w:val="auto"/>
        </w:rPr>
      </w:pPr>
      <w:r>
        <w:rPr>
          <w:rFonts w:ascii="Arial" w:cs="Arial" w:eastAsia="Arial" w:hAnsi="Arial"/>
          <w:sz w:val="15"/>
          <w:szCs w:val="15"/>
          <w:color w:val="auto"/>
        </w:rPr>
        <w:t>Annex 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217805</wp:posOffset>
            </wp:positionV>
            <wp:extent cx="7646670" cy="311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1"/>
          </w:cols>
          <w:pgMar w:left="799" w:top="204" w:right="120" w:bottom="1440" w:gutter="0" w:footer="0" w:header="0"/>
        </w:sectPr>
      </w:pPr>
    </w:p>
    <w:bookmarkStart w:id="60" w:name="page61"/>
    <w:bookmarkEnd w:id="60"/>
    <w:p>
      <w:pPr>
        <w:jc w:val="right"/>
        <w:spacing w:after="0"/>
        <w:rPr>
          <w:sz w:val="20"/>
          <w:szCs w:val="20"/>
          <w:color w:val="auto"/>
        </w:rPr>
      </w:pPr>
      <w:r>
        <w:rPr>
          <w:rFonts w:ascii="Arial" w:cs="Arial" w:eastAsia="Arial" w:hAnsi="Arial"/>
          <w:sz w:val="23"/>
          <w:szCs w:val="23"/>
          <w:b w:val="1"/>
          <w:bCs w:val="1"/>
          <w:u w:val="single" w:color="auto"/>
          <w:color w:val="auto"/>
        </w:rPr>
        <w:t>Annex IV</w:t>
      </w:r>
    </w:p>
    <w:p>
      <w:pPr>
        <w:spacing w:after="0" w:line="226" w:lineRule="exact"/>
        <w:rPr>
          <w:sz w:val="20"/>
          <w:szCs w:val="20"/>
          <w:color w:val="auto"/>
        </w:rPr>
      </w:pPr>
    </w:p>
    <w:p>
      <w:pPr>
        <w:jc w:val="center"/>
        <w:ind w:right="-5"/>
        <w:spacing w:after="0"/>
        <w:rPr>
          <w:sz w:val="20"/>
          <w:szCs w:val="20"/>
          <w:color w:val="auto"/>
        </w:rPr>
      </w:pPr>
      <w:r>
        <w:rPr>
          <w:rFonts w:ascii="Arial" w:cs="Arial" w:eastAsia="Arial" w:hAnsi="Arial"/>
          <w:sz w:val="23"/>
          <w:szCs w:val="23"/>
          <w:u w:val="single" w:color="auto"/>
          <w:color w:val="auto"/>
        </w:rPr>
        <w:t>MATTERS TO BE COVERED BY BERMUDA COUNSEL OPINION</w:t>
      </w:r>
    </w:p>
    <w:p>
      <w:pPr>
        <w:spacing w:after="0" w:line="220" w:lineRule="exact"/>
        <w:rPr>
          <w:sz w:val="20"/>
          <w:szCs w:val="20"/>
          <w:color w:val="auto"/>
        </w:rPr>
      </w:pPr>
    </w:p>
    <w:p>
      <w:pPr>
        <w:jc w:val="both"/>
        <w:ind w:left="506" w:hanging="506"/>
        <w:spacing w:after="0" w:line="261" w:lineRule="auto"/>
        <w:tabs>
          <w:tab w:leader="none" w:pos="649" w:val="left"/>
        </w:tabs>
        <w:numPr>
          <w:ilvl w:val="0"/>
          <w:numId w:val="73"/>
        </w:numPr>
        <w:rPr>
          <w:rFonts w:ascii="Arial" w:cs="Arial" w:eastAsia="Arial" w:hAnsi="Arial"/>
          <w:sz w:val="21"/>
          <w:szCs w:val="21"/>
          <w:color w:val="auto"/>
        </w:rPr>
      </w:pPr>
      <w:r>
        <w:rPr>
          <w:rFonts w:ascii="Arial" w:cs="Arial" w:eastAsia="Arial" w:hAnsi="Arial"/>
          <w:sz w:val="21"/>
          <w:szCs w:val="21"/>
          <w:color w:val="auto"/>
        </w:rPr>
        <w:t>Each of the Company, GAS-three Ltd., GAS-four Ltd., GAS-five Ltd., GAS-seven Ltd., GAS-eight Ltd., GAS-eleven Ltd., GAS-thirteen Ltd., GAS-fourteen Ltd., GAS-sixteen Ltd., GAS-seventeen Ltd., GAS-nineteen Ltd., GAS-twenty Ltd., GAS-twenty one Ltd. and GAS-twenty seven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GAS-eight Ltd., GAS-eleven Ltd., GAS-thirteen Ltd., GAS-fourteen Ltd., GAS-sixteen Ltd., GAS-seventeen Ltd., GAS-nineteen Ltd., GAS-twenty Ltd., GAS-twenty one Ltd. and GAS-twenty seven Ltd. possesses the capacity to sue and be sued in its own name under the laws of Bermuda.</w:t>
      </w:r>
    </w:p>
    <w:p>
      <w:pPr>
        <w:spacing w:after="0" w:line="174" w:lineRule="exact"/>
        <w:rPr>
          <w:rFonts w:ascii="Arial" w:cs="Arial" w:eastAsia="Arial" w:hAnsi="Arial"/>
          <w:sz w:val="21"/>
          <w:szCs w:val="21"/>
          <w:color w:val="auto"/>
        </w:rPr>
      </w:pPr>
    </w:p>
    <w:p>
      <w:pPr>
        <w:jc w:val="both"/>
        <w:ind w:left="506" w:hanging="506"/>
        <w:spacing w:after="0" w:line="255" w:lineRule="auto"/>
        <w:tabs>
          <w:tab w:leader="none" w:pos="649"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of the Company, GAS-three Ltd., GAS-four Ltd., GAS-five Ltd., GAS-seven Ltd., GAS-eight Ltd., GAS-eleven Ltd., GAS-thirteen Ltd., GAS-fourteen Ltd., GAS-sixteen Ltd., GAS-seventeen Ltd., GAS-nineteen Ltd., GAS-twenty Ltd., GAS-twenty one Ltd. and GAS-twenty seven Ltd. has the necessary corporate power and authority to own, lease and operate its properties and conduct its business as described in the Registration Statement and the Prospectus.</w:t>
      </w:r>
    </w:p>
    <w:p>
      <w:pPr>
        <w:spacing w:after="0" w:line="179" w:lineRule="exact"/>
        <w:rPr>
          <w:rFonts w:ascii="Arial" w:cs="Arial" w:eastAsia="Arial" w:hAnsi="Arial"/>
          <w:sz w:val="22"/>
          <w:szCs w:val="22"/>
          <w:color w:val="auto"/>
        </w:rPr>
      </w:pPr>
    </w:p>
    <w:p>
      <w:pPr>
        <w:jc w:val="both"/>
        <w:ind w:left="506" w:hanging="506"/>
        <w:spacing w:after="0" w:line="252" w:lineRule="auto"/>
        <w:tabs>
          <w:tab w:leader="none" w:pos="9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order, consent, approval, licence, authorisation or validation of or exemption by any government or public body or authority of Bermuda or any sub-division thereof is required to authorise or is required to be obtained by the Company or the Managers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pacing w:after="0" w:line="183" w:lineRule="exact"/>
        <w:rPr>
          <w:rFonts w:ascii="Arial" w:cs="Arial" w:eastAsia="Arial" w:hAnsi="Arial"/>
          <w:sz w:val="22"/>
          <w:szCs w:val="22"/>
          <w:color w:val="auto"/>
        </w:rPr>
      </w:pPr>
    </w:p>
    <w:p>
      <w:pPr>
        <w:jc w:val="both"/>
        <w:ind w:left="506" w:hanging="506"/>
        <w:spacing w:after="0" w:line="249" w:lineRule="auto"/>
        <w:tabs>
          <w:tab w:leader="none" w:pos="1205"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permit, licences, franchises, concessions, certificates and authorisations of, or declarations or filings with, any governmental or regulatory authorities of Bermuda are required for the Company, GAS-three Ltd., GAS-four Ltd., GAS-five Ltd., GAS-seven Ltd., GAS-eight Ltd., GAS-eleven Ltd., GAS-thirteen Ltd., GAS-fourteen Ltd., GAS-sixteen Ltd., GAS-seventeen Ltd., GAS-nineteen Ltd., GAS-twenty Ltd., GAS-twenty one Ltd. or GAS-twenty seven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p>
      <w:pPr>
        <w:spacing w:after="0" w:line="187" w:lineRule="exact"/>
        <w:rPr>
          <w:rFonts w:ascii="Arial" w:cs="Arial" w:eastAsia="Arial" w:hAnsi="Arial"/>
          <w:sz w:val="22"/>
          <w:szCs w:val="22"/>
          <w:color w:val="auto"/>
        </w:rPr>
      </w:pPr>
    </w:p>
    <w:p>
      <w:pPr>
        <w:jc w:val="both"/>
        <w:ind w:left="506" w:hanging="506"/>
        <w:spacing w:after="0" w:line="261" w:lineRule="auto"/>
        <w:tabs>
          <w:tab w:leader="none" w:pos="649"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of the Company, GAS-three Ltd., GAS-four Ltd., GAS-five Ltd., GAS-seven Ltd., GAS-eight Ltd., GAS-eleven Ltd., GAS-thirteen Ltd., GAS-fourteen Ltd., GAS-sixteen Ltd., GAS-seventeen Ltd., GAS-nineteen Ltd., GAS-twenty Ltd., GAS-twenty one Ltd. and GAS-twenty seven Ltd. is not entitled to any immunity under the laws of Bermuda,</w:t>
      </w:r>
    </w:p>
    <w:p>
      <w:pPr>
        <w:spacing w:after="0" w:line="178"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Annex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646670"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198" w:right="120" w:bottom="1440" w:gutter="0" w:footer="0" w:header="0"/>
        </w:sectPr>
      </w:pPr>
    </w:p>
    <w:bookmarkStart w:id="61" w:name="page62"/>
    <w:bookmarkEnd w:id="61"/>
    <w:p>
      <w:pPr>
        <w:ind w:left="526"/>
        <w:spacing w:after="0" w:line="257" w:lineRule="auto"/>
        <w:rPr>
          <w:sz w:val="20"/>
          <w:szCs w:val="20"/>
          <w:color w:val="auto"/>
        </w:rPr>
      </w:pPr>
      <w:r>
        <w:rPr>
          <w:rFonts w:ascii="Arial" w:cs="Arial" w:eastAsia="Arial" w:hAnsi="Arial"/>
          <w:sz w:val="23"/>
          <w:szCs w:val="23"/>
          <w:color w:val="auto"/>
        </w:rPr>
        <w:t>whether characterized as sovereign immunity or otherwise, from any legal proceedings relating to the Documents or the transactions contemplated thereby in respect of themselves or their respective properties.</w:t>
      </w:r>
    </w:p>
    <w:p>
      <w:pPr>
        <w:spacing w:after="0" w:line="175" w:lineRule="exact"/>
        <w:rPr>
          <w:sz w:val="20"/>
          <w:szCs w:val="20"/>
          <w:color w:val="auto"/>
        </w:rPr>
      </w:pPr>
    </w:p>
    <w:p>
      <w:pPr>
        <w:jc w:val="both"/>
        <w:ind w:left="506" w:hanging="506"/>
        <w:spacing w:after="0" w:line="239" w:lineRule="auto"/>
        <w:tabs>
          <w:tab w:leader="none" w:pos="520" w:val="left"/>
        </w:tabs>
        <w:numPr>
          <w:ilvl w:val="0"/>
          <w:numId w:val="74"/>
        </w:numPr>
        <w:rPr>
          <w:rFonts w:ascii="Arial" w:cs="Arial" w:eastAsia="Arial" w:hAnsi="Arial"/>
          <w:sz w:val="23"/>
          <w:szCs w:val="23"/>
          <w:color w:val="auto"/>
        </w:rPr>
      </w:pPr>
      <w:r>
        <w:rPr>
          <w:rFonts w:ascii="Arial" w:cs="Arial" w:eastAsia="Arial" w:hAnsi="Arial"/>
          <w:sz w:val="23"/>
          <w:szCs w:val="23"/>
          <w:color w:val="auto"/>
        </w:rPr>
        <w:t>The choice of the Foreign Laws as the governing law of the Third Amended and Restated Equity Distribution Agreement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w:t>
      </w:r>
    </w:p>
    <w:p>
      <w:pPr>
        <w:spacing w:after="0" w:line="194" w:lineRule="exact"/>
        <w:rPr>
          <w:rFonts w:ascii="Arial" w:cs="Arial" w:eastAsia="Arial" w:hAnsi="Arial"/>
          <w:sz w:val="23"/>
          <w:szCs w:val="23"/>
          <w:color w:val="auto"/>
        </w:rPr>
      </w:pPr>
    </w:p>
    <w:p>
      <w:pPr>
        <w:jc w:val="both"/>
        <w:ind w:left="506" w:hanging="506"/>
        <w:spacing w:after="0" w:line="260" w:lineRule="auto"/>
        <w:tabs>
          <w:tab w:leader="none" w:pos="1105" w:val="left"/>
        </w:tabs>
        <w:numPr>
          <w:ilvl w:val="0"/>
          <w:numId w:val="74"/>
        </w:numPr>
        <w:rPr>
          <w:rFonts w:ascii="Arial" w:cs="Arial" w:eastAsia="Arial" w:hAnsi="Arial"/>
          <w:sz w:val="21"/>
          <w:szCs w:val="21"/>
          <w:color w:val="auto"/>
        </w:rPr>
      </w:pPr>
      <w:r>
        <w:rPr>
          <w:rFonts w:ascii="Arial" w:cs="Arial" w:eastAsia="Arial" w:hAnsi="Arial"/>
          <w:sz w:val="21"/>
          <w:szCs w:val="21"/>
          <w:color w:val="auto"/>
        </w:rPr>
        <w:t>It is not necessary or desirable to ensure the enforceability in Bermuda of the Third Amended and Restated Equity Distribution Agreement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$[665] will be payable in respect of the registration. While there is no exhaustive definition of a charge under Bermuda law, a charge includes any interest created in property by way of security (including any mortgage, assignment, pledge, lien or hypothecation). As the Third Amended and Restated Equity Distribution Agreement is governed by the Foreign Laws, the question of whether it creates such an interest in property would be determined under the Foreign Laws.</w:t>
      </w:r>
    </w:p>
    <w:p>
      <w:pPr>
        <w:spacing w:after="0" w:line="17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Annex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646670" cy="31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4" w:right="120" w:bottom="1440" w:gutter="0" w:footer="0" w:header="0"/>
        </w:sectPr>
      </w:pPr>
    </w:p>
    <w:bookmarkStart w:id="62" w:name="page63"/>
    <w:bookmarkEnd w:id="62"/>
    <w:p>
      <w:pPr>
        <w:jc w:val="right"/>
        <w:spacing w:after="0"/>
        <w:rPr>
          <w:sz w:val="20"/>
          <w:szCs w:val="20"/>
          <w:color w:val="auto"/>
        </w:rPr>
      </w:pPr>
      <w:r>
        <w:rPr>
          <w:rFonts w:ascii="Arial" w:cs="Arial" w:eastAsia="Arial" w:hAnsi="Arial"/>
          <w:sz w:val="23"/>
          <w:szCs w:val="23"/>
          <w:b w:val="1"/>
          <w:bCs w:val="1"/>
          <w:u w:val="single" w:color="auto"/>
          <w:color w:val="auto"/>
        </w:rPr>
        <w:t>Annex V</w:t>
      </w:r>
    </w:p>
    <w:p>
      <w:pPr>
        <w:spacing w:after="0" w:line="226" w:lineRule="exact"/>
        <w:rPr>
          <w:sz w:val="20"/>
          <w:szCs w:val="20"/>
          <w:color w:val="auto"/>
        </w:rPr>
      </w:pPr>
    </w:p>
    <w:p>
      <w:pPr>
        <w:ind w:left="2464"/>
        <w:spacing w:after="0"/>
        <w:rPr>
          <w:sz w:val="20"/>
          <w:szCs w:val="20"/>
          <w:color w:val="auto"/>
        </w:rPr>
      </w:pPr>
      <w:r>
        <w:rPr>
          <w:rFonts w:ascii="Arial" w:cs="Arial" w:eastAsia="Arial" w:hAnsi="Arial"/>
          <w:sz w:val="23"/>
          <w:szCs w:val="23"/>
          <w:u w:val="single" w:color="auto"/>
          <w:color w:val="auto"/>
        </w:rPr>
        <w:t>MATTERS TO BE COVERED BY ENGLISH COUNSEL OPINION</w:t>
      </w:r>
    </w:p>
    <w:p>
      <w:pPr>
        <w:spacing w:after="0" w:line="149" w:lineRule="exact"/>
        <w:rPr>
          <w:sz w:val="20"/>
          <w:szCs w:val="20"/>
          <w:color w:val="auto"/>
        </w:rPr>
      </w:pPr>
    </w:p>
    <w:p>
      <w:pPr>
        <w:jc w:val="both"/>
        <w:ind w:left="344" w:hanging="344"/>
        <w:spacing w:after="0" w:line="267" w:lineRule="auto"/>
        <w:tabs>
          <w:tab w:leader="none" w:pos="586" w:val="left"/>
        </w:tabs>
        <w:numPr>
          <w:ilvl w:val="0"/>
          <w:numId w:val="75"/>
        </w:numPr>
        <w:rPr>
          <w:rFonts w:ascii="Arial" w:cs="Arial" w:eastAsia="Arial" w:hAnsi="Arial"/>
          <w:sz w:val="21"/>
          <w:szCs w:val="21"/>
          <w:color w:val="auto"/>
        </w:rPr>
      </w:pPr>
      <w:r>
        <w:rPr>
          <w:rFonts w:ascii="Arial" w:cs="Arial" w:eastAsia="Arial" w:hAnsi="Arial"/>
          <w:sz w:val="21"/>
          <w:szCs w:val="21"/>
          <w:color w:val="auto"/>
        </w:rPr>
        <w:t>Based upon and subject to the foregoing and subject to the reservations, qualifications and observations set out in our Opinion and to any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78" w:lineRule="exact"/>
        <w:rPr>
          <w:sz w:val="20"/>
          <w:szCs w:val="20"/>
          <w:color w:val="auto"/>
        </w:rPr>
      </w:pPr>
    </w:p>
    <w:p>
      <w:pPr>
        <w:jc w:val="center"/>
        <w:ind w:right="336"/>
        <w:spacing w:after="0"/>
        <w:rPr>
          <w:sz w:val="20"/>
          <w:szCs w:val="20"/>
          <w:color w:val="auto"/>
        </w:rPr>
      </w:pPr>
      <w:r>
        <w:rPr>
          <w:rFonts w:ascii="Arial" w:cs="Arial" w:eastAsia="Arial" w:hAnsi="Arial"/>
          <w:sz w:val="19"/>
          <w:szCs w:val="19"/>
          <w:color w:val="auto"/>
        </w:rPr>
        <w:t>Annex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85725</wp:posOffset>
            </wp:positionV>
            <wp:extent cx="7646670" cy="31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664"/>
          </w:cols>
          <w:pgMar w:left="456" w:top="198" w:right="120" w:bottom="1440" w:gutter="0" w:footer="0" w:header="0"/>
        </w:sectPr>
      </w:pPr>
    </w:p>
    <w:bookmarkStart w:id="63" w:name="page64"/>
    <w:bookmarkEnd w:id="63"/>
    <w:p>
      <w:pPr>
        <w:jc w:val="right"/>
        <w:spacing w:after="0"/>
        <w:rPr>
          <w:sz w:val="20"/>
          <w:szCs w:val="20"/>
          <w:color w:val="auto"/>
        </w:rPr>
      </w:pPr>
      <w:r>
        <w:rPr>
          <w:rFonts w:ascii="Arial" w:cs="Arial" w:eastAsia="Arial" w:hAnsi="Arial"/>
          <w:sz w:val="23"/>
          <w:szCs w:val="2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139700</wp:posOffset>
            </wp:positionV>
            <wp:extent cx="1304290" cy="434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4290"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February 26, 2019</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GasLog Partners LP</w:t>
      </w:r>
    </w:p>
    <w:p>
      <w:pPr>
        <w:spacing w:after="0" w:line="4" w:lineRule="exact"/>
        <w:rPr>
          <w:sz w:val="20"/>
          <w:szCs w:val="20"/>
          <w:color w:val="auto"/>
        </w:rPr>
      </w:pPr>
    </w:p>
    <w:p>
      <w:pPr>
        <w:spacing w:after="0"/>
        <w:rPr>
          <w:sz w:val="20"/>
          <w:szCs w:val="20"/>
          <w:color w:val="auto"/>
        </w:rPr>
      </w:pPr>
      <w:r>
        <w:rPr>
          <w:rFonts w:ascii="Arial" w:cs="Arial" w:eastAsia="Arial" w:hAnsi="Arial"/>
          <w:sz w:val="23"/>
          <w:szCs w:val="23"/>
          <w:color w:val="auto"/>
        </w:rPr>
        <w:t>Gildo Pastor Center</w:t>
      </w:r>
    </w:p>
    <w:p>
      <w:pPr>
        <w:spacing w:after="0" w:line="232" w:lineRule="auto"/>
        <w:rPr>
          <w:sz w:val="20"/>
          <w:szCs w:val="20"/>
          <w:color w:val="auto"/>
        </w:rPr>
      </w:pPr>
      <w:r>
        <w:rPr>
          <w:rFonts w:ascii="Arial" w:cs="Arial" w:eastAsia="Arial" w:hAnsi="Arial"/>
          <w:sz w:val="23"/>
          <w:szCs w:val="23"/>
          <w:color w:val="auto"/>
        </w:rPr>
        <w:t>7 Rue du Gabian</w:t>
      </w:r>
    </w:p>
    <w:p>
      <w:pPr>
        <w:spacing w:after="0" w:line="233" w:lineRule="auto"/>
        <w:rPr>
          <w:sz w:val="20"/>
          <w:szCs w:val="20"/>
          <w:color w:val="auto"/>
        </w:rPr>
      </w:pPr>
      <w:r>
        <w:rPr>
          <w:rFonts w:ascii="Arial" w:cs="Arial" w:eastAsia="Arial" w:hAnsi="Arial"/>
          <w:sz w:val="23"/>
          <w:szCs w:val="23"/>
          <w:color w:val="auto"/>
        </w:rPr>
        <w:t>MC 98000</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rPr>
        <w:t>Monaco</w:t>
      </w:r>
    </w:p>
    <w:p>
      <w:pPr>
        <w:spacing w:after="0" w:line="229"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23"/>
          <w:szCs w:val="23"/>
          <w:color w:val="auto"/>
        </w:rPr>
        <w:t>Re:</w:t>
      </w:r>
      <w:r>
        <w:rPr>
          <w:sz w:val="20"/>
          <w:szCs w:val="20"/>
          <w:color w:val="auto"/>
        </w:rPr>
        <w:tab/>
      </w:r>
      <w:r>
        <w:rPr>
          <w:rFonts w:ascii="Arial" w:cs="Arial" w:eastAsia="Arial" w:hAnsi="Arial"/>
          <w:sz w:val="23"/>
          <w:szCs w:val="23"/>
          <w:color w:val="auto"/>
        </w:rPr>
        <w:t>GasLog Partners LP</w:t>
      </w:r>
    </w:p>
    <w:p>
      <w:pPr>
        <w:spacing w:after="0" w:line="320" w:lineRule="exact"/>
        <w:rPr>
          <w:sz w:val="20"/>
          <w:szCs w:val="20"/>
          <w:color w:val="auto"/>
        </w:rPr>
      </w:pPr>
    </w:p>
    <w:p>
      <w:pPr>
        <w:spacing w:after="0"/>
        <w:rPr>
          <w:sz w:val="20"/>
          <w:szCs w:val="20"/>
          <w:color w:val="auto"/>
        </w:rPr>
      </w:pPr>
      <w:r>
        <w:rPr>
          <w:rFonts w:ascii="Arial" w:cs="Arial" w:eastAsia="Arial" w:hAnsi="Arial"/>
          <w:sz w:val="23"/>
          <w:szCs w:val="23"/>
          <w:color w:val="auto"/>
        </w:rPr>
        <w:t>Ladies and Gentlemen:</w:t>
      </w:r>
    </w:p>
    <w:p>
      <w:pPr>
        <w:spacing w:after="0" w:line="200" w:lineRule="exact"/>
        <w:rPr>
          <w:sz w:val="20"/>
          <w:szCs w:val="20"/>
          <w:color w:val="auto"/>
        </w:rPr>
      </w:pPr>
    </w:p>
    <w:p>
      <w:pPr>
        <w:spacing w:after="0" w:line="291" w:lineRule="exact"/>
        <w:rPr>
          <w:sz w:val="20"/>
          <w:szCs w:val="20"/>
          <w:color w:val="auto"/>
        </w:rPr>
      </w:pPr>
    </w:p>
    <w:p>
      <w:pPr>
        <w:ind w:right="80" w:firstLine="685"/>
        <w:spacing w:after="0" w:line="345" w:lineRule="auto"/>
        <w:rPr>
          <w:sz w:val="20"/>
          <w:szCs w:val="20"/>
          <w:color w:val="auto"/>
        </w:rPr>
      </w:pPr>
      <w:r>
        <w:rPr>
          <w:rFonts w:ascii="Arial" w:cs="Arial" w:eastAsia="Arial" w:hAnsi="Arial"/>
          <w:sz w:val="21"/>
          <w:szCs w:val="21"/>
          <w:color w:val="auto"/>
        </w:rPr>
        <w:t>We have acted as counsel to 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in connection with the registration of its common units (the “</w:t>
      </w:r>
      <w:r>
        <w:rPr>
          <w:rFonts w:ascii="Arial" w:cs="Arial" w:eastAsia="Arial" w:hAnsi="Arial"/>
          <w:sz w:val="21"/>
          <w:szCs w:val="21"/>
          <w:u w:val="single" w:color="auto"/>
          <w:color w:val="auto"/>
        </w:rPr>
        <w:t>Units</w:t>
      </w:r>
      <w:r>
        <w:rPr>
          <w:rFonts w:ascii="Arial" w:cs="Arial" w:eastAsia="Arial" w:hAnsi="Arial"/>
          <w:sz w:val="21"/>
          <w:szCs w:val="21"/>
          <w:color w:val="auto"/>
        </w:rPr>
        <w:t>”), representing limited partner interests in the Partnership, pursuant to the Partnership’s registration statement on Form F-3 (File No. 333-220736) (such registration statement as amended or supplemented from time to time)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as filed with the U.S.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under the U.S. Securities Act of 1933, as amended (the “</w:t>
      </w:r>
      <w:r>
        <w:rPr>
          <w:rFonts w:ascii="Arial" w:cs="Arial" w:eastAsia="Arial" w:hAnsi="Arial"/>
          <w:sz w:val="21"/>
          <w:szCs w:val="21"/>
          <w:u w:val="single" w:color="auto"/>
          <w:color w:val="auto"/>
        </w:rPr>
        <w:t>Securities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w:t>
      </w:r>
      <w:r>
        <w:rPr>
          <w:rFonts w:ascii="Arial" w:cs="Arial" w:eastAsia="Arial" w:hAnsi="Arial"/>
          <w:sz w:val="21"/>
          <w:szCs w:val="21"/>
          <w:color w:val="auto"/>
        </w:rPr>
        <w:t>”). The Units are being offered in the Partnership’s public offering pursuant to a third amended and restated equity distribution agreement (the “</w:t>
      </w:r>
      <w:r>
        <w:rPr>
          <w:rFonts w:ascii="Arial" w:cs="Arial" w:eastAsia="Arial" w:hAnsi="Arial"/>
          <w:sz w:val="21"/>
          <w:szCs w:val="21"/>
          <w:u w:val="single" w:color="auto"/>
          <w:color w:val="auto"/>
        </w:rPr>
        <w:t>Equity Distribution Agreement</w:t>
      </w:r>
      <w:r>
        <w:rPr>
          <w:rFonts w:ascii="Arial" w:cs="Arial" w:eastAsia="Arial" w:hAnsi="Arial"/>
          <w:sz w:val="21"/>
          <w:szCs w:val="21"/>
          <w:color w:val="auto"/>
        </w:rPr>
        <w:t>”) to be entered into among the Partnership, GasLog Partners GP LLC, a Marshall Islands limited liability company and the general partner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of the Partnership, GasLog Partners Holdings LLC and Citigroup Global Markets Inc., Credit Suisse Securities (USA) LLC, Merrill Lynch, Pierce, Fenner &amp; Smith Incorporated, Morgan Stanley &amp; Co. LLC and UBS Securities LLC, as managers (the “</w:t>
      </w:r>
      <w:r>
        <w:rPr>
          <w:rFonts w:ascii="Arial" w:cs="Arial" w:eastAsia="Arial" w:hAnsi="Arial"/>
          <w:sz w:val="21"/>
          <w:szCs w:val="21"/>
          <w:u w:val="single" w:color="auto"/>
          <w:color w:val="auto"/>
        </w:rPr>
        <w:t>Managers</w:t>
      </w:r>
      <w:r>
        <w:rPr>
          <w:rFonts w:ascii="Arial" w:cs="Arial" w:eastAsia="Arial" w:hAnsi="Arial"/>
          <w:sz w:val="21"/>
          <w:szCs w:val="21"/>
          <w:color w:val="auto"/>
        </w:rPr>
        <w: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23"/>
          <w:szCs w:val="23"/>
          <w:color w:val="auto"/>
        </w:rPr>
        <w:t>We have examined originals or copies, certified or otherwise identified to our satisfaction,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625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91" w:lineRule="exact"/>
        <w:rPr>
          <w:sz w:val="20"/>
          <w:szCs w:val="20"/>
          <w:color w:val="auto"/>
        </w:rPr>
      </w:pPr>
    </w:p>
    <w:p>
      <w:pPr>
        <w:jc w:val="center"/>
        <w:spacing w:after="0"/>
        <w:tabs>
          <w:tab w:leader="none" w:pos="140" w:val="left"/>
          <w:tab w:leader="none" w:pos="120" w:val="left"/>
        </w:tabs>
        <w:rPr>
          <w:sz w:val="20"/>
          <w:szCs w:val="20"/>
          <w:color w:val="auto"/>
        </w:rPr>
      </w:pPr>
      <w:r>
        <w:rPr>
          <w:rFonts w:ascii="Arial" w:cs="Arial" w:eastAsia="Arial" w:hAnsi="Arial"/>
          <w:sz w:val="15"/>
          <w:szCs w:val="15"/>
          <w:color w:val="auto"/>
        </w:rPr>
        <w:t>45 Broadway</w:t>
        <w:tab/>
        <w:t>16th Floor New York,</w:t>
      </w:r>
      <w:r>
        <w:rPr>
          <w:sz w:val="20"/>
          <w:szCs w:val="20"/>
          <w:color w:val="auto"/>
        </w:rPr>
        <w:tab/>
      </w:r>
      <w:r>
        <w:rPr>
          <w:rFonts w:ascii="Arial" w:cs="Arial" w:eastAsia="Arial" w:hAnsi="Arial"/>
          <w:sz w:val="14"/>
          <w:szCs w:val="14"/>
          <w:color w:val="auto"/>
        </w:rPr>
        <w:t>NY 10006</w:t>
      </w:r>
    </w:p>
    <w:p>
      <w:pPr>
        <w:spacing w:after="0" w:line="56" w:lineRule="exact"/>
        <w:rPr>
          <w:sz w:val="20"/>
          <w:szCs w:val="20"/>
          <w:color w:val="auto"/>
        </w:rPr>
      </w:pPr>
    </w:p>
    <w:p>
      <w:pPr>
        <w:ind w:left="3820"/>
        <w:spacing w:after="0"/>
        <w:tabs>
          <w:tab w:leader="none" w:pos="4940" w:val="left"/>
          <w:tab w:leader="none" w:pos="6080" w:val="left"/>
          <w:tab w:leader="none" w:pos="7500" w:val="left"/>
        </w:tabs>
        <w:rPr>
          <w:sz w:val="20"/>
          <w:szCs w:val="20"/>
          <w:color w:val="auto"/>
        </w:rPr>
      </w:pPr>
      <w:r>
        <w:rPr>
          <w:rFonts w:ascii="Arial" w:cs="Arial" w:eastAsia="Arial" w:hAnsi="Arial"/>
          <w:sz w:val="15"/>
          <w:szCs w:val="15"/>
          <w:color w:val="auto"/>
        </w:rPr>
        <w:t>212.509.9400</w:t>
      </w:r>
      <w:r>
        <w:rPr>
          <w:sz w:val="20"/>
          <w:szCs w:val="20"/>
          <w:color w:val="auto"/>
        </w:rPr>
        <w:tab/>
      </w:r>
      <w:r>
        <w:rPr>
          <w:rFonts w:ascii="Arial" w:cs="Arial" w:eastAsia="Arial" w:hAnsi="Arial"/>
          <w:sz w:val="15"/>
          <w:szCs w:val="15"/>
          <w:color w:val="auto"/>
        </w:rPr>
        <w:t>800.437.7040</w:t>
      </w:r>
      <w:r>
        <w:rPr>
          <w:sz w:val="20"/>
          <w:szCs w:val="20"/>
          <w:color w:val="auto"/>
        </w:rPr>
        <w:tab/>
      </w:r>
      <w:r>
        <w:rPr>
          <w:rFonts w:ascii="Arial" w:cs="Arial" w:eastAsia="Arial" w:hAnsi="Arial"/>
          <w:sz w:val="15"/>
          <w:szCs w:val="15"/>
          <w:color w:val="auto"/>
        </w:rPr>
        <w:t>212.509.9492 Fax</w:t>
      </w:r>
      <w:r>
        <w:rPr>
          <w:sz w:val="20"/>
          <w:szCs w:val="20"/>
          <w:color w:val="auto"/>
        </w:rPr>
        <w:tab/>
      </w:r>
      <w:r>
        <w:rPr>
          <w:rFonts w:ascii="Arial" w:cs="Arial" w:eastAsia="Arial" w:hAnsi="Arial"/>
          <w:sz w:val="13"/>
          <w:szCs w:val="13"/>
          <w:color w:val="C00000"/>
        </w:rPr>
        <w:t>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646670" cy="31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64" w:name="page65"/>
    <w:bookmarkEnd w:id="64"/>
    <w:p>
      <w:pPr>
        <w:ind w:left="1420" w:hanging="741"/>
        <w:spacing w:after="0"/>
        <w:tabs>
          <w:tab w:leader="none" w:pos="1420" w:val="left"/>
        </w:tabs>
        <w:numPr>
          <w:ilvl w:val="0"/>
          <w:numId w:val="76"/>
        </w:numPr>
        <w:rPr>
          <w:rFonts w:ascii="Arial" w:cs="Arial" w:eastAsia="Arial" w:hAnsi="Arial"/>
          <w:sz w:val="23"/>
          <w:szCs w:val="23"/>
          <w:color w:val="auto"/>
        </w:rPr>
      </w:pPr>
      <w:r>
        <w:rPr>
          <w:rFonts w:ascii="Arial" w:cs="Arial" w:eastAsia="Arial" w:hAnsi="Arial"/>
          <w:sz w:val="23"/>
          <w:szCs w:val="23"/>
          <w:color w:val="auto"/>
        </w:rPr>
        <w:t>the Registration Statement and the prospectus contained therein (the “</w:t>
      </w:r>
      <w:r>
        <w:rPr>
          <w:rFonts w:ascii="Arial" w:cs="Arial" w:eastAsia="Arial" w:hAnsi="Arial"/>
          <w:sz w:val="23"/>
          <w:szCs w:val="23"/>
          <w:u w:val="single" w:color="auto"/>
          <w:color w:val="auto"/>
        </w:rPr>
        <w:t>Base Prospectus</w:t>
      </w:r>
      <w:r>
        <w:rPr>
          <w:rFonts w:ascii="Arial" w:cs="Arial" w:eastAsia="Arial" w:hAnsi="Arial"/>
          <w:sz w:val="23"/>
          <w:szCs w:val="23"/>
          <w:color w:val="auto"/>
        </w:rPr>
        <w:t>”);</w:t>
      </w:r>
    </w:p>
    <w:p>
      <w:pPr>
        <w:spacing w:after="0" w:line="263" w:lineRule="exact"/>
        <w:rPr>
          <w:rFonts w:ascii="Arial" w:cs="Arial" w:eastAsia="Arial" w:hAnsi="Arial"/>
          <w:sz w:val="23"/>
          <w:szCs w:val="23"/>
          <w:color w:val="auto"/>
        </w:rPr>
      </w:pPr>
    </w:p>
    <w:p>
      <w:pPr>
        <w:ind w:left="1440" w:right="560" w:hanging="761"/>
        <w:spacing w:after="0" w:line="334" w:lineRule="auto"/>
        <w:tabs>
          <w:tab w:leader="none" w:pos="1437" w:val="left"/>
        </w:tabs>
        <w:numPr>
          <w:ilvl w:val="0"/>
          <w:numId w:val="76"/>
        </w:numPr>
        <w:rPr>
          <w:rFonts w:ascii="Arial" w:cs="Arial" w:eastAsia="Arial" w:hAnsi="Arial"/>
          <w:sz w:val="23"/>
          <w:szCs w:val="23"/>
          <w:color w:val="auto"/>
        </w:rPr>
      </w:pPr>
      <w:r>
        <w:rPr>
          <w:rFonts w:ascii="Arial" w:cs="Arial" w:eastAsia="Arial" w:hAnsi="Arial"/>
          <w:sz w:val="23"/>
          <w:szCs w:val="23"/>
          <w:color w:val="auto"/>
        </w:rPr>
        <w:t>the prospectus supplement dated February 26, 2019 (the “</w:t>
      </w:r>
      <w:r>
        <w:rPr>
          <w:rFonts w:ascii="Arial" w:cs="Arial" w:eastAsia="Arial" w:hAnsi="Arial"/>
          <w:sz w:val="23"/>
          <w:szCs w:val="23"/>
          <w:u w:val="single" w:color="auto"/>
          <w:color w:val="auto"/>
        </w:rPr>
        <w:t>Prospectus Supplement</w:t>
      </w:r>
      <w:r>
        <w:rPr>
          <w:rFonts w:ascii="Arial" w:cs="Arial" w:eastAsia="Arial" w:hAnsi="Arial"/>
          <w:sz w:val="23"/>
          <w:szCs w:val="23"/>
          <w:color w:val="auto"/>
        </w:rPr>
        <w:t>” and together with the Base Prospectus, the “</w:t>
      </w:r>
      <w:r>
        <w:rPr>
          <w:rFonts w:ascii="Arial" w:cs="Arial" w:eastAsia="Arial" w:hAnsi="Arial"/>
          <w:sz w:val="23"/>
          <w:szCs w:val="23"/>
          <w:u w:val="single" w:color="auto"/>
          <w:color w:val="auto"/>
        </w:rPr>
        <w:t>Prospectus</w:t>
      </w:r>
      <w:r>
        <w:rPr>
          <w:rFonts w:ascii="Arial" w:cs="Arial" w:eastAsia="Arial" w:hAnsi="Arial"/>
          <w:sz w:val="23"/>
          <w:szCs w:val="23"/>
          <w:color w:val="auto"/>
        </w:rPr>
        <w:t>”);</w:t>
      </w:r>
    </w:p>
    <w:p>
      <w:pPr>
        <w:spacing w:after="0" w:line="176" w:lineRule="exact"/>
        <w:rPr>
          <w:rFonts w:ascii="Arial" w:cs="Arial" w:eastAsia="Arial" w:hAnsi="Arial"/>
          <w:sz w:val="23"/>
          <w:szCs w:val="23"/>
          <w:color w:val="auto"/>
        </w:rPr>
      </w:pPr>
    </w:p>
    <w:p>
      <w:pPr>
        <w:ind w:left="1440" w:right="220" w:hanging="761"/>
        <w:spacing w:after="0" w:line="334" w:lineRule="auto"/>
        <w:tabs>
          <w:tab w:leader="none" w:pos="1460" w:val="left"/>
        </w:tabs>
        <w:numPr>
          <w:ilvl w:val="0"/>
          <w:numId w:val="76"/>
        </w:numPr>
        <w:rPr>
          <w:rFonts w:ascii="Arial" w:cs="Arial" w:eastAsia="Arial" w:hAnsi="Arial"/>
          <w:sz w:val="23"/>
          <w:szCs w:val="23"/>
          <w:color w:val="auto"/>
        </w:rPr>
      </w:pPr>
      <w:r>
        <w:rPr>
          <w:rFonts w:ascii="Arial" w:cs="Arial" w:eastAsia="Arial" w:hAnsi="Arial"/>
          <w:sz w:val="23"/>
          <w:szCs w:val="23"/>
          <w:color w:val="auto"/>
        </w:rPr>
        <w:t>the Fifth Amended and Restated Agreement of Limited Partnership of the Partnership filed with the Commission on November 27, 2018;</w:t>
      </w:r>
    </w:p>
    <w:p>
      <w:pPr>
        <w:spacing w:after="0" w:line="133" w:lineRule="exact"/>
        <w:rPr>
          <w:rFonts w:ascii="Arial" w:cs="Arial" w:eastAsia="Arial" w:hAnsi="Arial"/>
          <w:sz w:val="23"/>
          <w:szCs w:val="23"/>
          <w:color w:val="auto"/>
        </w:rPr>
      </w:pPr>
    </w:p>
    <w:p>
      <w:pPr>
        <w:ind w:left="1460" w:hanging="781"/>
        <w:spacing w:after="0"/>
        <w:tabs>
          <w:tab w:leader="none" w:pos="1460" w:val="left"/>
        </w:tabs>
        <w:numPr>
          <w:ilvl w:val="0"/>
          <w:numId w:val="76"/>
        </w:numPr>
        <w:rPr>
          <w:rFonts w:ascii="Arial" w:cs="Arial" w:eastAsia="Arial" w:hAnsi="Arial"/>
          <w:sz w:val="23"/>
          <w:szCs w:val="23"/>
          <w:color w:val="auto"/>
        </w:rPr>
      </w:pPr>
      <w:r>
        <w:rPr>
          <w:rFonts w:ascii="Arial" w:cs="Arial" w:eastAsia="Arial" w:hAnsi="Arial"/>
          <w:sz w:val="23"/>
          <w:szCs w:val="23"/>
          <w:color w:val="auto"/>
        </w:rPr>
        <w:t>the form of Equity Distribution Agreement; and</w:t>
      </w:r>
    </w:p>
    <w:p>
      <w:pPr>
        <w:spacing w:after="0" w:line="263" w:lineRule="exact"/>
        <w:rPr>
          <w:rFonts w:ascii="Arial" w:cs="Arial" w:eastAsia="Arial" w:hAnsi="Arial"/>
          <w:sz w:val="23"/>
          <w:szCs w:val="23"/>
          <w:color w:val="auto"/>
        </w:rPr>
      </w:pPr>
    </w:p>
    <w:p>
      <w:pPr>
        <w:ind w:left="1440" w:right="260" w:hanging="761"/>
        <w:spacing w:after="0" w:line="322" w:lineRule="auto"/>
        <w:tabs>
          <w:tab w:leader="none" w:pos="1425" w:val="left"/>
        </w:tabs>
        <w:numPr>
          <w:ilvl w:val="0"/>
          <w:numId w:val="76"/>
        </w:numPr>
        <w:rPr>
          <w:rFonts w:ascii="Arial" w:cs="Arial" w:eastAsia="Arial" w:hAnsi="Arial"/>
          <w:sz w:val="23"/>
          <w:szCs w:val="23"/>
          <w:color w:val="auto"/>
        </w:rPr>
      </w:pPr>
      <w:r>
        <w:rPr>
          <w:rFonts w:ascii="Arial" w:cs="Arial" w:eastAsia="Arial" w:hAnsi="Arial"/>
          <w:sz w:val="23"/>
          <w:szCs w:val="23"/>
          <w:color w:val="auto"/>
        </w:rPr>
        <w:t>such other papers, documents, agreements, and records of the Partnership and the General Partner and such other instruments, certificates and documents as we have deemed necessary or appropriate as a basis for the opinions hereinafter expressed.</w:t>
      </w:r>
    </w:p>
    <w:p>
      <w:pPr>
        <w:spacing w:after="0" w:line="190" w:lineRule="exact"/>
        <w:rPr>
          <w:sz w:val="20"/>
          <w:szCs w:val="20"/>
          <w:color w:val="auto"/>
        </w:rPr>
      </w:pPr>
    </w:p>
    <w:p>
      <w:pPr>
        <w:ind w:right="140"/>
        <w:spacing w:after="0" w:line="348" w:lineRule="auto"/>
        <w:rPr>
          <w:sz w:val="20"/>
          <w:szCs w:val="20"/>
          <w:color w:val="auto"/>
        </w:rPr>
      </w:pPr>
      <w:r>
        <w:rPr>
          <w:rFonts w:ascii="Arial" w:cs="Arial" w:eastAsia="Arial" w:hAnsi="Arial"/>
          <w:sz w:val="21"/>
          <w:szCs w:val="21"/>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 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Equity Distribution Agreement. We have not independently verified the facts so relied 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23"/>
          <w:szCs w:val="23"/>
          <w:color w:val="auto"/>
        </w:rPr>
        <w:t>In rendering this opinion, we have also assumed that:</w:t>
      </w:r>
    </w:p>
    <w:p>
      <w:pPr>
        <w:spacing w:after="0" w:line="263" w:lineRule="exact"/>
        <w:rPr>
          <w:sz w:val="20"/>
          <w:szCs w:val="20"/>
          <w:color w:val="auto"/>
        </w:rPr>
      </w:pPr>
    </w:p>
    <w:p>
      <w:pPr>
        <w:ind w:left="2040" w:hanging="677"/>
        <w:spacing w:after="0" w:line="322" w:lineRule="auto"/>
        <w:tabs>
          <w:tab w:leader="none" w:pos="2056" w:val="left"/>
        </w:tabs>
        <w:numPr>
          <w:ilvl w:val="0"/>
          <w:numId w:val="77"/>
        </w:numPr>
        <w:rPr>
          <w:rFonts w:ascii="Arial" w:cs="Arial" w:eastAsia="Arial" w:hAnsi="Arial"/>
          <w:sz w:val="23"/>
          <w:szCs w:val="23"/>
          <w:color w:val="auto"/>
        </w:rPr>
      </w:pPr>
      <w:r>
        <w:rPr>
          <w:rFonts w:ascii="Arial" w:cs="Arial" w:eastAsia="Arial" w:hAnsi="Arial"/>
          <w:sz w:val="23"/>
          <w:szCs w:val="23"/>
          <w:color w:val="auto"/>
        </w:rPr>
        <w:t>the issuance and sale of the Units complies in all respects with the terms, conditions and restrictions set forth in the Prospectus and all of the instruments and other documents relating thereto or executed or to be executed in connection therewith;</w:t>
      </w:r>
    </w:p>
    <w:p>
      <w:pPr>
        <w:spacing w:after="0" w:line="190" w:lineRule="exact"/>
        <w:rPr>
          <w:rFonts w:ascii="Arial" w:cs="Arial" w:eastAsia="Arial" w:hAnsi="Arial"/>
          <w:sz w:val="23"/>
          <w:szCs w:val="23"/>
          <w:color w:val="auto"/>
        </w:rPr>
      </w:pPr>
    </w:p>
    <w:p>
      <w:pPr>
        <w:ind w:left="2040" w:right="280" w:hanging="677"/>
        <w:spacing w:after="0" w:line="322" w:lineRule="auto"/>
        <w:tabs>
          <w:tab w:leader="none" w:pos="2062" w:val="left"/>
        </w:tabs>
        <w:numPr>
          <w:ilvl w:val="0"/>
          <w:numId w:val="77"/>
        </w:numPr>
        <w:rPr>
          <w:rFonts w:ascii="Arial" w:cs="Arial" w:eastAsia="Arial" w:hAnsi="Arial"/>
          <w:sz w:val="23"/>
          <w:szCs w:val="23"/>
          <w:color w:val="auto"/>
        </w:rPr>
      </w:pPr>
      <w:r>
        <w:rPr>
          <w:rFonts w:ascii="Arial" w:cs="Arial" w:eastAsia="Arial" w:hAnsi="Arial"/>
          <w:sz w:val="23"/>
          <w:szCs w:val="23"/>
          <w:color w:val="auto"/>
        </w:rPr>
        <w:t>the Equity Distribution Agreement will be duly and validly authorized by all parties thereto, and executed and delivered, in the same forms provided to us, by such parties prior to the issuance and delivery of the Units;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04" w:right="120" w:bottom="1440" w:gutter="0" w:footer="0" w:header="0"/>
        </w:sectPr>
      </w:pPr>
    </w:p>
    <w:bookmarkStart w:id="65" w:name="page66"/>
    <w:bookmarkEnd w:id="65"/>
    <w:p>
      <w:pPr>
        <w:ind w:left="680" w:right="2040" w:firstLine="683"/>
        <w:spacing w:after="0" w:line="459" w:lineRule="auto"/>
        <w:tabs>
          <w:tab w:leader="none" w:pos="2077" w:val="left"/>
        </w:tabs>
        <w:numPr>
          <w:ilvl w:val="0"/>
          <w:numId w:val="78"/>
        </w:numPr>
        <w:rPr>
          <w:rFonts w:ascii="Arial" w:cs="Arial" w:eastAsia="Arial" w:hAnsi="Arial"/>
          <w:sz w:val="23"/>
          <w:szCs w:val="23"/>
          <w:color w:val="auto"/>
        </w:rPr>
      </w:pPr>
      <w:r>
        <w:rPr>
          <w:rFonts w:ascii="Arial" w:cs="Arial" w:eastAsia="Arial" w:hAnsi="Arial"/>
          <w:sz w:val="23"/>
          <w:szCs w:val="23"/>
          <w:color w:val="auto"/>
        </w:rPr>
        <w:t>the Equity Distribution Agreement is valid and enforceable against the parties thereto. This opinion letter is limited to Marshall Islands Law as of the date hereof.</w:t>
      </w:r>
    </w:p>
    <w:p>
      <w:pPr>
        <w:spacing w:after="0" w:line="1" w:lineRule="exact"/>
        <w:rPr>
          <w:sz w:val="20"/>
          <w:szCs w:val="20"/>
          <w:color w:val="auto"/>
        </w:rPr>
      </w:pPr>
    </w:p>
    <w:p>
      <w:pPr>
        <w:ind w:right="460" w:firstLine="685"/>
        <w:spacing w:after="0" w:line="315" w:lineRule="auto"/>
        <w:rPr>
          <w:sz w:val="20"/>
          <w:szCs w:val="20"/>
          <w:color w:val="auto"/>
        </w:rPr>
      </w:pPr>
      <w:r>
        <w:rPr>
          <w:rFonts w:ascii="Arial" w:cs="Arial" w:eastAsia="Arial" w:hAnsi="Arial"/>
          <w:sz w:val="23"/>
          <w:szCs w:val="23"/>
          <w:color w:val="auto"/>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Equity Distribution Agreement, the Registration Statement and the Prospectus, the Units will be validly issued, fully paid and nonassessable (except as such nonassessability may be affected by Sections 30, 41, 51 and 60 of the Marshall Islands Limited Partnership Act).</w:t>
      </w:r>
    </w:p>
    <w:p>
      <w:pPr>
        <w:spacing w:after="0" w:line="199" w:lineRule="exact"/>
        <w:rPr>
          <w:sz w:val="20"/>
          <w:szCs w:val="20"/>
          <w:color w:val="auto"/>
        </w:rPr>
      </w:pPr>
    </w:p>
    <w:p>
      <w:pPr>
        <w:ind w:firstLine="685"/>
        <w:spacing w:after="0" w:line="322" w:lineRule="auto"/>
        <w:rPr>
          <w:sz w:val="20"/>
          <w:szCs w:val="20"/>
          <w:color w:val="auto"/>
        </w:rPr>
      </w:pPr>
      <w:r>
        <w:rPr>
          <w:rFonts w:ascii="Arial" w:cs="Arial" w:eastAsia="Arial" w:hAnsi="Arial"/>
          <w:sz w:val="23"/>
          <w:szCs w:val="23"/>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190" w:lineRule="exact"/>
        <w:rPr>
          <w:sz w:val="20"/>
          <w:szCs w:val="20"/>
          <w:color w:val="auto"/>
        </w:rPr>
      </w:pPr>
    </w:p>
    <w:p>
      <w:pPr>
        <w:jc w:val="both"/>
        <w:ind w:right="40" w:firstLine="685"/>
        <w:spacing w:after="0" w:line="318" w:lineRule="auto"/>
        <w:rPr>
          <w:sz w:val="20"/>
          <w:szCs w:val="20"/>
          <w:color w:val="auto"/>
        </w:rPr>
      </w:pPr>
      <w:r>
        <w:rPr>
          <w:rFonts w:ascii="Arial" w:cs="Arial" w:eastAsia="Arial" w:hAnsi="Arial"/>
          <w:sz w:val="23"/>
          <w:szCs w:val="23"/>
          <w:color w:val="auto"/>
        </w:rPr>
        <w:t>We hereby consent to the filing of this opinion as an exhibit to the Registration Statement and to the references to our name in the Prospectus. In giving such consent, we do not hereby admit that we are in the category of persons whose consent is required under Section 7 of the Securities Act and the rules and regulations of the Commission promulgated thereunder with respect to any part of the Registration Statement.</w:t>
      </w:r>
    </w:p>
    <w:p>
      <w:pPr>
        <w:spacing w:after="0" w:line="153" w:lineRule="exact"/>
        <w:rPr>
          <w:sz w:val="20"/>
          <w:szCs w:val="20"/>
          <w:color w:val="auto"/>
        </w:rPr>
      </w:pPr>
    </w:p>
    <w:p>
      <w:pPr>
        <w:ind w:left="6000"/>
        <w:spacing w:after="0"/>
        <w:rPr>
          <w:sz w:val="20"/>
          <w:szCs w:val="20"/>
          <w:color w:val="auto"/>
        </w:rPr>
      </w:pPr>
      <w:r>
        <w:rPr>
          <w:rFonts w:ascii="Arial" w:cs="Arial" w:eastAsia="Arial" w:hAnsi="Arial"/>
          <w:sz w:val="23"/>
          <w:szCs w:val="23"/>
          <w:color w:val="auto"/>
        </w:rPr>
        <w:t>Very truly yours,</w:t>
      </w:r>
    </w:p>
    <w:p>
      <w:pPr>
        <w:spacing w:after="0" w:line="220" w:lineRule="exact"/>
        <w:rPr>
          <w:sz w:val="20"/>
          <w:szCs w:val="20"/>
          <w:color w:val="auto"/>
        </w:rPr>
      </w:pPr>
    </w:p>
    <w:p>
      <w:pPr>
        <w:ind w:left="6000"/>
        <w:spacing w:after="0"/>
        <w:rPr>
          <w:sz w:val="20"/>
          <w:szCs w:val="20"/>
          <w:color w:val="auto"/>
        </w:rPr>
      </w:pPr>
      <w:r>
        <w:rPr>
          <w:rFonts w:ascii="Arial" w:cs="Arial" w:eastAsia="Arial" w:hAnsi="Arial"/>
          <w:sz w:val="23"/>
          <w:szCs w:val="23"/>
          <w:color w:val="auto"/>
        </w:rPr>
        <w:t>/s/ Cozen O’Connor</w:t>
      </w:r>
    </w:p>
    <w:p>
      <w:pPr>
        <w:spacing w:after="0" w:line="220" w:lineRule="exact"/>
        <w:rPr>
          <w:sz w:val="20"/>
          <w:szCs w:val="20"/>
          <w:color w:val="auto"/>
        </w:rPr>
      </w:pPr>
    </w:p>
    <w:p>
      <w:pPr>
        <w:ind w:left="5940"/>
        <w:spacing w:after="0"/>
        <w:rPr>
          <w:sz w:val="20"/>
          <w:szCs w:val="20"/>
          <w:color w:val="auto"/>
        </w:rPr>
      </w:pPr>
      <w:r>
        <w:rPr>
          <w:rFonts w:ascii="Arial" w:cs="Arial" w:eastAsia="Arial" w:hAnsi="Arial"/>
          <w:sz w:val="23"/>
          <w:szCs w:val="2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646670"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04" w:right="140" w:bottom="1440" w:gutter="0" w:footer="0" w:header="0"/>
        </w:sectPr>
      </w:pPr>
    </w:p>
    <w:bookmarkStart w:id="66" w:name="page67"/>
    <w:bookmarkEnd w:id="66"/>
    <w:p>
      <w:pPr>
        <w:jc w:val="right"/>
        <w:spacing w:after="0"/>
        <w:rPr>
          <w:sz w:val="20"/>
          <w:szCs w:val="20"/>
          <w:color w:val="auto"/>
        </w:rPr>
      </w:pPr>
      <w:r>
        <w:rPr>
          <w:rFonts w:ascii="Arial" w:cs="Arial" w:eastAsia="Arial" w:hAnsi="Arial"/>
          <w:sz w:val="23"/>
          <w:szCs w:val="23"/>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-4445</wp:posOffset>
            </wp:positionV>
            <wp:extent cx="6520180" cy="22459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2018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February 26, 2019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3"/>
          <w:szCs w:val="23"/>
          <w:u w:val="single" w:color="auto"/>
          <w:color w:val="auto"/>
        </w:rPr>
        <w:t>GasLog Partners LP</w:t>
      </w:r>
    </w:p>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Ladies and Gentlemen:</w:t>
      </w:r>
    </w:p>
    <w:p>
      <w:pPr>
        <w:spacing w:after="0" w:line="220" w:lineRule="exact"/>
        <w:rPr>
          <w:sz w:val="20"/>
          <w:szCs w:val="20"/>
          <w:color w:val="auto"/>
        </w:rPr>
      </w:pPr>
    </w:p>
    <w:p>
      <w:pPr>
        <w:ind w:right="220" w:firstLine="1369"/>
        <w:spacing w:after="0" w:line="278" w:lineRule="auto"/>
        <w:rPr>
          <w:sz w:val="20"/>
          <w:szCs w:val="20"/>
          <w:color w:val="auto"/>
        </w:rPr>
      </w:pPr>
      <w:r>
        <w:rPr>
          <w:rFonts w:ascii="Arial" w:cs="Arial" w:eastAsia="Arial" w:hAnsi="Arial"/>
          <w:sz w:val="20"/>
          <w:szCs w:val="20"/>
          <w:color w:val="auto"/>
        </w:rPr>
        <w:t>We have acted as United States counsel to GasLog Partners LP, a Marshall Islands limited partnership (the “Partnership”), in connection with the offering by the Partnership of its common units pursuant to a prospectus supplement dated February 26, 2019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September 29, 2017 (Registration No. 333-220736, the “Registration Statement”) which Registration Statement includes a prospectus dated October 10, 2017 (together with the documents incorporated therein by reference, the “Base Prospectus”).</w:t>
      </w:r>
    </w:p>
    <w:p>
      <w:pPr>
        <w:spacing w:after="0" w:line="160" w:lineRule="exact"/>
        <w:rPr>
          <w:sz w:val="20"/>
          <w:szCs w:val="20"/>
          <w:color w:val="auto"/>
        </w:rPr>
      </w:pPr>
    </w:p>
    <w:p>
      <w:pPr>
        <w:ind w:right="240" w:firstLine="1369"/>
        <w:spacing w:after="0" w:line="278" w:lineRule="auto"/>
        <w:rPr>
          <w:sz w:val="20"/>
          <w:szCs w:val="20"/>
          <w:color w:val="auto"/>
        </w:rPr>
      </w:pPr>
      <w:r>
        <w:rPr>
          <w:rFonts w:ascii="Arial" w:cs="Arial" w:eastAsia="Arial" w:hAnsi="Arial"/>
          <w:sz w:val="20"/>
          <w:szCs w:val="20"/>
          <w:color w:val="auto"/>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spacing w:after="0" w:line="160" w:lineRule="exact"/>
        <w:rPr>
          <w:sz w:val="20"/>
          <w:szCs w:val="20"/>
          <w:color w:val="auto"/>
        </w:rPr>
      </w:pPr>
    </w:p>
    <w:p>
      <w:pPr>
        <w:ind w:right="340" w:firstLine="1369"/>
        <w:spacing w:after="0" w:line="257" w:lineRule="auto"/>
        <w:rPr>
          <w:sz w:val="20"/>
          <w:szCs w:val="20"/>
          <w:color w:val="auto"/>
        </w:rPr>
      </w:pPr>
      <w:r>
        <w:rPr>
          <w:rFonts w:ascii="Arial" w:cs="Arial" w:eastAsia="Arial" w:hAnsi="Arial"/>
          <w:sz w:val="23"/>
          <w:szCs w:val="23"/>
          <w:color w:val="auto"/>
        </w:rPr>
        <w:t>In rendering our opinion, we have considered the applicable provisions of the Internal Revenue Code of 1986, as amended (the “Code”), regulations promulgated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646670" cy="3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67" w:name="page68"/>
    <w:bookmarkEnd w:id="67"/>
    <w:p>
      <w:pPr>
        <w:ind w:right="40"/>
        <w:spacing w:after="0" w:line="250" w:lineRule="auto"/>
        <w:rPr>
          <w:sz w:val="20"/>
          <w:szCs w:val="20"/>
          <w:color w:val="auto"/>
        </w:rPr>
      </w:pPr>
      <w:r>
        <w:rPr>
          <w:rFonts w:ascii="Arial" w:cs="Arial" w:eastAsia="Arial" w:hAnsi="Arial"/>
          <w:sz w:val="22"/>
          <w:szCs w:val="22"/>
          <w:color w:val="auto"/>
        </w:rPr>
        <w:t>thereunder by the U.S. Department of Treasury (the “Regulations”), pertinent judicial authorities, rulings of the Internal Revenue Service, and such other authorities as we have 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spacing w:after="0" w:line="187" w:lineRule="exact"/>
        <w:rPr>
          <w:sz w:val="20"/>
          <w:szCs w:val="20"/>
          <w:color w:val="auto"/>
        </w:rPr>
      </w:pPr>
    </w:p>
    <w:p>
      <w:pPr>
        <w:ind w:firstLine="1369"/>
        <w:spacing w:after="0" w:line="239" w:lineRule="auto"/>
        <w:rPr>
          <w:sz w:val="20"/>
          <w:szCs w:val="20"/>
          <w:color w:val="auto"/>
        </w:rPr>
      </w:pPr>
      <w:r>
        <w:rPr>
          <w:rFonts w:ascii="Arial" w:cs="Arial" w:eastAsia="Arial" w:hAnsi="Arial"/>
          <w:sz w:val="23"/>
          <w:szCs w:val="23"/>
          <w:color w:val="auto"/>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spacing w:after="0" w:line="195" w:lineRule="exact"/>
        <w:rPr>
          <w:sz w:val="20"/>
          <w:szCs w:val="20"/>
          <w:color w:val="auto"/>
        </w:rPr>
      </w:pPr>
    </w:p>
    <w:p>
      <w:pPr>
        <w:ind w:right="180" w:firstLine="1369"/>
        <w:spacing w:after="0" w:line="255" w:lineRule="auto"/>
        <w:rPr>
          <w:sz w:val="20"/>
          <w:szCs w:val="20"/>
          <w:color w:val="auto"/>
        </w:rPr>
      </w:pPr>
      <w:r>
        <w:rPr>
          <w:rFonts w:ascii="Arial" w:cs="Arial" w:eastAsia="Arial" w:hAnsi="Arial"/>
          <w:sz w:val="22"/>
          <w:szCs w:val="22"/>
          <w:color w:val="auto"/>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spacing w:after="0" w:line="180" w:lineRule="exact"/>
        <w:rPr>
          <w:sz w:val="20"/>
          <w:szCs w:val="20"/>
          <w:color w:val="auto"/>
        </w:rPr>
      </w:pPr>
    </w:p>
    <w:p>
      <w:pPr>
        <w:ind w:right="80" w:firstLine="1369"/>
        <w:spacing w:after="0" w:line="241" w:lineRule="auto"/>
        <w:rPr>
          <w:sz w:val="20"/>
          <w:szCs w:val="20"/>
          <w:color w:val="auto"/>
        </w:rPr>
      </w:pPr>
      <w:r>
        <w:rPr>
          <w:rFonts w:ascii="Arial" w:cs="Arial" w:eastAsia="Arial" w:hAnsi="Arial"/>
          <w:sz w:val="23"/>
          <w:szCs w:val="23"/>
          <w:color w:val="auto"/>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spacing w:after="0" w:line="193"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This opinion is rendered to you for the purpose of being included as an exhibit to the Prospectus.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20"/>
        <w:spacing w:after="0"/>
        <w:rPr>
          <w:sz w:val="20"/>
          <w:szCs w:val="20"/>
          <w:color w:val="auto"/>
        </w:rPr>
      </w:pPr>
      <w:r>
        <w:rPr>
          <w:rFonts w:ascii="Arial" w:cs="Arial" w:eastAsia="Arial" w:hAnsi="Arial"/>
          <w:sz w:val="23"/>
          <w:szCs w:val="23"/>
          <w:color w:val="auto"/>
        </w:rPr>
        <w:t>Very truly yours,</w:t>
      </w:r>
    </w:p>
    <w:p>
      <w:pPr>
        <w:spacing w:after="0" w:line="220" w:lineRule="exact"/>
        <w:rPr>
          <w:sz w:val="20"/>
          <w:szCs w:val="20"/>
          <w:color w:val="auto"/>
        </w:rPr>
      </w:pPr>
    </w:p>
    <w:p>
      <w:pPr>
        <w:ind w:left="6420"/>
        <w:spacing w:after="0"/>
        <w:rPr>
          <w:sz w:val="20"/>
          <w:szCs w:val="20"/>
          <w:color w:val="auto"/>
        </w:rPr>
      </w:pPr>
      <w:r>
        <w:rPr>
          <w:rFonts w:ascii="Arial" w:cs="Arial" w:eastAsia="Arial" w:hAnsi="Arial"/>
          <w:sz w:val="23"/>
          <w:szCs w:val="23"/>
          <w:color w:val="auto"/>
        </w:rPr>
        <w:t>/s/ Cravath, Swaine &amp; Moore LLP</w:t>
      </w:r>
    </w:p>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GasLog Partners LP</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3"/>
          <w:szCs w:val="23"/>
          <w:color w:val="auto"/>
        </w:rPr>
        <w:t>Gildo Pastor Center</w:t>
      </w:r>
    </w:p>
    <w:p>
      <w:pPr>
        <w:ind w:left="680"/>
        <w:spacing w:after="0" w:line="232" w:lineRule="auto"/>
        <w:rPr>
          <w:sz w:val="20"/>
          <w:szCs w:val="20"/>
          <w:color w:val="auto"/>
        </w:rPr>
      </w:pPr>
      <w:r>
        <w:rPr>
          <w:rFonts w:ascii="Arial" w:cs="Arial" w:eastAsia="Arial" w:hAnsi="Arial"/>
          <w:sz w:val="23"/>
          <w:szCs w:val="23"/>
          <w:color w:val="auto"/>
        </w:rPr>
        <w:t>7 Rue du Gabian</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646670" cy="31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204"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lowerLetter"/>
      <w:start w:val="1"/>
    </w:lvl>
  </w:abstractNum>
  <w:abstractNum w:abstractNumId="2">
    <w:nsid w:val="580BD78F"/>
    <w:multiLevelType w:val="hybridMultilevel"/>
    <w:lvl w:ilvl="0">
      <w:lvlJc w:val="left"/>
      <w:lvlText w:val="(%1)"/>
      <w:numFmt w:val="lowerLetter"/>
      <w:start w:val="2"/>
    </w:lvl>
  </w:abstractNum>
  <w:abstractNum w:abstractNumId="3">
    <w:nsid w:val="153EA438"/>
    <w:multiLevelType w:val="hybridMultilevel"/>
    <w:lvl w:ilvl="0">
      <w:lvlJc w:val="left"/>
      <w:lvlText w:val="%1"/>
      <w:numFmt w:val="lowerLetter"/>
      <w:start w:val="1"/>
    </w:lvl>
    <w:lvl w:ilvl="1">
      <w:lvlJc w:val="left"/>
      <w:lvlText w:val="(%2)"/>
      <w:numFmt w:val="lowerLetter"/>
      <w:start w:val="4"/>
    </w:lvl>
  </w:abstractNum>
  <w:abstractNum w:abstractNumId="4">
    <w:nsid w:val="3855585C"/>
    <w:multiLevelType w:val="hybridMultilevel"/>
    <w:lvl w:ilvl="0">
      <w:lvlJc w:val="left"/>
      <w:lvlText w:val="(%1)"/>
      <w:numFmt w:val="lowerLetter"/>
      <w:start w:val="35"/>
    </w:lvl>
    <w:lvl w:ilvl="1">
      <w:lvlJc w:val="left"/>
      <w:lvlText w:val="(%2)"/>
      <w:numFmt w:val="lowerLetter"/>
      <w:start w:val="6"/>
    </w:lvl>
  </w:abstractNum>
  <w:abstractNum w:abstractNumId="5">
    <w:nsid w:val="70A64E2A"/>
    <w:multiLevelType w:val="hybridMultilevel"/>
    <w:lvl w:ilvl="0">
      <w:lvlJc w:val="left"/>
      <w:lvlText w:val="(%1)"/>
      <w:numFmt w:val="lowerLetter"/>
      <w:start w:val="8"/>
    </w:lvl>
  </w:abstractNum>
  <w:abstractNum w:abstractNumId="6">
    <w:nsid w:val="6A2342EC"/>
    <w:multiLevelType w:val="hybridMultilevel"/>
    <w:lvl w:ilvl="0">
      <w:lvlJc w:val="left"/>
      <w:lvlText w:val="(%1)"/>
      <w:numFmt w:val="lowerLetter"/>
      <w:start w:val="12"/>
    </w:lvl>
  </w:abstractNum>
  <w:abstractNum w:abstractNumId="7">
    <w:nsid w:val="2A487CB0"/>
    <w:multiLevelType w:val="hybridMultilevel"/>
    <w:lvl w:ilvl="0">
      <w:lvlJc w:val="left"/>
      <w:lvlText w:val="(%1)"/>
      <w:numFmt w:val="lowerLetter"/>
      <w:start w:val="16"/>
    </w:lvl>
  </w:abstractNum>
  <w:abstractNum w:abstractNumId="8">
    <w:nsid w:val="1D4ED43B"/>
    <w:multiLevelType w:val="hybridMultilevel"/>
    <w:lvl w:ilvl="0">
      <w:lvlJc w:val="left"/>
      <w:lvlText w:val="%1"/>
      <w:numFmt w:val="upperLetter"/>
      <w:start w:val="1"/>
    </w:lvl>
    <w:lvl w:ilvl="1">
      <w:lvlJc w:val="left"/>
      <w:lvlText w:val="(%2)"/>
      <w:numFmt w:val="lowerLetter"/>
      <w:start w:val="19"/>
    </w:lvl>
  </w:abstractNum>
  <w:abstractNum w:abstractNumId="9">
    <w:nsid w:val="725A06FB"/>
    <w:multiLevelType w:val="hybridMultilevel"/>
    <w:lvl w:ilvl="0">
      <w:lvlJc w:val="left"/>
      <w:lvlText w:val="(%1)"/>
      <w:numFmt w:val="upperLetter"/>
      <w:start w:val="2"/>
    </w:lvl>
    <w:lvl w:ilvl="1">
      <w:lvlJc w:val="left"/>
      <w:lvlText w:val="(%2)"/>
      <w:numFmt w:val="lowerLetter"/>
      <w:start w:val="20"/>
    </w:lvl>
  </w:abstractNum>
  <w:abstractNum w:abstractNumId="10">
    <w:nsid w:val="2CD89A32"/>
    <w:multiLevelType w:val="hybridMultilevel"/>
    <w:lvl w:ilvl="0">
      <w:lvlJc w:val="left"/>
      <w:lvlText w:val="(%1)"/>
      <w:numFmt w:val="lowerLetter"/>
      <w:start w:val="24"/>
    </w:lvl>
  </w:abstractNum>
  <w:abstractNum w:abstractNumId="11">
    <w:nsid w:val="57E4CCAF"/>
    <w:multiLevelType w:val="hybridMultilevel"/>
    <w:lvl w:ilvl="0">
      <w:lvlJc w:val="left"/>
      <w:lvlText w:val="%1"/>
      <w:numFmt w:val="lowerRoman"/>
      <w:start w:val="1"/>
    </w:lvl>
    <w:lvl w:ilvl="1">
      <w:lvlJc w:val="left"/>
      <w:lvlText w:val="(%2)"/>
      <w:numFmt w:val="lowerLetter"/>
      <w:start w:val="27"/>
    </w:lvl>
  </w:abstractNum>
  <w:abstractNum w:abstractNumId="12">
    <w:nsid w:val="7A6D8D3C"/>
    <w:multiLevelType w:val="hybridMultilevel"/>
    <w:lvl w:ilvl="0">
      <w:lvlJc w:val="left"/>
      <w:lvlText w:val="(%1)"/>
      <w:numFmt w:val="lowerRoman"/>
      <w:start w:val="2"/>
    </w:lvl>
    <w:lvl w:ilvl="1">
      <w:lvlJc w:val="left"/>
      <w:lvlText w:val="%2"/>
      <w:numFmt w:val="lowerLetter"/>
      <w:start w:val="1"/>
    </w:lvl>
  </w:abstractNum>
  <w:abstractNum w:abstractNumId="13">
    <w:nsid w:val="4B588F54"/>
    <w:multiLevelType w:val="hybridMultilevel"/>
    <w:lvl w:ilvl="0">
      <w:lvlJc w:val="left"/>
      <w:lvlText w:val="(%1)"/>
      <w:numFmt w:val="lowerLetter"/>
      <w:start w:val="30"/>
    </w:lvl>
  </w:abstractNum>
  <w:abstractNum w:abstractNumId="14">
    <w:nsid w:val="542289EC"/>
    <w:multiLevelType w:val="hybridMultilevel"/>
    <w:lvl w:ilvl="0">
      <w:lvlJc w:val="left"/>
      <w:lvlText w:val="(%1)"/>
      <w:numFmt w:val="lowerLetter"/>
      <w:start w:val="33"/>
    </w:lvl>
  </w:abstractNum>
  <w:abstractNum w:abstractNumId="15">
    <w:nsid w:val="6DE91B18"/>
    <w:multiLevelType w:val="hybridMultilevel"/>
    <w:lvl w:ilvl="0">
      <w:lvlJc w:val="left"/>
      <w:lvlText w:val="(%1)"/>
      <w:numFmt w:val="lowerLetter"/>
      <w:start w:val="38"/>
    </w:lvl>
  </w:abstractNum>
  <w:abstractNum w:abstractNumId="16">
    <w:nsid w:val="38437FDB"/>
    <w:multiLevelType w:val="hybridMultilevel"/>
    <w:lvl w:ilvl="0">
      <w:lvlJc w:val="left"/>
      <w:lvlText w:val="(%1)"/>
      <w:numFmt w:val="lowerLetter"/>
      <w:start w:val="44"/>
    </w:lvl>
  </w:abstractNum>
  <w:abstractNum w:abstractNumId="17">
    <w:nsid w:val="7644A45C"/>
    <w:multiLevelType w:val="hybridMultilevel"/>
    <w:lvl w:ilvl="0">
      <w:lvlJc w:val="left"/>
      <w:lvlText w:val="(%1)"/>
      <w:numFmt w:val="lowerLetter"/>
      <w:start w:val="53"/>
    </w:lvl>
  </w:abstractNum>
  <w:abstractNum w:abstractNumId="18">
    <w:nsid w:val="32FFF902"/>
    <w:multiLevelType w:val="hybridMultilevel"/>
    <w:lvl w:ilvl="0">
      <w:lvlJc w:val="left"/>
      <w:lvlText w:val="(%1)"/>
      <w:numFmt w:val="lowerLetter"/>
      <w:start w:val="57"/>
    </w:lvl>
  </w:abstractNum>
  <w:abstractNum w:abstractNumId="19">
    <w:nsid w:val="684A481A"/>
    <w:multiLevelType w:val="hybridMultilevel"/>
    <w:lvl w:ilvl="0">
      <w:lvlJc w:val="left"/>
      <w:lvlText w:val="%1."/>
      <w:numFmt w:val="decimal"/>
      <w:start w:val="3"/>
    </w:lvl>
  </w:abstractNum>
  <w:abstractNum w:abstractNumId="20">
    <w:nsid w:val="579478FE"/>
    <w:multiLevelType w:val="hybridMultilevel"/>
    <w:lvl w:ilvl="0">
      <w:lvlJc w:val="left"/>
      <w:lvlText w:val="(%1)"/>
      <w:numFmt w:val="lowerLetter"/>
      <w:start w:val="1"/>
    </w:lvl>
    <w:lvl w:ilvl="1">
      <w:lvlJc w:val="left"/>
      <w:lvlText w:val="(%2)"/>
      <w:numFmt w:val="lowerRoman"/>
      <w:start w:val="1"/>
    </w:lvl>
  </w:abstractNum>
  <w:abstractNum w:abstractNumId="21">
    <w:nsid w:val="749ABB43"/>
    <w:multiLevelType w:val="hybridMultilevel"/>
    <w:lvl w:ilvl="0">
      <w:lvlJc w:val="left"/>
      <w:lvlText w:val="(%1)"/>
      <w:numFmt w:val="lowerRoman"/>
      <w:start w:val="3"/>
    </w:lvl>
  </w:abstractNum>
  <w:abstractNum w:abstractNumId="22">
    <w:nsid w:val="3DC240FB"/>
    <w:multiLevelType w:val="hybridMultilevel"/>
    <w:lvl w:ilvl="0">
      <w:lvlJc w:val="left"/>
      <w:lvlText w:val="%1"/>
      <w:numFmt w:val="lowerLetter"/>
      <w:start w:val="1"/>
    </w:lvl>
    <w:lvl w:ilvl="1">
      <w:lvlJc w:val="left"/>
      <w:lvlText w:val="(%2)"/>
      <w:numFmt w:val="lowerRoman"/>
      <w:start w:val="7"/>
    </w:lvl>
  </w:abstractNum>
  <w:abstractNum w:abstractNumId="23">
    <w:nsid w:val="1BA026FA"/>
    <w:multiLevelType w:val="hybridMultilevel"/>
    <w:lvl w:ilvl="0">
      <w:lvlJc w:val="left"/>
      <w:lvlText w:val="(%1)"/>
      <w:numFmt w:val="lowerLetter"/>
      <w:start w:val="2"/>
    </w:lvl>
    <w:lvl w:ilvl="1">
      <w:lvlJc w:val="left"/>
      <w:lvlText w:val="%2"/>
      <w:numFmt w:val="lowerRoman"/>
      <w:start w:val="1"/>
    </w:lvl>
  </w:abstractNum>
  <w:abstractNum w:abstractNumId="24">
    <w:nsid w:val="79A1DEAA"/>
    <w:multiLevelType w:val="hybridMultilevel"/>
    <w:lvl w:ilvl="0">
      <w:lvlJc w:val="left"/>
      <w:lvlText w:val="(%1)"/>
      <w:numFmt w:val="lowerLetter"/>
      <w:start w:val="3"/>
    </w:lvl>
  </w:abstractNum>
  <w:abstractNum w:abstractNumId="25">
    <w:nsid w:val="75C6C33A"/>
    <w:multiLevelType w:val="hybridMultilevel"/>
    <w:lvl w:ilvl="0">
      <w:lvlJc w:val="left"/>
      <w:lvlText w:val="%1."/>
      <w:numFmt w:val="decimal"/>
      <w:start w:val="4"/>
    </w:lvl>
  </w:abstractNum>
  <w:abstractNum w:abstractNumId="26">
    <w:nsid w:val="12E685FB"/>
    <w:multiLevelType w:val="hybridMultilevel"/>
    <w:lvl w:ilvl="0">
      <w:lvlJc w:val="left"/>
      <w:lvlText w:val="(%1)"/>
      <w:numFmt w:val="lowerLetter"/>
      <w:start w:val="1"/>
    </w:lvl>
  </w:abstractNum>
  <w:abstractNum w:abstractNumId="27">
    <w:nsid w:val="70C6A529"/>
    <w:multiLevelType w:val="hybridMultilevel"/>
    <w:lvl w:ilvl="0">
      <w:lvlJc w:val="left"/>
      <w:lvlText w:val="(%1)"/>
      <w:numFmt w:val="lowerLetter"/>
      <w:start w:val="2"/>
    </w:lvl>
  </w:abstractNum>
  <w:abstractNum w:abstractNumId="28">
    <w:nsid w:val="520EEDD1"/>
    <w:multiLevelType w:val="hybridMultilevel"/>
    <w:lvl w:ilvl="0">
      <w:lvlJc w:val="left"/>
      <w:lvlText w:val="(%1)"/>
      <w:numFmt w:val="lowerLetter"/>
      <w:start w:val="3"/>
    </w:lvl>
  </w:abstractNum>
  <w:abstractNum w:abstractNumId="29">
    <w:nsid w:val="374A3FE6"/>
    <w:multiLevelType w:val="hybridMultilevel"/>
    <w:lvl w:ilvl="0">
      <w:lvlJc w:val="left"/>
      <w:lvlText w:val="%1"/>
      <w:numFmt w:val="lowerLetter"/>
      <w:start w:val="1"/>
    </w:lvl>
    <w:lvl w:ilvl="1">
      <w:lvlJc w:val="left"/>
      <w:lvlText w:val="(%2)"/>
      <w:numFmt w:val="lowerLetter"/>
      <w:start w:val="8"/>
    </w:lvl>
  </w:abstractNum>
  <w:abstractNum w:abstractNumId="30">
    <w:nsid w:val="4F4EF005"/>
    <w:multiLevelType w:val="hybridMultilevel"/>
    <w:lvl w:ilvl="0">
      <w:lvlJc w:val="left"/>
      <w:lvlText w:val="(%1)"/>
      <w:numFmt w:val="lowerLetter"/>
      <w:start w:val="35"/>
    </w:lvl>
    <w:lvl w:ilvl="1">
      <w:lvlJc w:val="left"/>
      <w:lvlText w:val="%2"/>
      <w:numFmt w:val="lowerLetter"/>
      <w:start w:val="1"/>
    </w:lvl>
  </w:abstractNum>
  <w:abstractNum w:abstractNumId="31">
    <w:nsid w:val="23F9C13C"/>
    <w:multiLevelType w:val="hybridMultilevel"/>
    <w:lvl w:ilvl="0">
      <w:lvlJc w:val="left"/>
      <w:lvlText w:val="%1"/>
      <w:numFmt w:val="lowerRoman"/>
      <w:start w:val="1"/>
    </w:lvl>
    <w:lvl w:ilvl="1">
      <w:lvlJc w:val="left"/>
      <w:lvlText w:val="(%2)"/>
      <w:numFmt w:val="lowerLetter"/>
      <w:start w:val="10"/>
    </w:lvl>
  </w:abstractNum>
  <w:abstractNum w:abstractNumId="32">
    <w:nsid w:val="649BB77C"/>
    <w:multiLevelType w:val="hybridMultilevel"/>
    <w:lvl w:ilvl="0">
      <w:lvlJc w:val="left"/>
      <w:lvlText w:val="(%1)"/>
      <w:numFmt w:val="lowerRoman"/>
      <w:start w:val="7"/>
    </w:lvl>
    <w:lvl w:ilvl="1">
      <w:lvlJc w:val="left"/>
      <w:lvlText w:val="%2"/>
      <w:numFmt w:val="lowerLetter"/>
      <w:start w:val="1"/>
    </w:lvl>
  </w:abstractNum>
  <w:abstractNum w:abstractNumId="33">
    <w:nsid w:val="275AC794"/>
    <w:multiLevelType w:val="hybridMultilevel"/>
    <w:lvl w:ilvl="0">
      <w:lvlJc w:val="left"/>
      <w:lvlText w:val="(%1)"/>
      <w:numFmt w:val="lowerLetter"/>
      <w:start w:val="12"/>
    </w:lvl>
  </w:abstractNum>
  <w:abstractNum w:abstractNumId="34">
    <w:nsid w:val="39386575"/>
    <w:multiLevelType w:val="hybridMultilevel"/>
    <w:lvl w:ilvl="0">
      <w:lvlJc w:val="left"/>
      <w:lvlText w:val="(%1)"/>
      <w:numFmt w:val="lowerLetter"/>
      <w:start w:val="16"/>
    </w:lvl>
  </w:abstractNum>
  <w:abstractNum w:abstractNumId="35">
    <w:nsid w:val="1CF10FD8"/>
    <w:multiLevelType w:val="hybridMultilevel"/>
    <w:lvl w:ilvl="0">
      <w:lvlJc w:val="left"/>
      <w:lvlText w:val="(%1)"/>
      <w:numFmt w:val="lowerLetter"/>
      <w:start w:val="17"/>
    </w:lvl>
  </w:abstractNum>
  <w:abstractNum w:abstractNumId="36">
    <w:nsid w:val="180115BE"/>
    <w:multiLevelType w:val="hybridMultilevel"/>
    <w:lvl w:ilvl="0">
      <w:lvlJc w:val="left"/>
      <w:lvlText w:val="(%1)"/>
      <w:numFmt w:val="lowerLetter"/>
      <w:start w:val="21"/>
    </w:lvl>
  </w:abstractNum>
  <w:abstractNum w:abstractNumId="37">
    <w:nsid w:val="235BA861"/>
    <w:multiLevelType w:val="hybridMultilevel"/>
    <w:lvl w:ilvl="0">
      <w:lvlJc w:val="left"/>
      <w:lvlText w:val="(%1)"/>
      <w:numFmt w:val="lowerLetter"/>
      <w:start w:val="23"/>
    </w:lvl>
  </w:abstractNum>
  <w:abstractNum w:abstractNumId="38">
    <w:nsid w:val="47398C89"/>
    <w:multiLevelType w:val="hybridMultilevel"/>
    <w:lvl w:ilvl="0">
      <w:lvlJc w:val="left"/>
      <w:lvlText w:val="(%1)"/>
      <w:numFmt w:val="lowerLetter"/>
      <w:start w:val="25"/>
    </w:lvl>
  </w:abstractNum>
  <w:abstractNum w:abstractNumId="39">
    <w:nsid w:val="354FE9F9"/>
    <w:multiLevelType w:val="hybridMultilevel"/>
    <w:lvl w:ilvl="0">
      <w:lvlJc w:val="left"/>
      <w:lvlText w:val="(%1)"/>
      <w:numFmt w:val="lowerLetter"/>
      <w:start w:val="27"/>
    </w:lvl>
  </w:abstractNum>
  <w:abstractNum w:abstractNumId="40">
    <w:nsid w:val="15B5AF5C"/>
    <w:multiLevelType w:val="hybridMultilevel"/>
    <w:lvl w:ilvl="0">
      <w:lvlJc w:val="left"/>
      <w:lvlText w:val="%1"/>
      <w:numFmt w:val="lowerRoman"/>
      <w:start w:val="1"/>
    </w:lvl>
    <w:lvl w:ilvl="1">
      <w:lvlJc w:val="left"/>
      <w:lvlText w:val="%2."/>
      <w:numFmt w:val="decimal"/>
      <w:start w:val="5"/>
    </w:lvl>
  </w:abstractNum>
  <w:abstractNum w:abstractNumId="41">
    <w:nsid w:val="741226BB"/>
    <w:multiLevelType w:val="hybridMultilevel"/>
    <w:lvl w:ilvl="0">
      <w:lvlJc w:val="left"/>
      <w:lvlText w:val="(%1)"/>
      <w:numFmt w:val="lowerRoman"/>
      <w:start w:val="5"/>
    </w:lvl>
    <w:lvl w:ilvl="1">
      <w:lvlJc w:val="left"/>
      <w:lvlText w:val="%2"/>
      <w:numFmt w:val="decimal"/>
      <w:start w:val="1"/>
    </w:lvl>
  </w:abstractNum>
  <w:abstractNum w:abstractNumId="42">
    <w:nsid w:val="D34B6A8"/>
    <w:multiLevelType w:val="hybridMultilevel"/>
    <w:lvl w:ilvl="0">
      <w:lvlJc w:val="left"/>
      <w:lvlText w:val="%1."/>
      <w:numFmt w:val="decimal"/>
      <w:start w:val="6"/>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Letter"/>
      <w:start w:val="1"/>
    </w:lvl>
    <w:lvl w:ilvl="1">
      <w:lvlJc w:val="left"/>
      <w:lvlText w:val="(%2)"/>
      <w:numFmt w:val="lowerRoman"/>
      <w:start w:val="1"/>
    </w:lvl>
  </w:abstractNum>
  <w:abstractNum w:abstractNumId="45">
    <w:nsid w:val="61574095"/>
    <w:multiLevelType w:val="hybridMultilevel"/>
    <w:lvl w:ilvl="0">
      <w:lvlJc w:val="left"/>
      <w:lvlText w:val="(%1)"/>
      <w:numFmt w:val="lowerLetter"/>
      <w:start w:val="5"/>
    </w:lvl>
    <w:lvl w:ilvl="1">
      <w:lvlJc w:val="left"/>
      <w:lvlText w:val="%2"/>
      <w:numFmt w:val="lowerRoman"/>
      <w:start w:val="1"/>
    </w:lvl>
  </w:abstractNum>
  <w:abstractNum w:abstractNumId="46">
    <w:nsid w:val="7E0C57B1"/>
    <w:multiLevelType w:val="hybridMultilevel"/>
    <w:lvl w:ilvl="0">
      <w:lvlJc w:val="left"/>
      <w:lvlText w:val="(%1)"/>
      <w:numFmt w:val="lowerLetter"/>
      <w:start w:val="9"/>
    </w:lvl>
  </w:abstractNum>
  <w:abstractNum w:abstractNumId="47">
    <w:nsid w:val="77AE35EB"/>
    <w:multiLevelType w:val="hybridMultilevel"/>
    <w:lvl w:ilvl="0">
      <w:lvlJc w:val="left"/>
      <w:lvlText w:val="%1."/>
      <w:numFmt w:val="decimal"/>
      <w:start w:val="7"/>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3"/>
    </w:lvl>
  </w:abstractNum>
  <w:abstractNum w:abstractNumId="50">
    <w:nsid w:val="5FF87E05"/>
    <w:multiLevelType w:val="hybridMultilevel"/>
    <w:lvl w:ilvl="0">
      <w:lvlJc w:val="left"/>
      <w:lvlText w:val="(%1)"/>
      <w:numFmt w:val="lowerLetter"/>
      <w:start w:val="5"/>
    </w:lvl>
  </w:abstractNum>
  <w:abstractNum w:abstractNumId="51">
    <w:nsid w:val="2F305DEF"/>
    <w:multiLevelType w:val="hybridMultilevel"/>
    <w:lvl w:ilvl="0">
      <w:lvlJc w:val="left"/>
      <w:lvlText w:val="%1."/>
      <w:numFmt w:val="decimal"/>
      <w:start w:val="8"/>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decimal"/>
      <w:start w:val="9"/>
    </w:lvl>
  </w:abstractNum>
  <w:abstractNum w:abstractNumId="54">
    <w:nsid w:val="4AD084E9"/>
    <w:multiLevelType w:val="hybridMultilevel"/>
    <w:lvl w:ilvl="0">
      <w:lvlJc w:val="left"/>
      <w:lvlText w:val="%1."/>
      <w:numFmt w:val="decimal"/>
      <w:start w:val="13"/>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decimal"/>
      <w:start w:val="16"/>
    </w:lvl>
  </w:abstractNum>
  <w:abstractNum w:abstractNumId="57">
    <w:nsid w:val="5DB70AE5"/>
    <w:multiLevelType w:val="hybridMultilevel"/>
    <w:lvl w:ilvl="0">
      <w:lvlJc w:val="left"/>
      <w:lvlText w:val="%1."/>
      <w:numFmt w:val="decimal"/>
      <w:start w:val="19"/>
    </w:lvl>
  </w:abstractNum>
  <w:abstractNum w:abstractNumId="58">
    <w:nsid w:val="100F8FCA"/>
    <w:multiLevelType w:val="hybridMultilevel"/>
    <w:lvl w:ilvl="0">
      <w:lvlJc w:val="left"/>
      <w:lvlText w:val="%1."/>
      <w:numFmt w:val="lowerRoman"/>
      <w:start w:val="2"/>
    </w:lvl>
  </w:abstractNum>
  <w:abstractNum w:abstractNumId="59">
    <w:nsid w:val="6590700B"/>
    <w:multiLevelType w:val="hybridMultilevel"/>
    <w:lvl w:ilvl="0">
      <w:lvlJc w:val="left"/>
      <w:lvlText w:val="%1."/>
      <w:numFmt w:val="decimal"/>
      <w:start w:val="20"/>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4"/>
    </w:lvl>
  </w:abstractNum>
  <w:abstractNum w:abstractNumId="63">
    <w:nsid w:val="799D0247"/>
    <w:multiLevelType w:val="hybridMultilevel"/>
    <w:lvl w:ilvl="0">
      <w:lvlJc w:val="left"/>
      <w:lvlText w:val="%1."/>
      <w:numFmt w:val="decimal"/>
      <w:start w:val="8"/>
    </w:lvl>
  </w:abstractNum>
  <w:abstractNum w:abstractNumId="64">
    <w:nsid w:val="6B94764"/>
    <w:multiLevelType w:val="hybridMultilevel"/>
    <w:lvl w:ilvl="0">
      <w:lvlJc w:val="left"/>
      <w:lvlText w:val="%1."/>
      <w:numFmt w:val="decimal"/>
      <w:start w:val="15"/>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8"/>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7"/>
    </w:lvl>
  </w:abstractNum>
  <w:abstractNum w:abstractNumId="70">
    <w:nsid w:val="540A471C"/>
    <w:multiLevelType w:val="hybridMultilevel"/>
    <w:lvl w:ilvl="0">
      <w:lvlJc w:val="left"/>
      <w:lvlText w:val="(%1)"/>
      <w:numFmt w:val="decimal"/>
      <w:start w:val="13"/>
    </w:lvl>
  </w:abstractNum>
  <w:abstractNum w:abstractNumId="71">
    <w:nsid w:val="7BD3EE7B"/>
    <w:multiLevelType w:val="hybridMultilevel"/>
    <w:lvl w:ilvl="0">
      <w:lvlJc w:val="left"/>
      <w:lvlText w:val="(%1)"/>
      <w:numFmt w:val="decimal"/>
      <w:start w:val="20"/>
    </w:lvl>
    <w:lvl w:ilvl="1">
      <w:lvlJc w:val="left"/>
      <w:lvlText w:val="(%2)"/>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6"/>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lowerRoman"/>
      <w:start w:val="1"/>
    </w:lvl>
  </w:abstractNum>
  <w:abstractNum w:abstractNumId="76">
    <w:nsid w:val="42963E5A"/>
    <w:multiLevelType w:val="hybridMultilevel"/>
    <w:lvl w:ilvl="0">
      <w:lvlJc w:val="left"/>
      <w:lvlText w:val="(%1)"/>
      <w:numFmt w:val="lowerRoman"/>
      <w:start w:val="1"/>
    </w:lvl>
  </w:abstractNum>
  <w:abstractNum w:abstractNumId="77">
    <w:nsid w:val="A0382C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2019-12-15T15:22:46Z</dcterms:created>
  <dcterms:modified xsi:type="dcterms:W3CDTF">2019-12-15T15:22:46Z</dcterms:modified>
</cp:coreProperties>
</file>