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The press release issued by GasLog Partners LP on January 9, 2018 announcing a public offering of its Series B Cumulative Redeemable Perpetual Fixed to Floating Rate Preference Units is included as Exhibit 99.1 and is incorporated herein by reference.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4"/>
                <w:szCs w:val="14"/>
                <w:color w:val="auto"/>
              </w:rPr>
            </w:pPr>
          </w:p>
        </w:tc>
        <w:tc>
          <w:tcPr>
            <w:tcW w:w="10080" w:type="dxa"/>
            <w:vAlign w:val="bottom"/>
          </w:tcPr>
          <w:p>
            <w:pPr>
              <w:jc w:val="right"/>
              <w:ind w:right="459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080" w:type="dxa"/>
            <w:vAlign w:val="bottom"/>
            <w:tcBorders>
              <w:top w:val="single" w:sz="8" w:color="auto"/>
            </w:tcBorders>
          </w:tcPr>
          <w:p>
            <w:pPr>
              <w:jc w:val="right"/>
              <w:ind w:right="7379"/>
              <w:spacing w:after="0"/>
              <w:rPr>
                <w:sz w:val="20"/>
                <w:szCs w:val="20"/>
                <w:color w:val="auto"/>
              </w:rPr>
            </w:pPr>
            <w:r>
              <w:rPr>
                <w:rFonts w:ascii="Arial" w:cs="Arial" w:eastAsia="Arial" w:hAnsi="Arial"/>
                <w:sz w:val="18"/>
                <w:szCs w:val="18"/>
                <w:color w:val="auto"/>
                <w:w w:val="86"/>
              </w:rPr>
              <w:t>Press Release dated January 9, 2018</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January 9, 2018</w:t>
      </w:r>
    </w:p>
    <w:p>
      <w:pPr>
        <w:spacing w:after="0" w:line="221"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4"/>
          <w:szCs w:val="24"/>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Name: Andrew J. Orekar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Public Offering of Series B Cumulative Redeemable Perpetual Fixed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Preference Units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MONACO, January 9, 2018 — GasLog Partners LP (“GasLog Partners”, the “Partnership” or “we”) (NYSE: GLOP) announced today that it plans to offer its Series B Cumulative Redeemable Perpetual Fixed to Floating Rate Preference Units, liquidation preference $25.00 per unit (the “Series B Preference Units”) in a public offering under its effective shelf registration statement. The Partnership intends to grant the underwriters a 30-day option to purchase additional Series B Preference Units from the Partnership. The Partnership intends to file an application to list the Series B Preference Units on the New York Stock Exchange.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Morgan Stanley, UBS Investment Bank, Stifel and Citigroup are acting as joint book-runners for the offering and Credit Suisse is acting as co-manager for the offering.</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offering is being made only by means of a prospectus. A copy of the preliminary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Stifel, Nicolaus &amp; Company, Incorporated, Attention: Syndicate Department, One South Street, 15th Floor, Baltimore, MD 21202, telephone: (855) 300-7136, email: syndprospectus@stifel.com and Citigroup Global Markets Inc., c/o Broadridge Financial Solutions, 1155 Long Island Avenue, Edgewood, NY 11717, telephone: (800) 831-9146.</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twelve LNG carriers with an average carrying capacity of approximately 154,000 cbm. GasLog Partners’ principal executive offices are located at Gildo Pastor Center, 7 Rue du Gabian, MC 98000, Monaco.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press release, about factors that are beyond our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300" w:hanging="188"/>
        <w:spacing w:after="0" w:line="277"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70"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bunkers costs;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expenses;</w:t>
      </w:r>
    </w:p>
    <w:p>
      <w:pPr>
        <w:spacing w:after="0" w:line="225" w:lineRule="exact"/>
        <w:rPr>
          <w:rFonts w:ascii="Arial" w:cs="Arial" w:eastAsia="Arial" w:hAnsi="Arial"/>
          <w:sz w:val="18"/>
          <w:szCs w:val="18"/>
          <w:color w:val="auto"/>
        </w:rPr>
      </w:pPr>
    </w:p>
    <w:p>
      <w:pPr>
        <w:ind w:left="500" w:right="220" w:hanging="168"/>
        <w:spacing w:after="0" w:line="264" w:lineRule="auto"/>
        <w:tabs>
          <w:tab w:leader="none" w:pos="46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charter commitments, including the risk that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natural gas;</w:t>
      </w:r>
    </w:p>
    <w:p>
      <w:pPr>
        <w:sectPr>
          <w:pgSz w:w="11900" w:h="16838" w:orient="portrait"/>
          <w:cols w:equalWidth="0" w:num="1">
            <w:col w:w="11420"/>
          </w:cols>
          <w:pgMar w:left="240" w:top="121" w:right="239" w:bottom="0" w:gutter="0" w:footer="0" w:header="0"/>
        </w:sectPr>
      </w:pPr>
    </w:p>
    <w:bookmarkStart w:id="2" w:name="page3"/>
    <w:bookmarkEnd w:id="2"/>
    <w:p>
      <w:pPr>
        <w:ind w:left="460" w:hanging="128"/>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25" w:lineRule="exact"/>
        <w:rPr>
          <w:rFonts w:ascii="Arial" w:cs="Arial" w:eastAsia="Arial" w:hAnsi="Arial"/>
          <w:sz w:val="18"/>
          <w:szCs w:val="18"/>
          <w:color w:val="auto"/>
        </w:rPr>
      </w:pPr>
    </w:p>
    <w:p>
      <w:pPr>
        <w:ind w:left="520" w:right="360" w:hanging="188"/>
        <w:spacing w:after="0" w:line="264"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520" w:right="4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520" w:hanging="188"/>
        <w:spacing w:after="0" w:line="342" w:lineRule="auto"/>
        <w:tabs>
          <w:tab w:leader="none" w:pos="47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23" w:lineRule="exact"/>
        <w:rPr>
          <w:rFonts w:ascii="Arial" w:cs="Arial" w:eastAsia="Arial" w:hAnsi="Arial"/>
          <w:sz w:val="16"/>
          <w:szCs w:val="16"/>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520" w:right="26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520" w:right="20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and the prospectus supplement filed with the SEC on January 9,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jnelson@gaslogmlp.com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2019-12-08T09:55:30Z</dcterms:created>
  <dcterms:modified xsi:type="dcterms:W3CDTF">2019-12-08T09:55:30Z</dcterms:modified>
</cp:coreProperties>
</file>