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ind w:right="440"/>
        <w:spacing w:after="0" w:line="277" w:lineRule="auto"/>
        <w:rPr>
          <w:sz w:val="20"/>
          <w:szCs w:val="20"/>
          <w:color w:val="auto"/>
        </w:rPr>
      </w:pPr>
      <w:r>
        <w:rPr>
          <w:rFonts w:ascii="Arial" w:cs="Arial" w:eastAsia="Arial" w:hAnsi="Arial"/>
          <w:sz w:val="18"/>
          <w:szCs w:val="18"/>
          <w:color w:val="auto"/>
        </w:rPr>
        <w:t>The press release issued by GasLog Partners LP. on May 15, 2020 confirming the Series A, Series B and Series C Preference Distributions payable on June 15, 2020 is attached hereto as Exhibit 99.1.</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GASLOG PARTNERS LP,</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Andrew Orekar</w:t>
      </w:r>
    </w:p>
    <w:p>
      <w:pPr>
        <w:spacing w:after="0" w:line="265"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-130175</wp:posOffset>
            </wp:positionV>
            <wp:extent cx="33343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Declares Distributions on Series A, B and C Preference Units</w:t>
      </w:r>
    </w:p>
    <w:p>
      <w:pPr>
        <w:spacing w:after="0" w:line="2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Piraeus, Greece, May 15, 2020 — </w:t>
      </w:r>
      <w:r>
        <w:rPr>
          <w:rFonts w:ascii="Arial" w:cs="Arial" w:eastAsia="Arial" w:hAnsi="Arial"/>
          <w:sz w:val="18"/>
          <w:szCs w:val="18"/>
          <w:color w:val="auto"/>
        </w:rPr>
        <w:t>GasLog Partners LP (“GasLog Partners” or the “Partnership”) (NYSE: GLOP) today announced the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on its preference units as follows:</w:t>
      </w:r>
    </w:p>
    <w:p>
      <w:pPr>
        <w:spacing w:after="0" w:line="160" w:lineRule="exact"/>
        <w:rPr>
          <w:sz w:val="20"/>
          <w:szCs w:val="20"/>
          <w:color w:val="auto"/>
        </w:rPr>
      </w:pPr>
    </w:p>
    <w:tbl>
      <w:tblPr>
        <w:tblLayout w:type="fixed"/>
        <w:tblInd w:w="870" w:type="dxa"/>
        <w:tblCellMar>
          <w:top w:w="0" w:type="dxa"/>
          <w:left w:w="0" w:type="dxa"/>
          <w:bottom w:w="0" w:type="dxa"/>
          <w:right w:w="0" w:type="dxa"/>
        </w:tblCellMar>
      </w:tblPr>
      <w:tr>
        <w:trPr>
          <w:trHeight w:val="256"/>
        </w:trPr>
        <w:tc>
          <w:tcPr>
            <w:tcW w:w="45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Distribution</w:t>
            </w:r>
          </w:p>
        </w:tc>
        <w:tc>
          <w:tcPr>
            <w:tcW w:w="154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Record Date</w:t>
            </w:r>
          </w:p>
        </w:tc>
        <w:tc>
          <w:tcPr>
            <w:tcW w:w="172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Payment Date</w:t>
            </w:r>
          </w:p>
        </w:tc>
      </w:tr>
      <w:tr>
        <w:trPr>
          <w:trHeight w:val="195"/>
        </w:trPr>
        <w:tc>
          <w:tcPr>
            <w:tcW w:w="45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8.625% Series A Cumulative Redeemable Perpetual Fixed</w:t>
            </w:r>
          </w:p>
        </w:tc>
        <w:tc>
          <w:tcPr>
            <w:tcW w:w="1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$0.5390625 per</w:t>
            </w:r>
          </w:p>
        </w:tc>
        <w:tc>
          <w:tcPr>
            <w:tcW w:w="15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8, 2020</w:t>
            </w:r>
          </w:p>
        </w:tc>
        <w:tc>
          <w:tcPr>
            <w:tcW w:w="1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15, 2020</w:t>
            </w:r>
          </w:p>
        </w:tc>
      </w:tr>
      <w:tr>
        <w:trPr>
          <w:trHeight w:val="230"/>
        </w:trPr>
        <w:tc>
          <w:tcPr>
            <w:tcW w:w="4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 Floating Rate Preference Units</w:t>
            </w:r>
          </w:p>
        </w:tc>
        <w:tc>
          <w:tcPr>
            <w:tcW w:w="1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15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r>
      <w:tr>
        <w:trPr>
          <w:trHeight w:val="203"/>
        </w:trPr>
        <w:tc>
          <w:tcPr>
            <w:tcW w:w="4540" w:type="dxa"/>
            <w:vAlign w:val="bottom"/>
            <w:tcBorders>
              <w:left w:val="single" w:sz="8" w:color="auto"/>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195"/>
        </w:trPr>
        <w:tc>
          <w:tcPr>
            <w:tcW w:w="45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8.200% Series B Cumulative Redeemable Perpetual Fixed</w:t>
            </w:r>
          </w:p>
        </w:tc>
        <w:tc>
          <w:tcPr>
            <w:tcW w:w="1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$0.5125 per</w:t>
            </w:r>
          </w:p>
        </w:tc>
        <w:tc>
          <w:tcPr>
            <w:tcW w:w="15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8, 2020</w:t>
            </w:r>
          </w:p>
        </w:tc>
        <w:tc>
          <w:tcPr>
            <w:tcW w:w="1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15, 2020</w:t>
            </w:r>
          </w:p>
        </w:tc>
      </w:tr>
      <w:tr>
        <w:trPr>
          <w:trHeight w:val="230"/>
        </w:trPr>
        <w:tc>
          <w:tcPr>
            <w:tcW w:w="4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 Floating Rate Preference Units</w:t>
            </w:r>
          </w:p>
        </w:tc>
        <w:tc>
          <w:tcPr>
            <w:tcW w:w="1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15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r>
      <w:tr>
        <w:trPr>
          <w:trHeight w:val="203"/>
        </w:trPr>
        <w:tc>
          <w:tcPr>
            <w:tcW w:w="4540" w:type="dxa"/>
            <w:vAlign w:val="bottom"/>
            <w:tcBorders>
              <w:left w:val="single" w:sz="8" w:color="auto"/>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195"/>
        </w:trPr>
        <w:tc>
          <w:tcPr>
            <w:tcW w:w="45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8.500% Series C Cumulative Redeemable Perpetual Fixed</w:t>
            </w:r>
          </w:p>
        </w:tc>
        <w:tc>
          <w:tcPr>
            <w:tcW w:w="1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$0.53125 per</w:t>
            </w:r>
          </w:p>
        </w:tc>
        <w:tc>
          <w:tcPr>
            <w:tcW w:w="15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8, 2020</w:t>
            </w:r>
          </w:p>
        </w:tc>
        <w:tc>
          <w:tcPr>
            <w:tcW w:w="1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15, 2020</w:t>
            </w:r>
          </w:p>
        </w:tc>
      </w:tr>
      <w:tr>
        <w:trPr>
          <w:trHeight w:val="230"/>
        </w:trPr>
        <w:tc>
          <w:tcPr>
            <w:tcW w:w="4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 Floating Rate Preference Units</w:t>
            </w:r>
          </w:p>
        </w:tc>
        <w:tc>
          <w:tcPr>
            <w:tcW w:w="1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15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r>
      <w:tr>
        <w:trPr>
          <w:trHeight w:val="203"/>
        </w:trPr>
        <w:tc>
          <w:tcPr>
            <w:tcW w:w="4540" w:type="dxa"/>
            <w:vAlign w:val="bottom"/>
            <w:tcBorders>
              <w:left w:val="single" w:sz="8" w:color="auto"/>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2020-05-15T06:02:47Z</dcterms:created>
  <dcterms:modified xsi:type="dcterms:W3CDTF">2020-05-15T06:02:47Z</dcterms:modified>
</cp:coreProperties>
</file>