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FORM 6-K</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2018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35"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GasLog Partners LP</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ind w:right="1719"/>
        <w:spacing w:after="0" w:line="532"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o</w:t>
      </w: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568960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621"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press release issued by GasLog Partners LP on November 15, 2018 announcing the closing of its public offering of its 8.500% Series C Cumulative Redeemable Perpetual Fixed to Floating Rate Preference Units is attached hereto as Exhibit 99.1.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Exhibit 3.2 to this Report on Form 6-K shall be incorporated by reference into our registration statement on Form F-3, as declared effective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 on October 10, 2017 (Registration No. 333-220736), as amended, and the registration statement on Form S-8 (File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333-203139), filed with the SEC on March 31, 2015, in each case to the extent not superseded by documents or reports subsequently filed or furnished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we expressly state that we incorporate such furnished information by reference) by us under the Securities Act of 1933 or the Securities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 of 1934, in each case as amended.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9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345"/>
        </w:trPr>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Fourth Amended and Restated Agreement of Limited Partnership of GasLog Partners LP</w:t>
            </w:r>
          </w:p>
        </w:tc>
        <w:tc>
          <w:tcPr>
            <w:tcW w:w="40" w:type="dxa"/>
            <w:vAlign w:val="bottom"/>
          </w:tcPr>
          <w:p>
            <w:pPr>
              <w:spacing w:after="0"/>
              <w:rPr>
                <w:sz w:val="24"/>
                <w:szCs w:val="24"/>
                <w:color w:val="auto"/>
              </w:rPr>
            </w:pPr>
          </w:p>
        </w:tc>
      </w:tr>
      <w:tr>
        <w:trPr>
          <w:trHeight w:val="351"/>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Press Release dated November 15, 2018</w:t>
            </w:r>
          </w:p>
        </w:tc>
        <w:tc>
          <w:tcPr>
            <w:tcW w:w="40" w:type="dxa"/>
            <w:vAlign w:val="bottom"/>
          </w:tcPr>
          <w:p>
            <w:pPr>
              <w:spacing w:after="0"/>
              <w:rPr>
                <w:sz w:val="24"/>
                <w:szCs w:val="24"/>
                <w:color w:val="auto"/>
              </w:rPr>
            </w:pPr>
          </w:p>
        </w:tc>
      </w:tr>
      <w:tr>
        <w:trPr>
          <w:trHeight w:val="348"/>
        </w:trPr>
        <w:tc>
          <w:tcPr>
            <w:tcW w:w="1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2018</w:t>
      </w: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Orekar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7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Andrew J. Orekar</w:t>
            </w:r>
          </w:p>
        </w:tc>
        <w:tc>
          <w:tcPr>
            <w:tcW w:w="80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Title:</w:t>
            </w:r>
          </w:p>
        </w:tc>
        <w:tc>
          <w:tcPr>
            <w:tcW w:w="37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800" w:type="dxa"/>
            <w:vAlign w:val="bottom"/>
          </w:tcPr>
          <w:p>
            <w:pPr>
              <w:spacing w:after="0"/>
              <w:rPr>
                <w:sz w:val="20"/>
                <w:szCs w:val="20"/>
                <w:color w:val="auto"/>
              </w:rPr>
            </w:pPr>
          </w:p>
        </w:tc>
      </w:tr>
      <w:tr>
        <w:trPr>
          <w:trHeight w:val="348"/>
        </w:trPr>
        <w:tc>
          <w:tcPr>
            <w:tcW w:w="6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457200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474345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FOURTH AMENDED AND RESTATED</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AGREEMENT OF LIMITED PARTNERSHIP</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2155190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2172335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2401570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840" w:type="dxa"/>
            <w:vAlign w:val="bottom"/>
          </w:tcPr>
          <w:p>
            <w:pPr>
              <w:spacing w:after="0"/>
              <w:rPr>
                <w:sz w:val="24"/>
                <w:szCs w:val="24"/>
                <w:color w:val="auto"/>
              </w:rPr>
            </w:pPr>
          </w:p>
        </w:tc>
        <w:tc>
          <w:tcPr>
            <w:tcW w:w="8880" w:type="dxa"/>
            <w:vAlign w:val="bottom"/>
          </w:tcPr>
          <w:p>
            <w:pPr>
              <w:ind w:left="2720"/>
              <w:spacing w:after="0"/>
              <w:rPr>
                <w:sz w:val="20"/>
                <w:szCs w:val="20"/>
                <w:color w:val="auto"/>
              </w:rPr>
            </w:pPr>
            <w:r>
              <w:rPr>
                <w:rFonts w:ascii="Arial" w:cs="Arial" w:eastAsia="Arial" w:hAnsi="Arial"/>
                <w:sz w:val="22"/>
                <w:szCs w:val="22"/>
                <w:b w:val="1"/>
                <w:bCs w:val="1"/>
                <w:color w:val="auto"/>
              </w:rPr>
              <w:t>TABLE OF CONTENTS</w:t>
            </w:r>
          </w:p>
        </w:tc>
        <w:tc>
          <w:tcPr>
            <w:tcW w:w="700" w:type="dxa"/>
            <w:vAlign w:val="bottom"/>
          </w:tcPr>
          <w:p>
            <w:pPr>
              <w:spacing w:after="0"/>
              <w:rPr>
                <w:sz w:val="24"/>
                <w:szCs w:val="24"/>
                <w:color w:val="auto"/>
              </w:rPr>
            </w:pPr>
          </w:p>
        </w:tc>
      </w:tr>
      <w:tr>
        <w:trPr>
          <w:trHeight w:val="455"/>
        </w:trPr>
        <w:tc>
          <w:tcPr>
            <w:tcW w:w="1840" w:type="dxa"/>
            <w:vAlign w:val="bottom"/>
          </w:tcPr>
          <w:p>
            <w:pPr>
              <w:spacing w:after="0"/>
              <w:rPr>
                <w:sz w:val="20"/>
                <w:szCs w:val="20"/>
                <w:color w:val="auto"/>
              </w:rPr>
            </w:pPr>
            <w:r>
              <w:rPr>
                <w:rFonts w:ascii="Arial" w:cs="Arial" w:eastAsia="Arial" w:hAnsi="Arial"/>
                <w:sz w:val="22"/>
                <w:szCs w:val="22"/>
                <w:color w:val="auto"/>
              </w:rPr>
              <w:t>ARTICLE I</w:t>
            </w:r>
          </w:p>
        </w:tc>
        <w:tc>
          <w:tcPr>
            <w:tcW w:w="8880" w:type="dxa"/>
            <w:vAlign w:val="bottom"/>
          </w:tcPr>
          <w:p>
            <w:pPr>
              <w:ind w:left="460"/>
              <w:spacing w:after="0"/>
              <w:rPr>
                <w:sz w:val="20"/>
                <w:szCs w:val="20"/>
                <w:color w:val="auto"/>
              </w:rPr>
            </w:pPr>
            <w:r>
              <w:rPr>
                <w:rFonts w:ascii="Arial" w:cs="Arial" w:eastAsia="Arial" w:hAnsi="Arial"/>
                <w:sz w:val="22"/>
                <w:szCs w:val="22"/>
                <w:color w:val="auto"/>
              </w:rPr>
              <w:t>DEFINITIONS AND CONSTRUCTION</w:t>
            </w:r>
          </w:p>
        </w:tc>
        <w:tc>
          <w:tcPr>
            <w:tcW w:w="7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1.1.</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Definitions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75"/>
        </w:trPr>
        <w:tc>
          <w:tcPr>
            <w:tcW w:w="1840" w:type="dxa"/>
            <w:vAlign w:val="bottom"/>
          </w:tcPr>
          <w:p>
            <w:pPr>
              <w:ind w:left="360"/>
              <w:spacing w:after="0"/>
              <w:rPr>
                <w:sz w:val="20"/>
                <w:szCs w:val="20"/>
                <w:color w:val="auto"/>
              </w:rPr>
            </w:pPr>
            <w:r>
              <w:rPr>
                <w:rFonts w:ascii="Arial" w:cs="Arial" w:eastAsia="Arial" w:hAnsi="Arial"/>
                <w:sz w:val="22"/>
                <w:szCs w:val="22"/>
                <w:color w:val="auto"/>
              </w:rPr>
              <w:t>Section 1.2.</w:t>
            </w:r>
          </w:p>
        </w:tc>
        <w:tc>
          <w:tcPr>
            <w:tcW w:w="8880" w:type="dxa"/>
            <w:vAlign w:val="bottom"/>
          </w:tcPr>
          <w:p>
            <w:pPr>
              <w:ind w:left="460"/>
              <w:spacing w:after="0"/>
              <w:rPr>
                <w:sz w:val="20"/>
                <w:szCs w:val="20"/>
                <w:color w:val="auto"/>
              </w:rPr>
            </w:pPr>
            <w:r>
              <w:rPr>
                <w:rFonts w:ascii="Arial" w:cs="Arial" w:eastAsia="Arial" w:hAnsi="Arial"/>
                <w:sz w:val="22"/>
                <w:szCs w:val="22"/>
                <w:color w:val="auto"/>
              </w:rPr>
              <w:t>Construction</w:t>
            </w:r>
          </w:p>
        </w:tc>
        <w:tc>
          <w:tcPr>
            <w:tcW w:w="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55"/>
        </w:trPr>
        <w:tc>
          <w:tcPr>
            <w:tcW w:w="1840" w:type="dxa"/>
            <w:vAlign w:val="bottom"/>
          </w:tcPr>
          <w:p>
            <w:pPr>
              <w:spacing w:after="0"/>
              <w:rPr>
                <w:sz w:val="20"/>
                <w:szCs w:val="20"/>
                <w:color w:val="auto"/>
              </w:rPr>
            </w:pPr>
            <w:r>
              <w:rPr>
                <w:rFonts w:ascii="Arial" w:cs="Arial" w:eastAsia="Arial" w:hAnsi="Arial"/>
                <w:sz w:val="22"/>
                <w:szCs w:val="22"/>
                <w:color w:val="auto"/>
              </w:rPr>
              <w:t>ARTICLE II</w:t>
            </w:r>
          </w:p>
        </w:tc>
        <w:tc>
          <w:tcPr>
            <w:tcW w:w="8880" w:type="dxa"/>
            <w:vAlign w:val="bottom"/>
          </w:tcPr>
          <w:p>
            <w:pPr>
              <w:ind w:left="460"/>
              <w:spacing w:after="0"/>
              <w:rPr>
                <w:sz w:val="20"/>
                <w:szCs w:val="20"/>
                <w:color w:val="auto"/>
              </w:rPr>
            </w:pPr>
            <w:r>
              <w:rPr>
                <w:rFonts w:ascii="Arial" w:cs="Arial" w:eastAsia="Arial" w:hAnsi="Arial"/>
                <w:sz w:val="22"/>
                <w:szCs w:val="22"/>
                <w:color w:val="auto"/>
              </w:rPr>
              <w:t>ORGANIZATION</w:t>
            </w:r>
          </w:p>
        </w:tc>
        <w:tc>
          <w:tcPr>
            <w:tcW w:w="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2.1.</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Formation</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2.2.</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Name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2.3.</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Registered Office; Registered Agent; Principal Office; Other Offices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2.4.</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Purpose and Business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2.5.</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Powers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2.6.</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Term</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75"/>
        </w:trPr>
        <w:tc>
          <w:tcPr>
            <w:tcW w:w="1840" w:type="dxa"/>
            <w:vAlign w:val="bottom"/>
          </w:tcPr>
          <w:p>
            <w:pPr>
              <w:ind w:left="360"/>
              <w:spacing w:after="0"/>
              <w:rPr>
                <w:sz w:val="20"/>
                <w:szCs w:val="20"/>
                <w:color w:val="auto"/>
              </w:rPr>
            </w:pPr>
            <w:r>
              <w:rPr>
                <w:rFonts w:ascii="Arial" w:cs="Arial" w:eastAsia="Arial" w:hAnsi="Arial"/>
                <w:sz w:val="22"/>
                <w:szCs w:val="22"/>
                <w:color w:val="auto"/>
              </w:rPr>
              <w:t>Section 2.7.</w:t>
            </w:r>
          </w:p>
        </w:tc>
        <w:tc>
          <w:tcPr>
            <w:tcW w:w="8880" w:type="dxa"/>
            <w:vAlign w:val="bottom"/>
          </w:tcPr>
          <w:p>
            <w:pPr>
              <w:ind w:left="460"/>
              <w:spacing w:after="0"/>
              <w:rPr>
                <w:sz w:val="20"/>
                <w:szCs w:val="20"/>
                <w:color w:val="auto"/>
              </w:rPr>
            </w:pPr>
            <w:r>
              <w:rPr>
                <w:rFonts w:ascii="Arial" w:cs="Arial" w:eastAsia="Arial" w:hAnsi="Arial"/>
                <w:sz w:val="22"/>
                <w:szCs w:val="22"/>
                <w:color w:val="auto"/>
              </w:rPr>
              <w:t>Title to Partnership Assets</w:t>
            </w:r>
          </w:p>
        </w:tc>
        <w:tc>
          <w:tcPr>
            <w:tcW w:w="7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55"/>
        </w:trPr>
        <w:tc>
          <w:tcPr>
            <w:tcW w:w="1840" w:type="dxa"/>
            <w:vAlign w:val="bottom"/>
          </w:tcPr>
          <w:p>
            <w:pPr>
              <w:spacing w:after="0"/>
              <w:rPr>
                <w:sz w:val="20"/>
                <w:szCs w:val="20"/>
                <w:color w:val="auto"/>
              </w:rPr>
            </w:pPr>
            <w:r>
              <w:rPr>
                <w:rFonts w:ascii="Arial" w:cs="Arial" w:eastAsia="Arial" w:hAnsi="Arial"/>
                <w:sz w:val="22"/>
                <w:szCs w:val="22"/>
                <w:color w:val="auto"/>
              </w:rPr>
              <w:t>ARTICLE III</w:t>
            </w:r>
          </w:p>
        </w:tc>
        <w:tc>
          <w:tcPr>
            <w:tcW w:w="8880" w:type="dxa"/>
            <w:vAlign w:val="bottom"/>
          </w:tcPr>
          <w:p>
            <w:pPr>
              <w:ind w:left="460"/>
              <w:spacing w:after="0"/>
              <w:rPr>
                <w:sz w:val="20"/>
                <w:szCs w:val="20"/>
                <w:color w:val="auto"/>
              </w:rPr>
            </w:pPr>
            <w:r>
              <w:rPr>
                <w:rFonts w:ascii="Arial" w:cs="Arial" w:eastAsia="Arial" w:hAnsi="Arial"/>
                <w:sz w:val="22"/>
                <w:szCs w:val="22"/>
                <w:color w:val="auto"/>
              </w:rPr>
              <w:t>RIGHTS OF LIMITED PARTNERS</w:t>
            </w:r>
          </w:p>
        </w:tc>
        <w:tc>
          <w:tcPr>
            <w:tcW w:w="7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3.1.</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Limitation of Liability</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3.2.</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Management of Business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3.3.</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Outside Activities of the Limited Partners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75"/>
        </w:trPr>
        <w:tc>
          <w:tcPr>
            <w:tcW w:w="1840" w:type="dxa"/>
            <w:vAlign w:val="bottom"/>
          </w:tcPr>
          <w:p>
            <w:pPr>
              <w:ind w:left="360"/>
              <w:spacing w:after="0"/>
              <w:rPr>
                <w:sz w:val="20"/>
                <w:szCs w:val="20"/>
                <w:color w:val="auto"/>
              </w:rPr>
            </w:pPr>
            <w:r>
              <w:rPr>
                <w:rFonts w:ascii="Arial" w:cs="Arial" w:eastAsia="Arial" w:hAnsi="Arial"/>
                <w:sz w:val="22"/>
                <w:szCs w:val="22"/>
                <w:color w:val="auto"/>
              </w:rPr>
              <w:t>Section 3.4.</w:t>
            </w:r>
          </w:p>
        </w:tc>
        <w:tc>
          <w:tcPr>
            <w:tcW w:w="8880" w:type="dxa"/>
            <w:vAlign w:val="bottom"/>
          </w:tcPr>
          <w:p>
            <w:pPr>
              <w:ind w:left="460"/>
              <w:spacing w:after="0"/>
              <w:rPr>
                <w:sz w:val="20"/>
                <w:szCs w:val="20"/>
                <w:color w:val="auto"/>
              </w:rPr>
            </w:pPr>
            <w:r>
              <w:rPr>
                <w:rFonts w:ascii="Arial" w:cs="Arial" w:eastAsia="Arial" w:hAnsi="Arial"/>
                <w:sz w:val="22"/>
                <w:szCs w:val="22"/>
                <w:color w:val="auto"/>
              </w:rPr>
              <w:t>Rights of Limited Partners</w:t>
            </w:r>
          </w:p>
        </w:tc>
        <w:tc>
          <w:tcPr>
            <w:tcW w:w="7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55"/>
        </w:trPr>
        <w:tc>
          <w:tcPr>
            <w:tcW w:w="1840" w:type="dxa"/>
            <w:vAlign w:val="bottom"/>
          </w:tcPr>
          <w:p>
            <w:pPr>
              <w:spacing w:after="0"/>
              <w:rPr>
                <w:sz w:val="20"/>
                <w:szCs w:val="20"/>
                <w:color w:val="auto"/>
              </w:rPr>
            </w:pPr>
            <w:r>
              <w:rPr>
                <w:rFonts w:ascii="Arial" w:cs="Arial" w:eastAsia="Arial" w:hAnsi="Arial"/>
                <w:sz w:val="22"/>
                <w:szCs w:val="22"/>
                <w:color w:val="auto"/>
              </w:rPr>
              <w:t>ARTICLE IV</w:t>
            </w:r>
          </w:p>
        </w:tc>
        <w:tc>
          <w:tcPr>
            <w:tcW w:w="8880" w:type="dxa"/>
            <w:vAlign w:val="bottom"/>
          </w:tcPr>
          <w:p>
            <w:pPr>
              <w:ind w:left="460"/>
              <w:spacing w:after="0"/>
              <w:rPr>
                <w:sz w:val="20"/>
                <w:szCs w:val="20"/>
                <w:color w:val="auto"/>
              </w:rPr>
            </w:pPr>
            <w:r>
              <w:rPr>
                <w:rFonts w:ascii="Arial" w:cs="Arial" w:eastAsia="Arial" w:hAnsi="Arial"/>
                <w:sz w:val="22"/>
                <w:szCs w:val="22"/>
                <w:color w:val="auto"/>
              </w:rPr>
              <w:t>CERTIFICATES; RECORD HOLDERS; TRANSFER OF PARTNERSHIP INTERESTS</w:t>
            </w:r>
          </w:p>
        </w:tc>
        <w:tc>
          <w:tcPr>
            <w:tcW w:w="7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4.1.</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Certificates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4.2.</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Mutilated, Destroyed, Lost or Stolen Certificates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4.3.</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Record Holders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4.4.</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Transfer Generally</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4.5.</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Registration and Transfer of Limited Partner Interests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4.6.</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Transfer of the General Partner’s General Partner Interest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4.7.</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Transfer of Incentive Distribution Rights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5"/>
        </w:trPr>
        <w:tc>
          <w:tcPr>
            <w:tcW w:w="1840" w:type="dxa"/>
            <w:vAlign w:val="bottom"/>
          </w:tcPr>
          <w:p>
            <w:pPr>
              <w:ind w:left="360"/>
              <w:spacing w:after="0"/>
              <w:rPr>
                <w:sz w:val="20"/>
                <w:szCs w:val="20"/>
                <w:color w:val="auto"/>
              </w:rPr>
            </w:pPr>
            <w:r>
              <w:rPr>
                <w:rFonts w:ascii="Arial" w:cs="Arial" w:eastAsia="Arial" w:hAnsi="Arial"/>
                <w:sz w:val="22"/>
                <w:szCs w:val="22"/>
                <w:color w:val="auto"/>
              </w:rPr>
              <w:t>Section 4.8.</w:t>
            </w:r>
          </w:p>
        </w:tc>
        <w:tc>
          <w:tcPr>
            <w:tcW w:w="8880" w:type="dxa"/>
            <w:vAlign w:val="bottom"/>
          </w:tcPr>
          <w:p>
            <w:pPr>
              <w:ind w:left="460"/>
              <w:spacing w:after="0"/>
              <w:rPr>
                <w:sz w:val="20"/>
                <w:szCs w:val="20"/>
                <w:color w:val="auto"/>
              </w:rPr>
            </w:pPr>
            <w:r>
              <w:rPr>
                <w:rFonts w:ascii="Arial" w:cs="Arial" w:eastAsia="Arial" w:hAnsi="Arial"/>
                <w:sz w:val="22"/>
                <w:szCs w:val="22"/>
                <w:color w:val="auto"/>
              </w:rPr>
              <w:t>Restrictions on Transfers</w:t>
            </w:r>
          </w:p>
        </w:tc>
        <w:tc>
          <w:tcPr>
            <w:tcW w:w="7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55"/>
        </w:trPr>
        <w:tc>
          <w:tcPr>
            <w:tcW w:w="1840" w:type="dxa"/>
            <w:vAlign w:val="bottom"/>
          </w:tcPr>
          <w:p>
            <w:pPr>
              <w:spacing w:after="0"/>
              <w:rPr>
                <w:sz w:val="20"/>
                <w:szCs w:val="20"/>
                <w:color w:val="auto"/>
              </w:rPr>
            </w:pPr>
            <w:r>
              <w:rPr>
                <w:rFonts w:ascii="Arial" w:cs="Arial" w:eastAsia="Arial" w:hAnsi="Arial"/>
                <w:sz w:val="22"/>
                <w:szCs w:val="22"/>
                <w:color w:val="auto"/>
              </w:rPr>
              <w:t>ARTICLE V</w:t>
            </w:r>
          </w:p>
        </w:tc>
        <w:tc>
          <w:tcPr>
            <w:tcW w:w="8880" w:type="dxa"/>
            <w:vAlign w:val="bottom"/>
          </w:tcPr>
          <w:p>
            <w:pPr>
              <w:ind w:left="460"/>
              <w:spacing w:after="0"/>
              <w:rPr>
                <w:sz w:val="20"/>
                <w:szCs w:val="20"/>
                <w:color w:val="auto"/>
              </w:rPr>
            </w:pPr>
            <w:r>
              <w:rPr>
                <w:rFonts w:ascii="Arial" w:cs="Arial" w:eastAsia="Arial" w:hAnsi="Arial"/>
                <w:sz w:val="22"/>
                <w:szCs w:val="22"/>
                <w:color w:val="auto"/>
              </w:rPr>
              <w:t>CAPITAL CONTRIBUTIONS AND ISSUANCE OF PARTNERSHIP INTERESTS</w:t>
            </w:r>
          </w:p>
        </w:tc>
        <w:tc>
          <w:tcPr>
            <w:tcW w:w="7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5.1.</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Contributions Prior to the Closing Date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5.2.</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w w:val="96"/>
              </w:rPr>
              <w:t>Initial Unit Issuances; Tax Election; Initial Contributors and Redemption of Common Units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5.3.</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Interest and Withdrawal</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5.4.</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Issuances of Additional Partnership Interests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5.5.</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Limitations on Issuance of Additional Partnership Interests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5.6.</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Limited Preemptive Right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5.7.</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Splits and Combinations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840" w:type="dxa"/>
            <w:vAlign w:val="bottom"/>
          </w:tcPr>
          <w:p>
            <w:pPr>
              <w:ind w:left="360"/>
              <w:spacing w:after="0" w:line="243" w:lineRule="exact"/>
              <w:rPr>
                <w:sz w:val="20"/>
                <w:szCs w:val="20"/>
                <w:color w:val="auto"/>
              </w:rPr>
            </w:pPr>
            <w:r>
              <w:rPr>
                <w:rFonts w:ascii="Arial" w:cs="Arial" w:eastAsia="Arial" w:hAnsi="Arial"/>
                <w:sz w:val="22"/>
                <w:szCs w:val="22"/>
                <w:color w:val="auto"/>
              </w:rPr>
              <w:t>Section 5.8.</w:t>
            </w:r>
          </w:p>
        </w:tc>
        <w:tc>
          <w:tcPr>
            <w:tcW w:w="8880" w:type="dxa"/>
            <w:vAlign w:val="bottom"/>
          </w:tcPr>
          <w:p>
            <w:pPr>
              <w:ind w:left="460"/>
              <w:spacing w:after="0" w:line="243" w:lineRule="exact"/>
              <w:rPr>
                <w:sz w:val="20"/>
                <w:szCs w:val="20"/>
                <w:color w:val="auto"/>
              </w:rPr>
            </w:pPr>
            <w:r>
              <w:rPr>
                <w:rFonts w:ascii="Arial" w:cs="Arial" w:eastAsia="Arial" w:hAnsi="Arial"/>
                <w:sz w:val="22"/>
                <w:szCs w:val="22"/>
                <w:color w:val="auto"/>
              </w:rPr>
              <w:t>Fully Paid and Non-Assessable Nature of Limited Partner Interests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75"/>
        </w:trPr>
        <w:tc>
          <w:tcPr>
            <w:tcW w:w="1840" w:type="dxa"/>
            <w:vAlign w:val="bottom"/>
          </w:tcPr>
          <w:p>
            <w:pPr>
              <w:ind w:left="360"/>
              <w:spacing w:after="0"/>
              <w:rPr>
                <w:sz w:val="20"/>
                <w:szCs w:val="20"/>
                <w:color w:val="auto"/>
              </w:rPr>
            </w:pPr>
            <w:r>
              <w:rPr>
                <w:rFonts w:ascii="Arial" w:cs="Arial" w:eastAsia="Arial" w:hAnsi="Arial"/>
                <w:sz w:val="22"/>
                <w:szCs w:val="22"/>
                <w:color w:val="auto"/>
              </w:rPr>
              <w:t>Section 5.9.</w:t>
            </w:r>
          </w:p>
        </w:tc>
        <w:tc>
          <w:tcPr>
            <w:tcW w:w="8880" w:type="dxa"/>
            <w:vAlign w:val="bottom"/>
          </w:tcPr>
          <w:p>
            <w:pPr>
              <w:ind w:left="460"/>
              <w:spacing w:after="0"/>
              <w:rPr>
                <w:sz w:val="20"/>
                <w:szCs w:val="20"/>
                <w:color w:val="auto"/>
              </w:rPr>
            </w:pPr>
            <w:r>
              <w:rPr>
                <w:rFonts w:ascii="Arial" w:cs="Arial" w:eastAsia="Arial" w:hAnsi="Arial"/>
                <w:sz w:val="22"/>
                <w:szCs w:val="22"/>
                <w:color w:val="auto"/>
              </w:rPr>
              <w:t>Issuance of Common Units in Connection with Reset of Incentive Distribution Rights</w:t>
            </w:r>
          </w:p>
        </w:tc>
        <w:tc>
          <w:tcPr>
            <w:tcW w:w="700" w:type="dxa"/>
            <w:vAlign w:val="bottom"/>
          </w:tcPr>
          <w:p>
            <w:pPr>
              <w:jc w:val="right"/>
              <w:spacing w:after="0"/>
              <w:rPr>
                <w:sz w:val="20"/>
                <w:szCs w:val="20"/>
                <w:color w:val="auto"/>
              </w:rPr>
            </w:pPr>
            <w:r>
              <w:rPr>
                <w:rFonts w:ascii="Arial" w:cs="Arial" w:eastAsia="Arial" w:hAnsi="Arial"/>
                <w:sz w:val="22"/>
                <w:szCs w:val="22"/>
                <w:color w:val="auto"/>
              </w:rPr>
              <w:t>37</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900" w:type="dxa"/>
            <w:vAlign w:val="bottom"/>
          </w:tcPr>
          <w:p>
            <w:pPr>
              <w:spacing w:after="0"/>
              <w:rPr>
                <w:sz w:val="20"/>
                <w:szCs w:val="20"/>
                <w:color w:val="auto"/>
              </w:rPr>
            </w:pPr>
            <w:r>
              <w:rPr>
                <w:rFonts w:ascii="Arial" w:cs="Arial" w:eastAsia="Arial" w:hAnsi="Arial"/>
                <w:sz w:val="22"/>
                <w:szCs w:val="22"/>
                <w:color w:val="auto"/>
              </w:rPr>
              <w:t>ARTICLE VI</w:t>
            </w:r>
          </w:p>
        </w:tc>
        <w:tc>
          <w:tcPr>
            <w:tcW w:w="8620" w:type="dxa"/>
            <w:vAlign w:val="bottom"/>
          </w:tcPr>
          <w:p>
            <w:pPr>
              <w:ind w:left="400"/>
              <w:spacing w:after="0"/>
              <w:rPr>
                <w:sz w:val="20"/>
                <w:szCs w:val="20"/>
                <w:color w:val="auto"/>
              </w:rPr>
            </w:pPr>
            <w:r>
              <w:rPr>
                <w:rFonts w:ascii="Arial" w:cs="Arial" w:eastAsia="Arial" w:hAnsi="Arial"/>
                <w:sz w:val="22"/>
                <w:szCs w:val="22"/>
                <w:color w:val="auto"/>
              </w:rPr>
              <w:t>DISTRIBUTIONS</w:t>
            </w:r>
          </w:p>
        </w:tc>
        <w:tc>
          <w:tcPr>
            <w:tcW w:w="9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6.1.</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Allocations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6.2.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Requirement and Characterization of Distributions; Distributions to Record Holders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6.3.</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Distributions of Available Cash from Operating Surplus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6.4.</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Distributions of Available Cash from Capital Surplus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6.5.</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Adjustment of Minimum Quarterly Distribution and Target Distribution Levels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75"/>
        </w:trPr>
        <w:tc>
          <w:tcPr>
            <w:tcW w:w="1900" w:type="dxa"/>
            <w:vAlign w:val="bottom"/>
          </w:tcPr>
          <w:p>
            <w:pPr>
              <w:ind w:left="360"/>
              <w:spacing w:after="0"/>
              <w:rPr>
                <w:sz w:val="20"/>
                <w:szCs w:val="20"/>
                <w:color w:val="auto"/>
              </w:rPr>
            </w:pPr>
            <w:r>
              <w:rPr>
                <w:rFonts w:ascii="Arial" w:cs="Arial" w:eastAsia="Arial" w:hAnsi="Arial"/>
                <w:sz w:val="22"/>
                <w:szCs w:val="22"/>
                <w:color w:val="auto"/>
              </w:rPr>
              <w:t>Section 6.6.</w:t>
            </w:r>
          </w:p>
        </w:tc>
        <w:tc>
          <w:tcPr>
            <w:tcW w:w="8620" w:type="dxa"/>
            <w:vAlign w:val="bottom"/>
          </w:tcPr>
          <w:p>
            <w:pPr>
              <w:ind w:left="400"/>
              <w:spacing w:after="0"/>
              <w:rPr>
                <w:sz w:val="20"/>
                <w:szCs w:val="20"/>
                <w:color w:val="auto"/>
              </w:rPr>
            </w:pPr>
            <w:r>
              <w:rPr>
                <w:rFonts w:ascii="Arial" w:cs="Arial" w:eastAsia="Arial" w:hAnsi="Arial"/>
                <w:sz w:val="22"/>
                <w:szCs w:val="22"/>
                <w:color w:val="auto"/>
              </w:rPr>
              <w:t>Special Provisions Relating to the Holders of Incentive Distribution Rights</w:t>
            </w:r>
          </w:p>
        </w:tc>
        <w:tc>
          <w:tcPr>
            <w:tcW w:w="9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55"/>
        </w:trPr>
        <w:tc>
          <w:tcPr>
            <w:tcW w:w="1900" w:type="dxa"/>
            <w:vAlign w:val="bottom"/>
          </w:tcPr>
          <w:p>
            <w:pPr>
              <w:spacing w:after="0"/>
              <w:rPr>
                <w:sz w:val="20"/>
                <w:szCs w:val="20"/>
                <w:color w:val="auto"/>
              </w:rPr>
            </w:pPr>
            <w:r>
              <w:rPr>
                <w:rFonts w:ascii="Arial" w:cs="Arial" w:eastAsia="Arial" w:hAnsi="Arial"/>
                <w:sz w:val="22"/>
                <w:szCs w:val="22"/>
                <w:color w:val="auto"/>
              </w:rPr>
              <w:t>ARTICLE VII</w:t>
            </w:r>
          </w:p>
        </w:tc>
        <w:tc>
          <w:tcPr>
            <w:tcW w:w="8620" w:type="dxa"/>
            <w:vAlign w:val="bottom"/>
          </w:tcPr>
          <w:p>
            <w:pPr>
              <w:ind w:left="400"/>
              <w:spacing w:after="0"/>
              <w:rPr>
                <w:sz w:val="20"/>
                <w:szCs w:val="20"/>
                <w:color w:val="auto"/>
              </w:rPr>
            </w:pPr>
            <w:r>
              <w:rPr>
                <w:rFonts w:ascii="Arial" w:cs="Arial" w:eastAsia="Arial" w:hAnsi="Arial"/>
                <w:sz w:val="22"/>
                <w:szCs w:val="22"/>
                <w:color w:val="auto"/>
              </w:rPr>
              <w:t>MANAGEMENT AND OPERATION OF BUSINESS</w:t>
            </w:r>
          </w:p>
        </w:tc>
        <w:tc>
          <w:tcPr>
            <w:tcW w:w="9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Management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Election and Appointment; Term; Manner of Acting</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7.3.</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Nominations of Elected Directors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7.4.</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Removal of Members of Board of Directors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7.5.</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Resignations of Members of the Board of Directors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7.6.</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Vacancies on the Board of Directors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7.7.</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Meetings; Committees; Chairman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7.8.</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Officers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7.9.</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Compensation of Directors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7.10.</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Certificate of Limited Partnership</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7.11.</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Restrictions on the Authority of the Board of Directors and the General Partner</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Reimbursement of the General Partner</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7.13.</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Outside Activities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7.14.</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w w:val="97"/>
              </w:rPr>
              <w:t>Loans from the General Partner; Loans or Contributions from the Partnership or Group</w:t>
            </w:r>
          </w:p>
        </w:tc>
        <w:tc>
          <w:tcPr>
            <w:tcW w:w="900" w:type="dxa"/>
            <w:vAlign w:val="bottom"/>
          </w:tcPr>
          <w:p>
            <w:pPr>
              <w:spacing w:after="0"/>
              <w:rPr>
                <w:sz w:val="21"/>
                <w:szCs w:val="21"/>
                <w:color w:val="auto"/>
              </w:rPr>
            </w:pPr>
          </w:p>
        </w:tc>
      </w:tr>
      <w:tr>
        <w:trPr>
          <w:trHeight w:val="243"/>
        </w:trPr>
        <w:tc>
          <w:tcPr>
            <w:tcW w:w="1900" w:type="dxa"/>
            <w:vAlign w:val="bottom"/>
          </w:tcPr>
          <w:p>
            <w:pPr>
              <w:spacing w:after="0"/>
              <w:rPr>
                <w:sz w:val="21"/>
                <w:szCs w:val="21"/>
                <w:color w:val="auto"/>
              </w:rPr>
            </w:pP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Members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7.15.</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Indemnification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7.16.</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Liability of Indemnitees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7.17.</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Resolution of Conflicts of Interest; Standards of Conduct and Modification of Duties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7.18.</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Other Matters Concerning the General Partner and the Board of Directors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7.19.</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Purchase or Sale of Partnership Interests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7.20.</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Registration Rights of the General Partner and its Affiliates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75"/>
        </w:trPr>
        <w:tc>
          <w:tcPr>
            <w:tcW w:w="1900" w:type="dxa"/>
            <w:vAlign w:val="bottom"/>
          </w:tcPr>
          <w:p>
            <w:pPr>
              <w:ind w:left="360"/>
              <w:spacing w:after="0"/>
              <w:rPr>
                <w:sz w:val="20"/>
                <w:szCs w:val="20"/>
                <w:color w:val="auto"/>
              </w:rPr>
            </w:pPr>
            <w:r>
              <w:rPr>
                <w:rFonts w:ascii="Arial" w:cs="Arial" w:eastAsia="Arial" w:hAnsi="Arial"/>
                <w:sz w:val="22"/>
                <w:szCs w:val="22"/>
                <w:color w:val="auto"/>
              </w:rPr>
              <w:t>Section 7.21.</w:t>
            </w:r>
          </w:p>
        </w:tc>
        <w:tc>
          <w:tcPr>
            <w:tcW w:w="8620" w:type="dxa"/>
            <w:vAlign w:val="bottom"/>
          </w:tcPr>
          <w:p>
            <w:pPr>
              <w:ind w:left="400"/>
              <w:spacing w:after="0"/>
              <w:rPr>
                <w:sz w:val="20"/>
                <w:szCs w:val="20"/>
                <w:color w:val="auto"/>
              </w:rPr>
            </w:pPr>
            <w:r>
              <w:rPr>
                <w:rFonts w:ascii="Arial" w:cs="Arial" w:eastAsia="Arial" w:hAnsi="Arial"/>
                <w:sz w:val="22"/>
                <w:szCs w:val="22"/>
                <w:color w:val="auto"/>
              </w:rPr>
              <w:t>Reliance by Third Parties</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55"/>
        </w:trPr>
        <w:tc>
          <w:tcPr>
            <w:tcW w:w="1900" w:type="dxa"/>
            <w:vAlign w:val="bottom"/>
          </w:tcPr>
          <w:p>
            <w:pPr>
              <w:spacing w:after="0"/>
              <w:rPr>
                <w:sz w:val="20"/>
                <w:szCs w:val="20"/>
                <w:color w:val="auto"/>
              </w:rPr>
            </w:pPr>
            <w:r>
              <w:rPr>
                <w:rFonts w:ascii="Arial" w:cs="Arial" w:eastAsia="Arial" w:hAnsi="Arial"/>
                <w:sz w:val="22"/>
                <w:szCs w:val="22"/>
                <w:color w:val="auto"/>
              </w:rPr>
              <w:t>ARTICLE VIII</w:t>
            </w:r>
          </w:p>
        </w:tc>
        <w:tc>
          <w:tcPr>
            <w:tcW w:w="8620" w:type="dxa"/>
            <w:vAlign w:val="bottom"/>
          </w:tcPr>
          <w:p>
            <w:pPr>
              <w:ind w:left="400"/>
              <w:spacing w:after="0"/>
              <w:rPr>
                <w:sz w:val="20"/>
                <w:szCs w:val="20"/>
                <w:color w:val="auto"/>
              </w:rPr>
            </w:pPr>
            <w:r>
              <w:rPr>
                <w:rFonts w:ascii="Arial" w:cs="Arial" w:eastAsia="Arial" w:hAnsi="Arial"/>
                <w:sz w:val="22"/>
                <w:szCs w:val="22"/>
                <w:color w:val="auto"/>
              </w:rPr>
              <w:t>BOOKS, RECORDS, ACCOUNTING AND REPORTS</w:t>
            </w:r>
          </w:p>
        </w:tc>
        <w:tc>
          <w:tcPr>
            <w:tcW w:w="9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8.1.</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Records and Accounting</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8.2.</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Fiscal Year</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75"/>
        </w:trPr>
        <w:tc>
          <w:tcPr>
            <w:tcW w:w="1900" w:type="dxa"/>
            <w:vAlign w:val="bottom"/>
          </w:tcPr>
          <w:p>
            <w:pPr>
              <w:ind w:left="360"/>
              <w:spacing w:after="0"/>
              <w:rPr>
                <w:sz w:val="20"/>
                <w:szCs w:val="20"/>
                <w:color w:val="auto"/>
              </w:rPr>
            </w:pPr>
            <w:r>
              <w:rPr>
                <w:rFonts w:ascii="Arial" w:cs="Arial" w:eastAsia="Arial" w:hAnsi="Arial"/>
                <w:sz w:val="22"/>
                <w:szCs w:val="22"/>
                <w:color w:val="auto"/>
              </w:rPr>
              <w:t>Section 8.3.</w:t>
            </w:r>
          </w:p>
        </w:tc>
        <w:tc>
          <w:tcPr>
            <w:tcW w:w="8620" w:type="dxa"/>
            <w:vAlign w:val="bottom"/>
          </w:tcPr>
          <w:p>
            <w:pPr>
              <w:ind w:left="400"/>
              <w:spacing w:after="0"/>
              <w:rPr>
                <w:sz w:val="20"/>
                <w:szCs w:val="20"/>
                <w:color w:val="auto"/>
              </w:rPr>
            </w:pPr>
            <w:r>
              <w:rPr>
                <w:rFonts w:ascii="Arial" w:cs="Arial" w:eastAsia="Arial" w:hAnsi="Arial"/>
                <w:sz w:val="22"/>
                <w:szCs w:val="22"/>
                <w:color w:val="auto"/>
              </w:rPr>
              <w:t>Reports</w:t>
            </w:r>
          </w:p>
        </w:tc>
        <w:tc>
          <w:tcPr>
            <w:tcW w:w="9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55"/>
        </w:trPr>
        <w:tc>
          <w:tcPr>
            <w:tcW w:w="1900" w:type="dxa"/>
            <w:vAlign w:val="bottom"/>
          </w:tcPr>
          <w:p>
            <w:pPr>
              <w:spacing w:after="0"/>
              <w:rPr>
                <w:sz w:val="20"/>
                <w:szCs w:val="20"/>
                <w:color w:val="auto"/>
              </w:rPr>
            </w:pPr>
            <w:r>
              <w:rPr>
                <w:rFonts w:ascii="Arial" w:cs="Arial" w:eastAsia="Arial" w:hAnsi="Arial"/>
                <w:sz w:val="22"/>
                <w:szCs w:val="22"/>
                <w:color w:val="auto"/>
              </w:rPr>
              <w:t>ARTICLE IX</w:t>
            </w:r>
          </w:p>
        </w:tc>
        <w:tc>
          <w:tcPr>
            <w:tcW w:w="8620" w:type="dxa"/>
            <w:vAlign w:val="bottom"/>
          </w:tcPr>
          <w:p>
            <w:pPr>
              <w:ind w:left="400"/>
              <w:spacing w:after="0"/>
              <w:rPr>
                <w:sz w:val="20"/>
                <w:szCs w:val="20"/>
                <w:color w:val="auto"/>
              </w:rPr>
            </w:pPr>
            <w:r>
              <w:rPr>
                <w:rFonts w:ascii="Arial" w:cs="Arial" w:eastAsia="Arial" w:hAnsi="Arial"/>
                <w:sz w:val="22"/>
                <w:szCs w:val="22"/>
                <w:color w:val="auto"/>
              </w:rPr>
              <w:t>TAX MATTERS</w:t>
            </w:r>
          </w:p>
        </w:tc>
        <w:tc>
          <w:tcPr>
            <w:tcW w:w="9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43"/>
        </w:trPr>
        <w:tc>
          <w:tcPr>
            <w:tcW w:w="1900" w:type="dxa"/>
            <w:vAlign w:val="bottom"/>
          </w:tcPr>
          <w:p>
            <w:pPr>
              <w:ind w:left="360"/>
              <w:spacing w:after="0" w:line="243" w:lineRule="exact"/>
              <w:rPr>
                <w:sz w:val="20"/>
                <w:szCs w:val="20"/>
                <w:color w:val="auto"/>
              </w:rPr>
            </w:pPr>
            <w:r>
              <w:rPr>
                <w:rFonts w:ascii="Arial" w:cs="Arial" w:eastAsia="Arial" w:hAnsi="Arial"/>
                <w:sz w:val="22"/>
                <w:szCs w:val="22"/>
                <w:color w:val="auto"/>
              </w:rPr>
              <w:t>Section 9.1.</w:t>
            </w:r>
          </w:p>
        </w:tc>
        <w:tc>
          <w:tcPr>
            <w:tcW w:w="8620" w:type="dxa"/>
            <w:vAlign w:val="bottom"/>
          </w:tcPr>
          <w:p>
            <w:pPr>
              <w:ind w:left="400"/>
              <w:spacing w:after="0" w:line="243" w:lineRule="exact"/>
              <w:rPr>
                <w:sz w:val="20"/>
                <w:szCs w:val="20"/>
                <w:color w:val="auto"/>
              </w:rPr>
            </w:pPr>
            <w:r>
              <w:rPr>
                <w:rFonts w:ascii="Arial" w:cs="Arial" w:eastAsia="Arial" w:hAnsi="Arial"/>
                <w:sz w:val="22"/>
                <w:szCs w:val="22"/>
                <w:color w:val="auto"/>
              </w:rPr>
              <w:t>Tax Elections and Information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75"/>
        </w:trPr>
        <w:tc>
          <w:tcPr>
            <w:tcW w:w="1900" w:type="dxa"/>
            <w:vAlign w:val="bottom"/>
          </w:tcPr>
          <w:p>
            <w:pPr>
              <w:ind w:left="360"/>
              <w:spacing w:after="0"/>
              <w:rPr>
                <w:sz w:val="20"/>
                <w:szCs w:val="20"/>
                <w:color w:val="auto"/>
              </w:rPr>
            </w:pPr>
            <w:r>
              <w:rPr>
                <w:rFonts w:ascii="Arial" w:cs="Arial" w:eastAsia="Arial" w:hAnsi="Arial"/>
                <w:sz w:val="22"/>
                <w:szCs w:val="22"/>
                <w:color w:val="auto"/>
              </w:rPr>
              <w:t>Section 9.2.</w:t>
            </w:r>
          </w:p>
        </w:tc>
        <w:tc>
          <w:tcPr>
            <w:tcW w:w="8620" w:type="dxa"/>
            <w:vAlign w:val="bottom"/>
          </w:tcPr>
          <w:p>
            <w:pPr>
              <w:ind w:left="400"/>
              <w:spacing w:after="0"/>
              <w:rPr>
                <w:sz w:val="20"/>
                <w:szCs w:val="20"/>
                <w:color w:val="auto"/>
              </w:rPr>
            </w:pPr>
            <w:r>
              <w:rPr>
                <w:rFonts w:ascii="Arial" w:cs="Arial" w:eastAsia="Arial" w:hAnsi="Arial"/>
                <w:sz w:val="22"/>
                <w:szCs w:val="22"/>
                <w:color w:val="auto"/>
              </w:rPr>
              <w:t>Tax Withholding</w:t>
            </w:r>
          </w:p>
        </w:tc>
        <w:tc>
          <w:tcPr>
            <w:tcW w:w="900" w:type="dxa"/>
            <w:vAlign w:val="bottom"/>
          </w:tcPr>
          <w:p>
            <w:pPr>
              <w:jc w:val="right"/>
              <w:spacing w:after="0"/>
              <w:rPr>
                <w:sz w:val="20"/>
                <w:szCs w:val="20"/>
                <w:color w:val="auto"/>
              </w:rPr>
            </w:pPr>
            <w:r>
              <w:rPr>
                <w:rFonts w:ascii="Arial" w:cs="Arial" w:eastAsia="Arial" w:hAnsi="Arial"/>
                <w:sz w:val="22"/>
                <w:szCs w:val="22"/>
                <w:color w:val="auto"/>
              </w:rPr>
              <w:t>61</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9.3.</w:t>
            </w:r>
          </w:p>
        </w:tc>
        <w:tc>
          <w:tcPr>
            <w:tcW w:w="8820" w:type="dxa"/>
            <w:vAlign w:val="bottom"/>
          </w:tcPr>
          <w:p>
            <w:pPr>
              <w:ind w:left="280"/>
              <w:spacing w:after="0"/>
              <w:rPr>
                <w:sz w:val="20"/>
                <w:szCs w:val="20"/>
                <w:color w:val="auto"/>
              </w:rPr>
            </w:pPr>
            <w:r>
              <w:rPr>
                <w:rFonts w:ascii="Arial" w:cs="Arial" w:eastAsia="Arial" w:hAnsi="Arial"/>
                <w:sz w:val="22"/>
                <w:szCs w:val="22"/>
                <w:color w:val="auto"/>
              </w:rPr>
              <w:t>Conduct of Operations</w:t>
            </w:r>
          </w:p>
        </w:tc>
        <w:tc>
          <w:tcPr>
            <w:tcW w:w="6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w:t>
            </w:r>
          </w:p>
        </w:tc>
        <w:tc>
          <w:tcPr>
            <w:tcW w:w="8820" w:type="dxa"/>
            <w:vAlign w:val="bottom"/>
          </w:tcPr>
          <w:p>
            <w:pPr>
              <w:ind w:left="280"/>
              <w:spacing w:after="0"/>
              <w:rPr>
                <w:sz w:val="20"/>
                <w:szCs w:val="20"/>
                <w:color w:val="auto"/>
              </w:rPr>
            </w:pPr>
            <w:r>
              <w:rPr>
                <w:rFonts w:ascii="Arial" w:cs="Arial" w:eastAsia="Arial" w:hAnsi="Arial"/>
                <w:sz w:val="22"/>
                <w:szCs w:val="22"/>
                <w:color w:val="auto"/>
              </w:rPr>
              <w:t>ADMISSION OF PARTNERS</w:t>
            </w:r>
          </w:p>
        </w:tc>
        <w:tc>
          <w:tcPr>
            <w:tcW w:w="6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10.1.</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Admission of Initial Limited Partners</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10.2.</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Admission of Additional Limited Partners</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10.3.</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Admission of Successor General Partner</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10.4.</w:t>
            </w:r>
          </w:p>
        </w:tc>
        <w:tc>
          <w:tcPr>
            <w:tcW w:w="8820" w:type="dxa"/>
            <w:vAlign w:val="bottom"/>
          </w:tcPr>
          <w:p>
            <w:pPr>
              <w:ind w:left="280"/>
              <w:spacing w:after="0"/>
              <w:rPr>
                <w:sz w:val="20"/>
                <w:szCs w:val="20"/>
                <w:color w:val="auto"/>
              </w:rPr>
            </w:pPr>
            <w:r>
              <w:rPr>
                <w:rFonts w:ascii="Arial" w:cs="Arial" w:eastAsia="Arial" w:hAnsi="Arial"/>
                <w:sz w:val="22"/>
                <w:szCs w:val="22"/>
                <w:color w:val="auto"/>
              </w:rPr>
              <w:t>Amendment of Agreement and Certificate of Limited Partnership</w:t>
            </w:r>
          </w:p>
        </w:tc>
        <w:tc>
          <w:tcPr>
            <w:tcW w:w="6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XI</w:t>
            </w:r>
          </w:p>
        </w:tc>
        <w:tc>
          <w:tcPr>
            <w:tcW w:w="8820" w:type="dxa"/>
            <w:vAlign w:val="bottom"/>
          </w:tcPr>
          <w:p>
            <w:pPr>
              <w:ind w:left="280"/>
              <w:spacing w:after="0"/>
              <w:rPr>
                <w:sz w:val="20"/>
                <w:szCs w:val="20"/>
                <w:color w:val="auto"/>
              </w:rPr>
            </w:pPr>
            <w:r>
              <w:rPr>
                <w:rFonts w:ascii="Arial" w:cs="Arial" w:eastAsia="Arial" w:hAnsi="Arial"/>
                <w:sz w:val="22"/>
                <w:szCs w:val="22"/>
                <w:color w:val="auto"/>
              </w:rPr>
              <w:t>WITHDRAWAL OR REMOVAL OF PARTNERS</w:t>
            </w:r>
          </w:p>
        </w:tc>
        <w:tc>
          <w:tcPr>
            <w:tcW w:w="6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11.1.</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Withdrawal of the General Partner</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11.2.</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Removal of the General Partner</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11.3.</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Interest of Departing General Partner and Successor General Partner</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11.4.</w:t>
            </w:r>
          </w:p>
        </w:tc>
        <w:tc>
          <w:tcPr>
            <w:tcW w:w="8820" w:type="dxa"/>
            <w:vAlign w:val="bottom"/>
          </w:tcPr>
          <w:p>
            <w:pPr>
              <w:ind w:left="280"/>
              <w:spacing w:after="0"/>
              <w:rPr>
                <w:sz w:val="20"/>
                <w:szCs w:val="20"/>
                <w:color w:val="auto"/>
              </w:rPr>
            </w:pPr>
            <w:r>
              <w:rPr>
                <w:rFonts w:ascii="Arial" w:cs="Arial" w:eastAsia="Arial" w:hAnsi="Arial"/>
                <w:sz w:val="22"/>
                <w:szCs w:val="22"/>
                <w:color w:val="auto"/>
              </w:rPr>
              <w:t>Withdrawal of Limited Partners</w:t>
            </w:r>
          </w:p>
        </w:tc>
        <w:tc>
          <w:tcPr>
            <w:tcW w:w="6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XII</w:t>
            </w:r>
          </w:p>
        </w:tc>
        <w:tc>
          <w:tcPr>
            <w:tcW w:w="8820" w:type="dxa"/>
            <w:vAlign w:val="bottom"/>
          </w:tcPr>
          <w:p>
            <w:pPr>
              <w:ind w:left="280"/>
              <w:spacing w:after="0"/>
              <w:rPr>
                <w:sz w:val="20"/>
                <w:szCs w:val="20"/>
                <w:color w:val="auto"/>
              </w:rPr>
            </w:pPr>
            <w:r>
              <w:rPr>
                <w:rFonts w:ascii="Arial" w:cs="Arial" w:eastAsia="Arial" w:hAnsi="Arial"/>
                <w:sz w:val="22"/>
                <w:szCs w:val="22"/>
                <w:color w:val="auto"/>
              </w:rPr>
              <w:t>DISSOLUTION AND LIQUIDATION</w:t>
            </w:r>
          </w:p>
        </w:tc>
        <w:tc>
          <w:tcPr>
            <w:tcW w:w="6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84"/>
        </w:trPr>
        <w:tc>
          <w:tcPr>
            <w:tcW w:w="1920" w:type="dxa"/>
            <w:vAlign w:val="bottom"/>
          </w:tcPr>
          <w:p>
            <w:pPr>
              <w:ind w:left="360"/>
              <w:spacing w:after="0"/>
              <w:rPr>
                <w:sz w:val="20"/>
                <w:szCs w:val="20"/>
                <w:color w:val="auto"/>
              </w:rPr>
            </w:pPr>
            <w:r>
              <w:rPr>
                <w:rFonts w:ascii="Arial" w:cs="Arial" w:eastAsia="Arial" w:hAnsi="Arial"/>
                <w:sz w:val="22"/>
                <w:szCs w:val="22"/>
                <w:color w:val="auto"/>
              </w:rPr>
              <w:t>Section 12.1.</w:t>
            </w:r>
          </w:p>
        </w:tc>
        <w:tc>
          <w:tcPr>
            <w:tcW w:w="8820" w:type="dxa"/>
            <w:vAlign w:val="bottom"/>
          </w:tcPr>
          <w:p>
            <w:pPr>
              <w:ind w:left="280"/>
              <w:spacing w:after="0"/>
              <w:rPr>
                <w:sz w:val="20"/>
                <w:szCs w:val="20"/>
                <w:color w:val="auto"/>
              </w:rPr>
            </w:pPr>
            <w:r>
              <w:rPr>
                <w:rFonts w:ascii="Arial" w:cs="Arial" w:eastAsia="Arial" w:hAnsi="Arial"/>
                <w:sz w:val="22"/>
                <w:szCs w:val="22"/>
                <w:color w:val="auto"/>
              </w:rPr>
              <w:t>Dissolution</w:t>
            </w:r>
          </w:p>
        </w:tc>
        <w:tc>
          <w:tcPr>
            <w:tcW w:w="6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12.2.</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Continuation of the Business of the Partnership After Dissolution</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12.3.</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Liquidating Trustee</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12.4.</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Liquidation</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12.5.</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Cancellation of Certificate of Limited Partnership</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12.6.</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Return of Contributions</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12.7.</w:t>
            </w:r>
          </w:p>
        </w:tc>
        <w:tc>
          <w:tcPr>
            <w:tcW w:w="8820" w:type="dxa"/>
            <w:vAlign w:val="bottom"/>
          </w:tcPr>
          <w:p>
            <w:pPr>
              <w:ind w:left="280"/>
              <w:spacing w:after="0"/>
              <w:rPr>
                <w:sz w:val="20"/>
                <w:szCs w:val="20"/>
                <w:color w:val="auto"/>
              </w:rPr>
            </w:pPr>
            <w:r>
              <w:rPr>
                <w:rFonts w:ascii="Arial" w:cs="Arial" w:eastAsia="Arial" w:hAnsi="Arial"/>
                <w:sz w:val="22"/>
                <w:szCs w:val="22"/>
                <w:color w:val="auto"/>
              </w:rPr>
              <w:t>Waiver of Partition</w:t>
            </w:r>
          </w:p>
        </w:tc>
        <w:tc>
          <w:tcPr>
            <w:tcW w:w="6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XIII</w:t>
            </w:r>
          </w:p>
        </w:tc>
        <w:tc>
          <w:tcPr>
            <w:tcW w:w="8820" w:type="dxa"/>
            <w:vAlign w:val="bottom"/>
          </w:tcPr>
          <w:p>
            <w:pPr>
              <w:ind w:left="280"/>
              <w:spacing w:after="0"/>
              <w:rPr>
                <w:sz w:val="20"/>
                <w:szCs w:val="20"/>
                <w:color w:val="auto"/>
              </w:rPr>
            </w:pPr>
            <w:r>
              <w:rPr>
                <w:rFonts w:ascii="Arial" w:cs="Arial" w:eastAsia="Arial" w:hAnsi="Arial"/>
                <w:sz w:val="22"/>
                <w:szCs w:val="22"/>
                <w:color w:val="auto"/>
              </w:rPr>
              <w:t>AMENDMENT OF PARTNERSHIP AGREEMENT; MEETINGS; RECORD DATE</w:t>
            </w:r>
          </w:p>
        </w:tc>
        <w:tc>
          <w:tcPr>
            <w:tcW w:w="6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13.1.</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w w:val="94"/>
              </w:rPr>
              <w:t>Amendments to be Adopted Without Approval of the Limited Partners or the General Partner</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13.2.</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Amendment Procedures</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13.3.</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Amendment Requirements</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13.4.</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Special Meetings</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13.5.</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Notice of a Meeting</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13.6.</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Record Date</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13.7.</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Adjournment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13.8.</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Waiver of Notice; Approval of Meeting; Approval of Minutes</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13.9.</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Quorum and Voting</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13.10.</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Conduct of a Meeting</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13.11.</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Action Without a Meeting</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13.12.</w:t>
            </w:r>
          </w:p>
        </w:tc>
        <w:tc>
          <w:tcPr>
            <w:tcW w:w="8820" w:type="dxa"/>
            <w:vAlign w:val="bottom"/>
          </w:tcPr>
          <w:p>
            <w:pPr>
              <w:ind w:left="280"/>
              <w:spacing w:after="0"/>
              <w:rPr>
                <w:sz w:val="20"/>
                <w:szCs w:val="20"/>
                <w:color w:val="auto"/>
              </w:rPr>
            </w:pPr>
            <w:r>
              <w:rPr>
                <w:rFonts w:ascii="Arial" w:cs="Arial" w:eastAsia="Arial" w:hAnsi="Arial"/>
                <w:sz w:val="22"/>
                <w:szCs w:val="22"/>
                <w:color w:val="auto"/>
              </w:rPr>
              <w:t>Right to Vote and Related Matters</w:t>
            </w:r>
          </w:p>
        </w:tc>
        <w:tc>
          <w:tcPr>
            <w:tcW w:w="68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XIV</w:t>
            </w:r>
          </w:p>
        </w:tc>
        <w:tc>
          <w:tcPr>
            <w:tcW w:w="8820" w:type="dxa"/>
            <w:vAlign w:val="bottom"/>
          </w:tcPr>
          <w:p>
            <w:pPr>
              <w:ind w:left="280"/>
              <w:spacing w:after="0"/>
              <w:rPr>
                <w:sz w:val="20"/>
                <w:szCs w:val="20"/>
                <w:color w:val="auto"/>
              </w:rPr>
            </w:pPr>
            <w:r>
              <w:rPr>
                <w:rFonts w:ascii="Arial" w:cs="Arial" w:eastAsia="Arial" w:hAnsi="Arial"/>
                <w:sz w:val="22"/>
                <w:szCs w:val="22"/>
                <w:color w:val="auto"/>
              </w:rPr>
              <w:t>MERGER, CONSOLIDATION OR CONVERSION</w:t>
            </w:r>
          </w:p>
        </w:tc>
        <w:tc>
          <w:tcPr>
            <w:tcW w:w="68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14.1.</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Authority</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14.2.</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Procedure for Merger, Consolidation or Conversion</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14.3.</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Approval by Limited Partners of Merger, Consolidation or Conversion</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14.4.</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Certificate of Merger or Conversion</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14.5.</w:t>
            </w:r>
          </w:p>
        </w:tc>
        <w:tc>
          <w:tcPr>
            <w:tcW w:w="8820" w:type="dxa"/>
            <w:vAlign w:val="bottom"/>
          </w:tcPr>
          <w:p>
            <w:pPr>
              <w:ind w:left="280"/>
              <w:spacing w:after="0" w:line="243" w:lineRule="exact"/>
              <w:rPr>
                <w:sz w:val="20"/>
                <w:szCs w:val="20"/>
                <w:color w:val="auto"/>
              </w:rPr>
            </w:pPr>
            <w:r>
              <w:rPr>
                <w:rFonts w:ascii="Arial" w:cs="Arial" w:eastAsia="Arial" w:hAnsi="Arial"/>
                <w:sz w:val="22"/>
                <w:szCs w:val="22"/>
                <w:color w:val="auto"/>
              </w:rPr>
              <w:t>Amendment of Partnership Agreement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14.6.</w:t>
            </w:r>
          </w:p>
        </w:tc>
        <w:tc>
          <w:tcPr>
            <w:tcW w:w="8820" w:type="dxa"/>
            <w:vAlign w:val="bottom"/>
          </w:tcPr>
          <w:p>
            <w:pPr>
              <w:ind w:left="280"/>
              <w:spacing w:after="0"/>
              <w:rPr>
                <w:sz w:val="20"/>
                <w:szCs w:val="20"/>
                <w:color w:val="auto"/>
              </w:rPr>
            </w:pPr>
            <w:r>
              <w:rPr>
                <w:rFonts w:ascii="Arial" w:cs="Arial" w:eastAsia="Arial" w:hAnsi="Arial"/>
                <w:sz w:val="22"/>
                <w:szCs w:val="22"/>
                <w:color w:val="auto"/>
              </w:rPr>
              <w:t>Effect of Merger, Consolidation or Conversion</w:t>
            </w:r>
          </w:p>
        </w:tc>
        <w:tc>
          <w:tcPr>
            <w:tcW w:w="680" w:type="dxa"/>
            <w:vAlign w:val="bottom"/>
          </w:tcPr>
          <w:p>
            <w:pPr>
              <w:jc w:val="right"/>
              <w:spacing w:after="0"/>
              <w:rPr>
                <w:sz w:val="20"/>
                <w:szCs w:val="20"/>
                <w:color w:val="auto"/>
              </w:rPr>
            </w:pPr>
            <w:r>
              <w:rPr>
                <w:rFonts w:ascii="Arial" w:cs="Arial" w:eastAsia="Arial" w:hAnsi="Arial"/>
                <w:sz w:val="22"/>
                <w:szCs w:val="22"/>
                <w:color w:val="auto"/>
              </w:rPr>
              <w:t>80</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920" w:type="dxa"/>
            <w:vAlign w:val="bottom"/>
          </w:tcPr>
          <w:p>
            <w:pPr>
              <w:spacing w:after="0"/>
              <w:rPr>
                <w:sz w:val="20"/>
                <w:szCs w:val="20"/>
                <w:color w:val="auto"/>
              </w:rPr>
            </w:pPr>
            <w:r>
              <w:rPr>
                <w:rFonts w:ascii="Arial" w:cs="Arial" w:eastAsia="Arial" w:hAnsi="Arial"/>
                <w:sz w:val="22"/>
                <w:szCs w:val="22"/>
                <w:color w:val="auto"/>
              </w:rPr>
              <w:t>ARTICLE XV</w:t>
            </w:r>
          </w:p>
        </w:tc>
        <w:tc>
          <w:tcPr>
            <w:tcW w:w="8680" w:type="dxa"/>
            <w:vAlign w:val="bottom"/>
          </w:tcPr>
          <w:p>
            <w:pPr>
              <w:ind w:left="280"/>
              <w:spacing w:after="0"/>
              <w:rPr>
                <w:sz w:val="20"/>
                <w:szCs w:val="20"/>
                <w:color w:val="auto"/>
              </w:rPr>
            </w:pPr>
            <w:r>
              <w:rPr>
                <w:rFonts w:ascii="Arial" w:cs="Arial" w:eastAsia="Arial" w:hAnsi="Arial"/>
                <w:sz w:val="22"/>
                <w:szCs w:val="22"/>
                <w:color w:val="auto"/>
              </w:rPr>
              <w:t>RIGHT TO ACQUIRE LIMITED PARTNER INTERESTS</w:t>
            </w:r>
          </w:p>
        </w:tc>
        <w:tc>
          <w:tcPr>
            <w:tcW w:w="8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15.1.</w:t>
            </w:r>
          </w:p>
        </w:tc>
        <w:tc>
          <w:tcPr>
            <w:tcW w:w="8680" w:type="dxa"/>
            <w:vAlign w:val="bottom"/>
          </w:tcPr>
          <w:p>
            <w:pPr>
              <w:ind w:left="280"/>
              <w:spacing w:after="0"/>
              <w:rPr>
                <w:sz w:val="20"/>
                <w:szCs w:val="20"/>
                <w:color w:val="auto"/>
              </w:rPr>
            </w:pPr>
            <w:r>
              <w:rPr>
                <w:rFonts w:ascii="Arial" w:cs="Arial" w:eastAsia="Arial" w:hAnsi="Arial"/>
                <w:sz w:val="22"/>
                <w:szCs w:val="22"/>
                <w:color w:val="auto"/>
              </w:rPr>
              <w:t>Right to Acquire Limited Partner Interests</w:t>
            </w:r>
          </w:p>
        </w:tc>
        <w:tc>
          <w:tcPr>
            <w:tcW w:w="8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XVI</w:t>
            </w:r>
          </w:p>
        </w:tc>
        <w:tc>
          <w:tcPr>
            <w:tcW w:w="8680" w:type="dxa"/>
            <w:vAlign w:val="bottom"/>
          </w:tcPr>
          <w:p>
            <w:pPr>
              <w:ind w:left="280"/>
              <w:spacing w:after="0"/>
              <w:rPr>
                <w:sz w:val="20"/>
                <w:szCs w:val="20"/>
                <w:color w:val="auto"/>
              </w:rPr>
            </w:pPr>
            <w:r>
              <w:rPr>
                <w:rFonts w:ascii="Arial" w:cs="Arial" w:eastAsia="Arial" w:hAnsi="Arial"/>
                <w:sz w:val="22"/>
                <w:szCs w:val="22"/>
                <w:color w:val="auto"/>
              </w:rPr>
              <w:t>SERIES A CUMULATIVE REDEEMABLE PERPETUAL FIXED TO FLOATING RATE</w:t>
            </w:r>
          </w:p>
        </w:tc>
        <w:tc>
          <w:tcPr>
            <w:tcW w:w="820" w:type="dxa"/>
            <w:vAlign w:val="bottom"/>
          </w:tcPr>
          <w:p>
            <w:pPr>
              <w:spacing w:after="0"/>
              <w:rPr>
                <w:sz w:val="24"/>
                <w:szCs w:val="24"/>
                <w:color w:val="auto"/>
              </w:rPr>
            </w:pPr>
          </w:p>
        </w:tc>
      </w:tr>
      <w:tr>
        <w:trPr>
          <w:trHeight w:val="243"/>
        </w:trPr>
        <w:tc>
          <w:tcPr>
            <w:tcW w:w="1920" w:type="dxa"/>
            <w:vAlign w:val="bottom"/>
          </w:tcPr>
          <w:p>
            <w:pPr>
              <w:spacing w:after="0"/>
              <w:rPr>
                <w:sz w:val="21"/>
                <w:szCs w:val="21"/>
                <w:color w:val="auto"/>
              </w:rPr>
            </w:pP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PREFERENCE UNITS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16.1.</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Designations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16.2.</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Units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16.3.</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Distributions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16.4.</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Liquidation Rights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16.5.</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Voting Rights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16.6.</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Optional Redemption</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16.7.</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Rank</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16.8.</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No Sinking Fund</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16.9.</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Record Holders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16.10.</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Notices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16.11.</w:t>
            </w:r>
          </w:p>
        </w:tc>
        <w:tc>
          <w:tcPr>
            <w:tcW w:w="8680" w:type="dxa"/>
            <w:vAlign w:val="bottom"/>
          </w:tcPr>
          <w:p>
            <w:pPr>
              <w:ind w:left="280"/>
              <w:spacing w:after="0"/>
              <w:rPr>
                <w:sz w:val="20"/>
                <w:szCs w:val="20"/>
                <w:color w:val="auto"/>
              </w:rPr>
            </w:pPr>
            <w:r>
              <w:rPr>
                <w:rFonts w:ascii="Arial" w:cs="Arial" w:eastAsia="Arial" w:hAnsi="Arial"/>
                <w:sz w:val="22"/>
                <w:szCs w:val="22"/>
                <w:color w:val="auto"/>
              </w:rPr>
              <w:t>Other Rights; Fiduciary Duties</w:t>
            </w:r>
          </w:p>
        </w:tc>
        <w:tc>
          <w:tcPr>
            <w:tcW w:w="8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XVII</w:t>
            </w:r>
          </w:p>
        </w:tc>
        <w:tc>
          <w:tcPr>
            <w:tcW w:w="8680" w:type="dxa"/>
            <w:vAlign w:val="bottom"/>
          </w:tcPr>
          <w:p>
            <w:pPr>
              <w:ind w:left="280"/>
              <w:spacing w:after="0"/>
              <w:rPr>
                <w:sz w:val="20"/>
                <w:szCs w:val="20"/>
                <w:color w:val="auto"/>
              </w:rPr>
            </w:pPr>
            <w:r>
              <w:rPr>
                <w:rFonts w:ascii="Arial" w:cs="Arial" w:eastAsia="Arial" w:hAnsi="Arial"/>
                <w:sz w:val="22"/>
                <w:szCs w:val="22"/>
                <w:color w:val="auto"/>
              </w:rPr>
              <w:t>SERIES B CUMULATIVE REDEEMABLE PERPETUAL FIXED TO FLOATING RATE</w:t>
            </w:r>
          </w:p>
        </w:tc>
        <w:tc>
          <w:tcPr>
            <w:tcW w:w="820" w:type="dxa"/>
            <w:vAlign w:val="bottom"/>
          </w:tcPr>
          <w:p>
            <w:pPr>
              <w:spacing w:after="0"/>
              <w:rPr>
                <w:sz w:val="24"/>
                <w:szCs w:val="24"/>
                <w:color w:val="auto"/>
              </w:rPr>
            </w:pPr>
          </w:p>
        </w:tc>
      </w:tr>
      <w:tr>
        <w:trPr>
          <w:trHeight w:val="243"/>
        </w:trPr>
        <w:tc>
          <w:tcPr>
            <w:tcW w:w="1920" w:type="dxa"/>
            <w:vAlign w:val="bottom"/>
          </w:tcPr>
          <w:p>
            <w:pPr>
              <w:spacing w:after="0"/>
              <w:rPr>
                <w:sz w:val="21"/>
                <w:szCs w:val="21"/>
                <w:color w:val="auto"/>
              </w:rPr>
            </w:pP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PREFERENCE UNITS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17.1.</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Designations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17.2.</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Units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17.3.</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Distributions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17.4.</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Liquidation Rights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17.5.</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Voting Rights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17.6.</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Optional Redemption</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17.7.</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Rank</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17.8.</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No Sinking Fund</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17.9.</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Record Holders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17.10.</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Notices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17.11.</w:t>
            </w:r>
          </w:p>
        </w:tc>
        <w:tc>
          <w:tcPr>
            <w:tcW w:w="8680" w:type="dxa"/>
            <w:vAlign w:val="bottom"/>
          </w:tcPr>
          <w:p>
            <w:pPr>
              <w:ind w:left="280"/>
              <w:spacing w:after="0"/>
              <w:rPr>
                <w:sz w:val="20"/>
                <w:szCs w:val="20"/>
                <w:color w:val="auto"/>
              </w:rPr>
            </w:pPr>
            <w:r>
              <w:rPr>
                <w:rFonts w:ascii="Arial" w:cs="Arial" w:eastAsia="Arial" w:hAnsi="Arial"/>
                <w:sz w:val="22"/>
                <w:szCs w:val="22"/>
                <w:color w:val="auto"/>
              </w:rPr>
              <w:t>Other Rights; Fiduciary Duties</w:t>
            </w:r>
          </w:p>
        </w:tc>
        <w:tc>
          <w:tcPr>
            <w:tcW w:w="8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455"/>
        </w:trPr>
        <w:tc>
          <w:tcPr>
            <w:tcW w:w="1920" w:type="dxa"/>
            <w:vAlign w:val="bottom"/>
          </w:tcPr>
          <w:p>
            <w:pPr>
              <w:spacing w:after="0"/>
              <w:rPr>
                <w:sz w:val="20"/>
                <w:szCs w:val="20"/>
                <w:color w:val="auto"/>
              </w:rPr>
            </w:pPr>
            <w:r>
              <w:rPr>
                <w:rFonts w:ascii="Arial" w:cs="Arial" w:eastAsia="Arial" w:hAnsi="Arial"/>
                <w:sz w:val="22"/>
                <w:szCs w:val="22"/>
                <w:color w:val="auto"/>
              </w:rPr>
              <w:t>ARTICLE XVIII</w:t>
            </w:r>
          </w:p>
        </w:tc>
        <w:tc>
          <w:tcPr>
            <w:tcW w:w="8680" w:type="dxa"/>
            <w:vAlign w:val="bottom"/>
          </w:tcPr>
          <w:p>
            <w:pPr>
              <w:ind w:left="280"/>
              <w:spacing w:after="0"/>
              <w:rPr>
                <w:sz w:val="20"/>
                <w:szCs w:val="20"/>
                <w:color w:val="auto"/>
              </w:rPr>
            </w:pPr>
            <w:r>
              <w:rPr>
                <w:rFonts w:ascii="Arial" w:cs="Arial" w:eastAsia="Arial" w:hAnsi="Arial"/>
                <w:sz w:val="22"/>
                <w:szCs w:val="22"/>
                <w:color w:val="auto"/>
              </w:rPr>
              <w:t>SERIES C CUMULATIVE REDEEMABLE PERPETUAL FIXED TO FLOATING RATE</w:t>
            </w:r>
          </w:p>
        </w:tc>
        <w:tc>
          <w:tcPr>
            <w:tcW w:w="820" w:type="dxa"/>
            <w:vAlign w:val="bottom"/>
          </w:tcPr>
          <w:p>
            <w:pPr>
              <w:spacing w:after="0"/>
              <w:rPr>
                <w:sz w:val="24"/>
                <w:szCs w:val="24"/>
                <w:color w:val="auto"/>
              </w:rPr>
            </w:pPr>
          </w:p>
        </w:tc>
      </w:tr>
      <w:tr>
        <w:trPr>
          <w:trHeight w:val="243"/>
        </w:trPr>
        <w:tc>
          <w:tcPr>
            <w:tcW w:w="1920" w:type="dxa"/>
            <w:vAlign w:val="bottom"/>
          </w:tcPr>
          <w:p>
            <w:pPr>
              <w:spacing w:after="0"/>
              <w:rPr>
                <w:sz w:val="21"/>
                <w:szCs w:val="21"/>
                <w:color w:val="auto"/>
              </w:rPr>
            </w:pP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PREFERENCE UNITS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18.1.</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Designations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18.2.</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Units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18.3.</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Distributions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18.4.</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Liquidation Rights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18.5.</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Voting Rights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18.6.</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Optional Redemption</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18.7.</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Rank</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18.8.</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No Sinking Fund</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18.9.</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Record Holders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18.10.</w:t>
            </w:r>
          </w:p>
        </w:tc>
        <w:tc>
          <w:tcPr>
            <w:tcW w:w="8680" w:type="dxa"/>
            <w:vAlign w:val="bottom"/>
          </w:tcPr>
          <w:p>
            <w:pPr>
              <w:ind w:left="280"/>
              <w:spacing w:after="0" w:line="243" w:lineRule="exact"/>
              <w:rPr>
                <w:sz w:val="20"/>
                <w:szCs w:val="20"/>
                <w:color w:val="auto"/>
              </w:rPr>
            </w:pPr>
            <w:r>
              <w:rPr>
                <w:rFonts w:ascii="Arial" w:cs="Arial" w:eastAsia="Arial" w:hAnsi="Arial"/>
                <w:sz w:val="22"/>
                <w:szCs w:val="22"/>
                <w:color w:val="auto"/>
              </w:rPr>
              <w:t>Notices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18.11.</w:t>
            </w:r>
          </w:p>
        </w:tc>
        <w:tc>
          <w:tcPr>
            <w:tcW w:w="8680" w:type="dxa"/>
            <w:vAlign w:val="bottom"/>
          </w:tcPr>
          <w:p>
            <w:pPr>
              <w:ind w:left="280"/>
              <w:spacing w:after="0"/>
              <w:rPr>
                <w:sz w:val="20"/>
                <w:szCs w:val="20"/>
                <w:color w:val="auto"/>
              </w:rPr>
            </w:pPr>
            <w:r>
              <w:rPr>
                <w:rFonts w:ascii="Arial" w:cs="Arial" w:eastAsia="Arial" w:hAnsi="Arial"/>
                <w:sz w:val="22"/>
                <w:szCs w:val="22"/>
                <w:color w:val="auto"/>
              </w:rPr>
              <w:t>Other Rights; Fiduciary Duties</w:t>
            </w:r>
          </w:p>
        </w:tc>
        <w:tc>
          <w:tcPr>
            <w:tcW w:w="820" w:type="dxa"/>
            <w:vAlign w:val="bottom"/>
          </w:tcPr>
          <w:p>
            <w:pPr>
              <w:jc w:val="right"/>
              <w:spacing w:after="0"/>
              <w:rPr>
                <w:sz w:val="20"/>
                <w:szCs w:val="20"/>
                <w:color w:val="auto"/>
              </w:rPr>
            </w:pPr>
            <w:r>
              <w:rPr>
                <w:rFonts w:ascii="Arial" w:cs="Arial" w:eastAsia="Arial" w:hAnsi="Arial"/>
                <w:sz w:val="22"/>
                <w:szCs w:val="22"/>
                <w:color w:val="auto"/>
              </w:rPr>
              <w:t>107</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920" w:type="dxa"/>
            <w:vAlign w:val="bottom"/>
          </w:tcPr>
          <w:p>
            <w:pPr>
              <w:spacing w:after="0"/>
              <w:rPr>
                <w:sz w:val="20"/>
                <w:szCs w:val="20"/>
                <w:color w:val="auto"/>
              </w:rPr>
            </w:pPr>
            <w:r>
              <w:rPr>
                <w:rFonts w:ascii="Arial" w:cs="Arial" w:eastAsia="Arial" w:hAnsi="Arial"/>
                <w:sz w:val="22"/>
                <w:szCs w:val="22"/>
                <w:color w:val="auto"/>
              </w:rPr>
              <w:t>ARTICLE XIV</w:t>
            </w:r>
          </w:p>
        </w:tc>
        <w:tc>
          <w:tcPr>
            <w:tcW w:w="6800" w:type="dxa"/>
            <w:vAlign w:val="bottom"/>
          </w:tcPr>
          <w:p>
            <w:pPr>
              <w:ind w:left="280"/>
              <w:spacing w:after="0"/>
              <w:rPr>
                <w:sz w:val="20"/>
                <w:szCs w:val="20"/>
                <w:color w:val="auto"/>
              </w:rPr>
            </w:pPr>
            <w:r>
              <w:rPr>
                <w:rFonts w:ascii="Arial" w:cs="Arial" w:eastAsia="Arial" w:hAnsi="Arial"/>
                <w:sz w:val="22"/>
                <w:szCs w:val="22"/>
                <w:color w:val="auto"/>
              </w:rPr>
              <w:t>GENERAL PROVISIONS</w:t>
            </w:r>
          </w:p>
        </w:tc>
        <w:tc>
          <w:tcPr>
            <w:tcW w:w="270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19.1.</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Addresses and Notices</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19.2.</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Further Action</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19.3.</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Binding Effect</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19.4.</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Integration</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19.5.</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Creditors</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19.6.</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Waiver</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19.7.</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Counterparts</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19.8.</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Applicable Law; Forum, Venue and Jurisdiction</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19.9.</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Invalidity of Provisions</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19.10.</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Consent of Partners</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920" w:type="dxa"/>
            <w:vAlign w:val="bottom"/>
          </w:tcPr>
          <w:p>
            <w:pPr>
              <w:ind w:left="360"/>
              <w:spacing w:after="0" w:line="243" w:lineRule="exact"/>
              <w:rPr>
                <w:sz w:val="20"/>
                <w:szCs w:val="20"/>
                <w:color w:val="auto"/>
              </w:rPr>
            </w:pPr>
            <w:r>
              <w:rPr>
                <w:rFonts w:ascii="Arial" w:cs="Arial" w:eastAsia="Arial" w:hAnsi="Arial"/>
                <w:sz w:val="22"/>
                <w:szCs w:val="22"/>
                <w:color w:val="auto"/>
              </w:rPr>
              <w:t>Section 19.11.</w:t>
            </w:r>
          </w:p>
        </w:tc>
        <w:tc>
          <w:tcPr>
            <w:tcW w:w="6800" w:type="dxa"/>
            <w:vAlign w:val="bottom"/>
          </w:tcPr>
          <w:p>
            <w:pPr>
              <w:ind w:left="280"/>
              <w:spacing w:after="0" w:line="243" w:lineRule="exact"/>
              <w:rPr>
                <w:sz w:val="20"/>
                <w:szCs w:val="20"/>
                <w:color w:val="auto"/>
              </w:rPr>
            </w:pPr>
            <w:r>
              <w:rPr>
                <w:rFonts w:ascii="Arial" w:cs="Arial" w:eastAsia="Arial" w:hAnsi="Arial"/>
                <w:sz w:val="22"/>
                <w:szCs w:val="22"/>
                <w:color w:val="auto"/>
              </w:rPr>
              <w:t>Facsimile Signatures</w:t>
            </w:r>
          </w:p>
        </w:tc>
        <w:tc>
          <w:tcPr>
            <w:tcW w:w="27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75"/>
        </w:trPr>
        <w:tc>
          <w:tcPr>
            <w:tcW w:w="1920" w:type="dxa"/>
            <w:vAlign w:val="bottom"/>
          </w:tcPr>
          <w:p>
            <w:pPr>
              <w:ind w:left="360"/>
              <w:spacing w:after="0"/>
              <w:rPr>
                <w:sz w:val="20"/>
                <w:szCs w:val="20"/>
                <w:color w:val="auto"/>
              </w:rPr>
            </w:pPr>
            <w:r>
              <w:rPr>
                <w:rFonts w:ascii="Arial" w:cs="Arial" w:eastAsia="Arial" w:hAnsi="Arial"/>
                <w:sz w:val="22"/>
                <w:szCs w:val="22"/>
                <w:color w:val="auto"/>
              </w:rPr>
              <w:t>Section 19.12.</w:t>
            </w:r>
          </w:p>
        </w:tc>
        <w:tc>
          <w:tcPr>
            <w:tcW w:w="6800" w:type="dxa"/>
            <w:vAlign w:val="bottom"/>
          </w:tcPr>
          <w:p>
            <w:pPr>
              <w:ind w:left="280"/>
              <w:spacing w:after="0"/>
              <w:rPr>
                <w:sz w:val="20"/>
                <w:szCs w:val="20"/>
                <w:color w:val="auto"/>
              </w:rPr>
            </w:pPr>
            <w:r>
              <w:rPr>
                <w:rFonts w:ascii="Arial" w:cs="Arial" w:eastAsia="Arial" w:hAnsi="Arial"/>
                <w:sz w:val="22"/>
                <w:szCs w:val="22"/>
                <w:color w:val="auto"/>
              </w:rPr>
              <w:t>Third-Party Beneficiaries</w:t>
            </w:r>
          </w:p>
        </w:tc>
        <w:tc>
          <w:tcPr>
            <w:tcW w:w="2700" w:type="dxa"/>
            <w:vAlign w:val="bottom"/>
          </w:tcPr>
          <w:p>
            <w:pPr>
              <w:jc w:val="right"/>
              <w:spacing w:after="0"/>
              <w:rPr>
                <w:sz w:val="20"/>
                <w:szCs w:val="20"/>
                <w:color w:val="auto"/>
              </w:rPr>
            </w:pPr>
            <w:r>
              <w:rPr>
                <w:rFonts w:ascii="Arial" w:cs="Arial" w:eastAsia="Arial" w:hAnsi="Arial"/>
                <w:sz w:val="22"/>
                <w:szCs w:val="22"/>
                <w:color w:val="auto"/>
              </w:rPr>
              <w:t>110</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FORM OF FOURTH AMENDED AND RESTATED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 OF LIMITED PARTNERSHIP</w:t>
      </w:r>
    </w:p>
    <w:p>
      <w:pPr>
        <w:jc w:val="center"/>
        <w:ind w:right="-1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THIS FOURTH AMENDED AND RESTATED AGREEMENT OF LIMITED PARTNERSHIP OF GASLOG PARTNERS LP, dated as of November 15, 2018, is entered into by and between GasLog Partners GP LLC, a Marshall Islands limited liability company, as the General Partner and the Limited Partners, together with any other Persons who become Partners in the Partnership or parties hereto as provided herein.</w:t>
      </w:r>
    </w:p>
    <w:p>
      <w:pPr>
        <w:spacing w:after="0" w:line="212" w:lineRule="exact"/>
        <w:rPr>
          <w:sz w:val="20"/>
          <w:szCs w:val="20"/>
          <w:color w:val="auto"/>
        </w:rPr>
      </w:pPr>
    </w:p>
    <w:p>
      <w:pPr>
        <w:ind w:right="100" w:firstLine="1297"/>
        <w:spacing w:after="0" w:line="274" w:lineRule="auto"/>
        <w:rPr>
          <w:sz w:val="20"/>
          <w:szCs w:val="20"/>
          <w:color w:val="auto"/>
        </w:rPr>
      </w:pPr>
      <w:r>
        <w:rPr>
          <w:rFonts w:ascii="Arial" w:cs="Arial" w:eastAsia="Arial" w:hAnsi="Arial"/>
          <w:sz w:val="21"/>
          <w:szCs w:val="21"/>
          <w:color w:val="auto"/>
        </w:rPr>
        <w:t>WHEREAS, the General Partner and the other parties thereto entered into that certain Third Amended and Restated Agreement of Limited Partnership of the Partnership (the “</w:t>
      </w:r>
      <w:r>
        <w:rPr>
          <w:rFonts w:ascii="Arial" w:cs="Arial" w:eastAsia="Arial" w:hAnsi="Arial"/>
          <w:sz w:val="21"/>
          <w:szCs w:val="21"/>
          <w:b w:val="1"/>
          <w:bCs w:val="1"/>
          <w:color w:val="auto"/>
        </w:rPr>
        <w:t>Third Amended Agreement</w:t>
      </w:r>
      <w:r>
        <w:rPr>
          <w:rFonts w:ascii="Arial" w:cs="Arial" w:eastAsia="Arial" w:hAnsi="Arial"/>
          <w:sz w:val="21"/>
          <w:szCs w:val="21"/>
          <w:color w:val="auto"/>
        </w:rPr>
        <w:t>”) on January 17, 2018;</w:t>
      </w:r>
    </w:p>
    <w:p>
      <w:pPr>
        <w:spacing w:after="0" w:line="178" w:lineRule="exact"/>
        <w:rPr>
          <w:sz w:val="20"/>
          <w:szCs w:val="20"/>
          <w:color w:val="auto"/>
        </w:rPr>
      </w:pPr>
    </w:p>
    <w:p>
      <w:pPr>
        <w:ind w:right="180" w:firstLine="1297"/>
        <w:spacing w:after="0" w:line="252" w:lineRule="auto"/>
        <w:rPr>
          <w:sz w:val="20"/>
          <w:szCs w:val="20"/>
          <w:color w:val="auto"/>
        </w:rPr>
      </w:pPr>
      <w:r>
        <w:rPr>
          <w:rFonts w:ascii="Arial" w:cs="Arial" w:eastAsia="Arial" w:hAnsi="Arial"/>
          <w:sz w:val="21"/>
          <w:szCs w:val="21"/>
          <w:color w:val="auto"/>
        </w:rPr>
        <w:t>WHEREAS, Section 5.4(a) of the Third Amended Agreement provides that the Partnership is authorized to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201"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WHEREAS, Section 5.4(b) of the Third Amended Agreement provides that each additional Partnership Interest authorized to be issued by the Partnership pursuant to Section 5.4(a) of the Third Amended Agreement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183"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WHEREAS, Section 5.4(c) of the Third Amended Agreement provides that the Board of Directors is authorized and directed to take all actions that it determines to be necessary or appropriate in connection with each issuance of Partnership Interests and options, rights, warrants and appreciation rights relating to Partnership Interests pursuant to Section 5.4 of the Third Amended Agreement and to take all actions that it determines to be necessary or appropriate in connection with any future issuance of Partnership Interests pursuant to the Third Amended Agreement, including compliance with any statute, rule, regulation or guideline of any federal, state or other governmental agency or any National Securities Exchange on which the Common Units or other Partnership Interests are listed or admitted to trading;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0" w:name="page11"/>
    <w:bookmarkEnd w:id="10"/>
    <w:p>
      <w:pPr>
        <w:ind w:right="160" w:firstLine="1297"/>
        <w:spacing w:after="0" w:line="247" w:lineRule="auto"/>
        <w:rPr>
          <w:sz w:val="20"/>
          <w:szCs w:val="20"/>
          <w:color w:val="auto"/>
        </w:rPr>
      </w:pPr>
      <w:r>
        <w:rPr>
          <w:rFonts w:ascii="Arial" w:cs="Arial" w:eastAsia="Arial" w:hAnsi="Arial"/>
          <w:sz w:val="21"/>
          <w:szCs w:val="21"/>
          <w:color w:val="auto"/>
        </w:rPr>
        <w:t>WHEREAS, Section 13.1(g) of the Third Amended Agreement provides that the General Partner and each Limited Partner agree that the Board of Directors, without the approval of any Limited Partner or, subject to Section 5.5 of the Third Amended Agreement, the General Partner, may amend any provision of the Third Amended Agreement and execute, swear to, acknowledge, deliver, file and record whatever documents may be required in connection therewith, to reflect an amendment that the Board of Directors, and if required by Section 5.5 of the Third Amended Agreement, the General Partner, determines to be necessary or appropriate in connection with the authorization of issuance of any class or series of Partnership Interests pursuant to Section 5.4 of the Third Amended Agreement.</w:t>
      </w:r>
    </w:p>
    <w:p>
      <w:pPr>
        <w:spacing w:after="0" w:line="205"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NOW, THEREFORE, the Board of Directors and the General Partner do hereby amend and restate the Third Amended Agreement to provide, in its entirety, as follows: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 AND CONSTRUCTION</w:t>
      </w:r>
    </w:p>
    <w:p>
      <w:pPr>
        <w:spacing w:after="0" w:line="215" w:lineRule="exact"/>
        <w:rPr>
          <w:sz w:val="20"/>
          <w:szCs w:val="20"/>
          <w:color w:val="auto"/>
        </w:rPr>
      </w:pPr>
    </w:p>
    <w:p>
      <w:pPr>
        <w:ind w:right="100" w:firstLine="129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i w:val="1"/>
          <w:iCs w:val="1"/>
          <w:color w:val="auto"/>
        </w:rPr>
        <w:t>Definitions</w:t>
      </w:r>
      <w:r>
        <w:rPr>
          <w:rFonts w:ascii="Arial" w:cs="Arial" w:eastAsia="Arial" w:hAnsi="Arial"/>
          <w:sz w:val="22"/>
          <w:szCs w:val="22"/>
          <w:color w:val="auto"/>
        </w:rPr>
        <w:t>. The following definitions shall be for all purposes, unless otherwise clearly indicated to the contrary, applied to the terms used in this Agreement.</w:t>
      </w:r>
    </w:p>
    <w:p>
      <w:pPr>
        <w:spacing w:after="0" w:line="200"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xml:space="preserve">” means any transaction in which any Group Member acquires (through an asset acquisition, merger, stock acquisition or other form of investment) control over all or a portion of the assets, properties or business of another Person for the purpose of increasing the operating capacity and/or asset base of the Partnership Group from the operating capacity and/or asset base of the Partnership Group existing immediately prior to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acquisition of properties or assets of another Person that is made solely for investment purposes shall not constitute an Acquisition under this Agreement.</w:t>
      </w:r>
    </w:p>
    <w:p>
      <w:pPr>
        <w:spacing w:after="0" w:line="175"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 Operating Surplus</w:t>
      </w:r>
      <w:r>
        <w:rPr>
          <w:rFonts w:ascii="Arial" w:cs="Arial" w:eastAsia="Arial" w:hAnsi="Arial"/>
          <w:sz w:val="19"/>
          <w:szCs w:val="19"/>
          <w:color w:val="auto"/>
        </w:rPr>
        <w:t>” means, with respect to any period, Operating Surplus generated with respect to such period (a) less (i) the amount of any net increase in Working Capital Borrowings (or the Partnership’s proportionate share of any net increase in Working Capital Borrowings in the case of Subsidiaries that are not wholly-owned) with respect to such period and</w:t>
      </w:r>
    </w:p>
    <w:p>
      <w:pPr>
        <w:spacing w:after="0" w:line="2" w:lineRule="exact"/>
        <w:rPr>
          <w:sz w:val="20"/>
          <w:szCs w:val="20"/>
          <w:color w:val="auto"/>
        </w:rPr>
      </w:pPr>
    </w:p>
    <w:p>
      <w:pPr>
        <w:ind w:right="60" w:firstLine="8"/>
        <w:spacing w:after="0" w:line="267" w:lineRule="auto"/>
        <w:tabs>
          <w:tab w:leader="none" w:pos="318"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amount of any net decrease in cash reserves for Operating Expenditures (or the Partnership’s proportionate share of any net decrease in cash reserves for Operating Expenditures in the case of Subsidiaries that are not wholly-owned) over such period to the extent such reduction does not relate to an Operating Expenditure made with respect to such period, and (b) plus (i) the amount of any net decrease in Working Capital Borrowings (or the Partnership’s proportionate share of any net decrease in Working Capital Borrowings in the case of Subsidiaries that are not wholly-owned) with respect to such period; (ii) the amount of any net increase in cash reserves (or the Partnership’s proportionate share of any net increase in cash reserves in the case of Subsidiaries that are not wholly-owned) for Operating Expenditures over such period to the extent such reserve is required (A) by any debt instrument for the repayment of principal, interest or premium or (B) for any Series A Payments, Series B Payments or Series C Payments; and</w:t>
      </w:r>
    </w:p>
    <w:p>
      <w:pPr>
        <w:ind w:right="220" w:firstLine="8"/>
        <w:spacing w:after="0" w:line="234" w:lineRule="auto"/>
        <w:tabs>
          <w:tab w:leader="none" w:pos="378"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the amount of any net decrease made in subsequent periods in cash reserves for Operating Expenditures initially established with respect to such period to the extent such decrease results in a reduction in Adjusted Operating Surplus in subsequent periods pursuant to </w:t>
      </w:r>
      <w:r>
        <w:rPr>
          <w:rFonts w:ascii="Arial" w:cs="Arial" w:eastAsia="Arial" w:hAnsi="Arial"/>
          <w:sz w:val="22"/>
          <w:szCs w:val="22"/>
          <w:u w:val="single" w:color="auto"/>
          <w:color w:val="auto"/>
        </w:rPr>
        <w:t>clause (a)(ii)</w:t>
      </w:r>
      <w:r>
        <w:rPr>
          <w:rFonts w:ascii="Arial" w:cs="Arial" w:eastAsia="Arial" w:hAnsi="Arial"/>
          <w:sz w:val="22"/>
          <w:szCs w:val="22"/>
          <w:color w:val="auto"/>
        </w:rPr>
        <w:t xml:space="preserve"> above. Adjusted Operating Surplus does not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 w:name="page12"/>
    <w:bookmarkEnd w:id="11"/>
    <w:p>
      <w:pPr>
        <w:ind w:right="360"/>
        <w:spacing w:after="0"/>
        <w:rPr>
          <w:sz w:val="20"/>
          <w:szCs w:val="20"/>
          <w:color w:val="auto"/>
        </w:rPr>
      </w:pPr>
      <w:r>
        <w:rPr>
          <w:rFonts w:ascii="Arial" w:cs="Arial" w:eastAsia="Arial" w:hAnsi="Arial"/>
          <w:sz w:val="22"/>
          <w:szCs w:val="22"/>
          <w:color w:val="auto"/>
        </w:rPr>
        <w:t xml:space="preserve">include that portion of Operating Surplus included in </w:t>
      </w:r>
      <w:r>
        <w:rPr>
          <w:rFonts w:ascii="Arial" w:cs="Arial" w:eastAsia="Arial" w:hAnsi="Arial"/>
          <w:sz w:val="22"/>
          <w:szCs w:val="22"/>
          <w:u w:val="single" w:color="auto"/>
          <w:color w:val="auto"/>
        </w:rPr>
        <w:t>clause (a)(i)</w:t>
      </w:r>
      <w:r>
        <w:rPr>
          <w:rFonts w:ascii="Arial" w:cs="Arial" w:eastAsia="Arial" w:hAnsi="Arial"/>
          <w:sz w:val="22"/>
          <w:szCs w:val="22"/>
          <w:color w:val="auto"/>
        </w:rPr>
        <w:t xml:space="preserve"> of the definition of Operating Surplus. Adjusted Operating Surplus includes that portion of Operating Surplus in </w:t>
      </w:r>
      <w:r>
        <w:rPr>
          <w:rFonts w:ascii="Arial" w:cs="Arial" w:eastAsia="Arial" w:hAnsi="Arial"/>
          <w:sz w:val="22"/>
          <w:szCs w:val="22"/>
          <w:u w:val="single" w:color="auto"/>
          <w:color w:val="auto"/>
        </w:rPr>
        <w:t>clause (a)(ii)</w:t>
      </w:r>
      <w:r>
        <w:rPr>
          <w:rFonts w:ascii="Arial" w:cs="Arial" w:eastAsia="Arial" w:hAnsi="Arial"/>
          <w:sz w:val="22"/>
          <w:szCs w:val="22"/>
          <w:color w:val="auto"/>
        </w:rPr>
        <w:t xml:space="preserve"> of the definition of Operating Surplus only to the extent that cash is received by the Partnership Group.</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that directly or indirectly through one or more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intermediaries controls, is controlled by or is under common control with, the Person in question. As used herein, the term</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 or indirect, of the power to direct or cause the direction of the management and policies of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Person, whether through ownership of voting securities, by contract or otherwise.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Quantity of IDR Reset Common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33"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Value</w:t>
      </w:r>
      <w:r>
        <w:rPr>
          <w:rFonts w:ascii="Arial" w:cs="Arial" w:eastAsia="Arial" w:hAnsi="Arial"/>
          <w:sz w:val="22"/>
          <w:szCs w:val="22"/>
          <w:color w:val="auto"/>
        </w:rPr>
        <w:t>” means the fair market value of the applicable property or other consideration at the time of contribution or distribution, as the case may be, as determined by the Board of Directors.</w:t>
      </w:r>
    </w:p>
    <w:p>
      <w:pPr>
        <w:spacing w:after="0" w:line="200" w:lineRule="exact"/>
        <w:rPr>
          <w:sz w:val="20"/>
          <w:szCs w:val="20"/>
          <w:color w:val="auto"/>
        </w:rPr>
      </w:pPr>
    </w:p>
    <w:p>
      <w:pPr>
        <w:jc w:val="both"/>
        <w:ind w:right="1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means this Fourth Amended and Restated Agreement of Limited Partnership of GasLog Partners LP, as it may be amended, supplemented or restated from time to time.</w:t>
      </w:r>
    </w:p>
    <w:p>
      <w:pPr>
        <w:spacing w:after="0" w:line="200" w:lineRule="exact"/>
        <w:rPr>
          <w:sz w:val="20"/>
          <w:szCs w:val="20"/>
          <w:color w:val="auto"/>
        </w:rPr>
      </w:pPr>
    </w:p>
    <w:p>
      <w:pPr>
        <w:jc w:val="both"/>
        <w:ind w:right="1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Annual Meeting</w:t>
      </w:r>
      <w:r>
        <w:rPr>
          <w:rFonts w:ascii="Arial" w:cs="Arial" w:eastAsia="Arial" w:hAnsi="Arial"/>
          <w:sz w:val="22"/>
          <w:szCs w:val="22"/>
          <w:color w:val="auto"/>
        </w:rPr>
        <w:t xml:space="preserve">” means the meeting of Limited Partners to be held every year, commencing in 2015, to elect the Elected Directors as provided in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to vote on any other matters brought before the meeting in accordance with this Agreement.</w:t>
      </w:r>
    </w:p>
    <w:p>
      <w:pPr>
        <w:spacing w:after="0" w:line="213" w:lineRule="exact"/>
        <w:rPr>
          <w:sz w:val="20"/>
          <w:szCs w:val="20"/>
          <w:color w:val="auto"/>
        </w:rPr>
      </w:pPr>
    </w:p>
    <w:p>
      <w:pPr>
        <w:ind w:right="94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Appointed Directors</w:t>
      </w:r>
      <w:r>
        <w:rPr>
          <w:rFonts w:ascii="Arial" w:cs="Arial" w:eastAsia="Arial" w:hAnsi="Arial"/>
          <w:sz w:val="21"/>
          <w:szCs w:val="21"/>
          <w:color w:val="auto"/>
        </w:rPr>
        <w:t xml:space="preserve">” means the members of the Board of Directors appointed by the General Partner in accordance with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w:t>
      </w:r>
    </w:p>
    <w:p>
      <w:pPr>
        <w:spacing w:after="0" w:line="178"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b w:val="1"/>
          <w:bCs w:val="1"/>
          <w:i w:val="1"/>
          <w:iCs w:val="1"/>
          <w:color w:val="auto"/>
        </w:rPr>
        <w:t xml:space="preserve">“Arrears” </w:t>
      </w:r>
      <w:r>
        <w:rPr>
          <w:rFonts w:ascii="Arial" w:cs="Arial" w:eastAsia="Arial" w:hAnsi="Arial"/>
          <w:sz w:val="22"/>
          <w:szCs w:val="22"/>
          <w:color w:val="auto"/>
        </w:rPr>
        <w:t>means, with respect to Preference Distributions on any series of Preference Units for any Quarter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the initial Preference Distribution, for the initial Preference Distribution Period with respect to such series), that the full cumulative Preference Distributions through the most recent Preference Distribution Payment Date have not been paid on all Outstanding Preference Units of such series.</w:t>
      </w:r>
    </w:p>
    <w:p>
      <w:pPr>
        <w:spacing w:after="0" w:line="212"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Associate</w:t>
      </w:r>
      <w:r>
        <w:rPr>
          <w:rFonts w:ascii="Arial" w:cs="Arial" w:eastAsia="Arial" w:hAnsi="Arial"/>
          <w:sz w:val="19"/>
          <w:szCs w:val="19"/>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7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Audit Committee</w:t>
      </w:r>
      <w:r>
        <w:rPr>
          <w:rFonts w:ascii="Arial" w:cs="Arial" w:eastAsia="Arial" w:hAnsi="Arial"/>
          <w:sz w:val="22"/>
          <w:szCs w:val="22"/>
          <w:color w:val="auto"/>
        </w:rPr>
        <w:t>” means a committee of the Board of Directors, which, within one year of the effective date of the Registration Statement, will be composed of a minimum of three members of the Board of Directors then serving who meet the independence standards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2" w:name="page13"/>
    <w:bookmarkEnd w:id="12"/>
    <w:p>
      <w:pPr>
        <w:ind w:right="280"/>
        <w:spacing w:after="0" w:line="258" w:lineRule="auto"/>
        <w:rPr>
          <w:sz w:val="20"/>
          <w:szCs w:val="20"/>
          <w:color w:val="auto"/>
        </w:rPr>
      </w:pPr>
      <w:r>
        <w:rPr>
          <w:rFonts w:ascii="Arial" w:cs="Arial" w:eastAsia="Arial" w:hAnsi="Arial"/>
          <w:sz w:val="21"/>
          <w:szCs w:val="21"/>
          <w:color w:val="auto"/>
        </w:rPr>
        <w:t>required of directors who serve on an audit committee of a board of directors established by the Exchange Act, and the rules and regulations of the Commission thereunder and meet the standards for audit committee composition established by the National Securities Exchange on which the Common Units are listed or admitted to trading.</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Available Cash</w:t>
      </w:r>
      <w:r>
        <w:rPr>
          <w:rFonts w:ascii="Arial" w:cs="Arial" w:eastAsia="Arial" w:hAnsi="Arial"/>
          <w:sz w:val="22"/>
          <w:szCs w:val="22"/>
          <w:color w:val="auto"/>
        </w:rPr>
        <w:t>” means, with respect to any Quarter ending prior to the Liquidation Date:</w:t>
      </w:r>
    </w:p>
    <w:p>
      <w:pPr>
        <w:spacing w:after="0" w:line="233" w:lineRule="exact"/>
        <w:rPr>
          <w:sz w:val="20"/>
          <w:szCs w:val="20"/>
          <w:color w:val="auto"/>
        </w:rPr>
      </w:pPr>
    </w:p>
    <w:p>
      <w:pPr>
        <w:ind w:left="660" w:right="120" w:firstLine="645"/>
        <w:spacing w:after="0" w:line="270" w:lineRule="auto"/>
        <w:tabs>
          <w:tab w:leader="none" w:pos="1602"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sum of (i) all cash and cash equivalents of the Partnership Group (or the Partnership’s proportionate share of cash and cash equivalents in the case of Subsidiaries that are not wholly-owned) on hand at the end of such Quarter, (ii) all additional cash and cash equivalents of the Partnership Group (or the Partnership’s proportionate share of cash and cash equivalents in the case of Subsidiaries that are not wholly-owned) on hand on the date of determination of Available Cash with respect to such Quarter resulting from Working Capital Borrowings made subsequent to the end of such Quarter, and</w:t>
      </w:r>
    </w:p>
    <w:p>
      <w:pPr>
        <w:spacing w:after="0" w:line="4" w:lineRule="exact"/>
        <w:rPr>
          <w:rFonts w:ascii="Arial" w:cs="Arial" w:eastAsia="Arial" w:hAnsi="Arial"/>
          <w:sz w:val="19"/>
          <w:szCs w:val="19"/>
          <w:color w:val="auto"/>
        </w:rPr>
      </w:pPr>
    </w:p>
    <w:p>
      <w:pPr>
        <w:ind w:left="660" w:right="180" w:hanging="4"/>
        <w:spacing w:after="0" w:line="287" w:lineRule="auto"/>
        <w:tabs>
          <w:tab w:leader="none" w:pos="1038" w:val="left"/>
        </w:tabs>
        <w:numPr>
          <w:ilvl w:val="0"/>
          <w:numId w:val="3"/>
        </w:numPr>
        <w:rPr>
          <w:rFonts w:ascii="Arial" w:cs="Arial" w:eastAsia="Arial" w:hAnsi="Arial"/>
          <w:sz w:val="19"/>
          <w:szCs w:val="19"/>
          <w:color w:val="auto"/>
        </w:rPr>
      </w:pPr>
      <w:r>
        <w:rPr>
          <w:rFonts w:ascii="Arial" w:cs="Arial" w:eastAsia="Arial" w:hAnsi="Arial"/>
          <w:sz w:val="19"/>
          <w:szCs w:val="19"/>
          <w:color w:val="auto"/>
        </w:rPr>
        <w:t>all cash and cash equivalents on hand on the date of determination of Available Cash resulting from cash distributions received after the end of such Quarter from any Group Member’s equity interest in any Person (other than a Subsidiary), which distributions are paid by such Person in respect of operations conducted by such Person during such Quarter, less</w:t>
      </w:r>
    </w:p>
    <w:p>
      <w:pPr>
        <w:spacing w:after="0" w:line="170" w:lineRule="exact"/>
        <w:rPr>
          <w:rFonts w:ascii="Arial" w:cs="Arial" w:eastAsia="Arial" w:hAnsi="Arial"/>
          <w:sz w:val="19"/>
          <w:szCs w:val="19"/>
          <w:color w:val="auto"/>
        </w:rPr>
      </w:pPr>
    </w:p>
    <w:p>
      <w:pPr>
        <w:ind w:left="660" w:firstLine="645"/>
        <w:spacing w:after="0" w:line="272" w:lineRule="auto"/>
        <w:tabs>
          <w:tab w:leader="none" w:pos="1614"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the amount of any cash reserves (or the Partnership’s proportionate share of cash reserves in the case of Subsidiaries that are not wholly-owned)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(iii) provide funds for Series A Payments, Series B Payments and Series C Payments and/or (iv) provide funds for distributions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in respect of any one or more of the next four Quarters;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may not establish cash reserves pursuant to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if the effect of establishing such reserves would be that the Partnership is unable to distribute the Minimum Quarterly Distribution on all Common Units with respect to such Quarter;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Board of Directors so determines.</w:t>
      </w:r>
    </w:p>
    <w:p>
      <w:pPr>
        <w:spacing w:after="0" w:line="184"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Notwithstanding the foregoing, “</w:t>
      </w:r>
      <w:r>
        <w:rPr>
          <w:rFonts w:ascii="Arial" w:cs="Arial" w:eastAsia="Arial" w:hAnsi="Arial"/>
          <w:sz w:val="22"/>
          <w:szCs w:val="22"/>
          <w:i w:val="1"/>
          <w:iCs w:val="1"/>
          <w:color w:val="auto"/>
        </w:rPr>
        <w:t>Available Cash</w:t>
      </w:r>
      <w:r>
        <w:rPr>
          <w:rFonts w:ascii="Arial" w:cs="Arial" w:eastAsia="Arial" w:hAnsi="Arial"/>
          <w:sz w:val="22"/>
          <w:szCs w:val="22"/>
          <w:color w:val="auto"/>
        </w:rPr>
        <w:t>” with respect to the Quarter in which the Liquidation Date occurs and any subsequent Quarter shall equal zero.</w:t>
      </w:r>
    </w:p>
    <w:p>
      <w:pPr>
        <w:spacing w:after="0" w:line="200" w:lineRule="exact"/>
        <w:rPr>
          <w:sz w:val="20"/>
          <w:szCs w:val="20"/>
          <w:color w:val="auto"/>
        </w:rPr>
      </w:pPr>
    </w:p>
    <w:p>
      <w:pPr>
        <w:ind w:right="2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means the board of directors of the Partnership, composed of Appointed Directors and Elected Directors appointed or elected, as the case may be, in accordance with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16.5(b)</w:t>
      </w:r>
      <w:r>
        <w:rPr>
          <w:rFonts w:ascii="Arial" w:cs="Arial" w:eastAsia="Arial" w:hAnsi="Arial"/>
          <w:sz w:val="19"/>
          <w:szCs w:val="19"/>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3" w:name="page14"/>
    <w:bookmarkEnd w:id="13"/>
    <w:p>
      <w:pPr>
        <w:ind w:right="660"/>
        <w:spacing w:after="0" w:line="258" w:lineRule="auto"/>
        <w:rPr>
          <w:sz w:val="20"/>
          <w:szCs w:val="20"/>
          <w:color w:val="auto"/>
        </w:rPr>
      </w:pPr>
      <w:r>
        <w:rPr>
          <w:rFonts w:ascii="Arial" w:cs="Arial" w:eastAsia="Arial" w:hAnsi="Arial"/>
          <w:sz w:val="21"/>
          <w:szCs w:val="21"/>
          <w:u w:val="single" w:color="auto"/>
          <w:color w:val="auto"/>
        </w:rPr>
        <w:t>18.5(b)</w:t>
      </w:r>
      <w:r>
        <w:rPr>
          <w:rFonts w:ascii="Arial" w:cs="Arial" w:eastAsia="Arial" w:hAnsi="Arial"/>
          <w:sz w:val="21"/>
          <w:szCs w:val="21"/>
          <w:color w:val="auto"/>
        </w:rPr>
        <w:t xml:space="preserve"> and a majority of whom are not United States citizens or residents, which,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 7.11</w:t>
      </w:r>
      <w:r>
        <w:rPr>
          <w:rFonts w:ascii="Arial" w:cs="Arial" w:eastAsia="Arial" w:hAnsi="Arial"/>
          <w:sz w:val="21"/>
          <w:szCs w:val="21"/>
          <w:color w:val="auto"/>
        </w:rPr>
        <w:t>, oversees and directs the operations, management and policies of the Partnership. The Board of Directors shall constitute a committee within the meaning of Section 30(2)(g) of the Marshall Islands Act.</w:t>
      </w:r>
    </w:p>
    <w:p>
      <w:pPr>
        <w:spacing w:after="0" w:line="194" w:lineRule="exact"/>
        <w:rPr>
          <w:sz w:val="20"/>
          <w:szCs w:val="20"/>
          <w:color w:val="auto"/>
        </w:rPr>
      </w:pPr>
    </w:p>
    <w:p>
      <w:pPr>
        <w:ind w:right="1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Monday through Friday of each week, except that a legal holiday recognized as such by the government of the United States of America or the State of New York shall not be regarded as a Business Day.</w:t>
      </w:r>
    </w:p>
    <w:p>
      <w:pPr>
        <w:spacing w:after="0" w:line="132" w:lineRule="exact"/>
        <w:rPr>
          <w:sz w:val="20"/>
          <w:szCs w:val="20"/>
          <w:color w:val="auto"/>
        </w:rPr>
      </w:pPr>
    </w:p>
    <w:p>
      <w:pPr>
        <w:ind w:right="5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Calculation Agent</w:t>
      </w:r>
      <w:r>
        <w:rPr>
          <w:rFonts w:ascii="Arial" w:cs="Arial" w:eastAsia="Arial" w:hAnsi="Arial"/>
          <w:sz w:val="22"/>
          <w:szCs w:val="22"/>
          <w:color w:val="auto"/>
        </w:rPr>
        <w:t>” means a bank, trust company or other Person (including the Partnership and any of its Affiliates) as may be appointed from time to time by the Partnership to act as the calculation agent for the Series B Preference Units and the Series C Preference Units.</w:t>
      </w:r>
    </w:p>
    <w:p>
      <w:pPr>
        <w:spacing w:after="0" w:line="213"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Contribution</w:t>
      </w:r>
      <w:r>
        <w:rPr>
          <w:rFonts w:ascii="Arial" w:cs="Arial" w:eastAsia="Arial" w:hAnsi="Arial"/>
          <w:sz w:val="22"/>
          <w:szCs w:val="22"/>
          <w:color w:val="auto"/>
        </w:rPr>
        <w:t>” means (a) with respect to any Partner, any cash, cash equivalents or the Net Agreed Value of Contributed Property that a Partner contributes to the Partnership or that is contributed or deemed contributed to the Partnership on behalf of a Partner (including, in the case of an underwritten offering of Units, the amount of any underwriting discounts or commissions) or (b) with respect to the General Partner only, (i) distributions of cash that the General Partner is entitled to receive but otherwise waives such that the Partnership retains such cash or (ii) Common Units that the General Partner contributes to the Partnership.</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Improvement</w:t>
      </w:r>
      <w:r>
        <w:rPr>
          <w:rFonts w:ascii="Arial" w:cs="Arial" w:eastAsia="Arial" w:hAnsi="Arial"/>
          <w:sz w:val="19"/>
          <w:szCs w:val="19"/>
          <w:color w:val="auto"/>
        </w:rPr>
        <w:t>” means any (a) addition or improvement to the capital assets owned by any Group Member,</w:t>
      </w:r>
    </w:p>
    <w:p>
      <w:pPr>
        <w:spacing w:after="0" w:line="4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acquisition of existing, construction of new or improvement or replacement of existing, capital assets by any Group Member or</w:t>
      </w:r>
    </w:p>
    <w:p>
      <w:pPr>
        <w:spacing w:after="0" w:line="24" w:lineRule="exact"/>
        <w:rPr>
          <w:rFonts w:ascii="Arial" w:cs="Arial" w:eastAsia="Arial" w:hAnsi="Arial"/>
          <w:sz w:val="19"/>
          <w:szCs w:val="19"/>
          <w:color w:val="auto"/>
        </w:rPr>
      </w:pPr>
    </w:p>
    <w:p>
      <w:pPr>
        <w:ind w:firstLine="8"/>
        <w:spacing w:after="0" w:line="243" w:lineRule="auto"/>
        <w:tabs>
          <w:tab w:leader="none" w:pos="294"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capital contribution by a Group Member to a Person that is not a Subsidiary, in which a Group Member has, or after such capital contribution will have, an equity interest, to fund the Group Member’s pro rata share of the cost of the addition or improvement to or the acquisition of existing, or the construction of new, or the improvement or replacement of existing, capital assets by such Person, in each case if such addition, improvement, replacement, acquisition or construction is made to increase the operating capacity and/or asset base of the Partnership Group from the operating capacity and/or asset base of the Partnership Group or such Person, as the case may be, existing immediately prior to such addition, improvement, replacement, acquisition or construction;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any such addition, improvement, acquisition or construction that is made solely for investment purposes</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constitute a Capital Improvement.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Surplus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33" w:lineRule="exact"/>
        <w:rPr>
          <w:sz w:val="20"/>
          <w:szCs w:val="20"/>
          <w:color w:val="auto"/>
        </w:rPr>
      </w:pPr>
    </w:p>
    <w:p>
      <w:pPr>
        <w:jc w:val="both"/>
        <w:ind w:right="4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a court of competent jurisdiction has entered a final, non-appealable judgment finding a Person liable to the Partnership or any Limited Partner for actual fraud or willful misconduct in its capacity as a general partner of the Partnership or as a member of the Board of Directors, as the case may be.</w:t>
      </w:r>
    </w:p>
    <w:p>
      <w:pPr>
        <w:spacing w:after="0" w:line="213"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w:t>
      </w:r>
      <w:r>
        <w:rPr>
          <w:rFonts w:ascii="Arial" w:cs="Arial" w:eastAsia="Arial" w:hAnsi="Arial"/>
          <w:sz w:val="22"/>
          <w:szCs w:val="22"/>
          <w:color w:val="auto"/>
        </w:rPr>
        <w:t xml:space="preserve">” means a certificate (a)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with respect to Common Units,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this Agreement with respect to Series A Preference Units,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to this Agreement with respect to Series B Preference Units and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4" w:name="page15"/>
    <w:bookmarkEnd w:id="14"/>
    <w:p>
      <w:pPr>
        <w:ind w:right="200"/>
        <w:spacing w:after="0" w:line="287" w:lineRule="auto"/>
        <w:rPr>
          <w:sz w:val="20"/>
          <w:szCs w:val="20"/>
          <w:color w:val="auto"/>
        </w:rPr>
      </w:pP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this Agreement with respect to Series C Preference Units, (b) issued in global or book entry form in accordance with the rules and regulations of the Depositary or (c) in such other form as may be adopted by the Board of Directors, issued by the Partnership evidencing ownership of one or more Common Units or Preference Units, or a certificate, in such form as may be adopted by the Board of Directors, issued by the Partnership evidencing ownership of one or more other Partnership Interests.</w:t>
      </w:r>
    </w:p>
    <w:p>
      <w:pPr>
        <w:spacing w:after="0" w:line="170" w:lineRule="exact"/>
        <w:rPr>
          <w:sz w:val="20"/>
          <w:szCs w:val="20"/>
          <w:color w:val="auto"/>
        </w:rPr>
      </w:pPr>
    </w:p>
    <w:p>
      <w:pPr>
        <w:jc w:val="both"/>
        <w:ind w:right="2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Limited Partnership</w:t>
      </w:r>
      <w:r>
        <w:rPr>
          <w:rFonts w:ascii="Arial" w:cs="Arial" w:eastAsia="Arial" w:hAnsi="Arial"/>
          <w:sz w:val="22"/>
          <w:szCs w:val="22"/>
          <w:color w:val="auto"/>
        </w:rPr>
        <w:t xml:space="preserve">” means the Certificate of Limited Partnership of the Partnership filed with the Registrar of Corporations of The Marshall Islands as referenced in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as such Certificate of Limited Partnership may be amended, supplemented or restated from time to time.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(as used in </w:t>
      </w:r>
      <w:r>
        <w:rPr>
          <w:rFonts w:ascii="Arial" w:cs="Arial" w:eastAsia="Arial" w:hAnsi="Arial"/>
          <w:sz w:val="22"/>
          <w:szCs w:val="22"/>
          <w:u w:val="single" w:color="auto"/>
          <w:color w:val="auto"/>
        </w:rPr>
        <w:t>Section 7.20(c))</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33" w:lineRule="exact"/>
        <w:rPr>
          <w:sz w:val="20"/>
          <w:szCs w:val="20"/>
          <w:color w:val="auto"/>
        </w:rPr>
      </w:pPr>
    </w:p>
    <w:p>
      <w:pPr>
        <w:ind w:right="7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the first date on which Common Units are sold by the Partnership to the Underwriters pursuant to the provisions of the Underwriting Agreement.</w:t>
      </w:r>
    </w:p>
    <w:p>
      <w:pPr>
        <w:spacing w:after="0" w:line="200"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Price</w:t>
      </w:r>
      <w:r>
        <w:rPr>
          <w:rFonts w:ascii="Arial" w:cs="Arial" w:eastAsia="Arial" w:hAnsi="Arial"/>
          <w:sz w:val="19"/>
          <w:szCs w:val="19"/>
          <w:color w:val="auto"/>
        </w:rPr>
        <w:t>” means, in respect of any class or series of Limited Partner Interests, as of the date of determination,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the respective Limited Partner Interests are listed or admitted to trading or, if such Limited Partner Interests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or series are not quoted by any such system, the average of the closing bid and asked prices on such day as furnished by a professional market maker making a market in such Limited Partner Interests of such class or series selected by the Board of Directors, or if on any such day no market maker is making a market in such Limited Partner Interests of such class or series, the fair value of such Limited Partner Interests on such day as determined by the Board of Directors.</w:t>
      </w:r>
    </w:p>
    <w:p>
      <w:pPr>
        <w:spacing w:after="0" w:line="200" w:lineRule="exact"/>
        <w:rPr>
          <w:sz w:val="20"/>
          <w:szCs w:val="20"/>
          <w:color w:val="auto"/>
        </w:rPr>
      </w:pPr>
    </w:p>
    <w:p>
      <w:pPr>
        <w:spacing w:after="0" w:line="236" w:lineRule="exact"/>
        <w:rPr>
          <w:sz w:val="20"/>
          <w:szCs w:val="20"/>
          <w:color w:val="auto"/>
        </w:rPr>
      </w:pPr>
    </w:p>
    <w:p>
      <w:pPr>
        <w:ind w:right="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United States Internal Revenue Code of 1986, as amended and in effect from time to time. Any reference herein to a specific section or sections of the Code shall be deemed to include a reference to any corresponding provision of any successor law.</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33" w:lineRule="exact"/>
        <w:rPr>
          <w:sz w:val="20"/>
          <w:szCs w:val="20"/>
          <w:color w:val="auto"/>
        </w:rPr>
      </w:pPr>
    </w:p>
    <w:p>
      <w:pPr>
        <w:jc w:val="both"/>
        <w:ind w:right="8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Commences Commercial Service</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Commenced Commercial Service</w:t>
      </w:r>
      <w:r>
        <w:rPr>
          <w:rFonts w:ascii="Arial" w:cs="Arial" w:eastAsia="Arial" w:hAnsi="Arial"/>
          <w:sz w:val="22"/>
          <w:szCs w:val="22"/>
          <w:color w:val="auto"/>
        </w:rPr>
        <w:t>” shall mean the date a Capital Improvement is first put into commercial service by a Group Member following, if applicable, completion of construction, acquisition, development and testing.</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 w:name="page16"/>
    <w:bookmarkEnd w:id="15"/>
    <w:p>
      <w:pPr>
        <w:ind w:right="74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Unit</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Common Units in this Agreement.</w:t>
      </w:r>
    </w:p>
    <w:p>
      <w:pPr>
        <w:spacing w:after="0" w:line="132" w:lineRule="exact"/>
        <w:rPr>
          <w:sz w:val="20"/>
          <w:szCs w:val="20"/>
          <w:color w:val="auto"/>
        </w:rPr>
      </w:pPr>
    </w:p>
    <w:p>
      <w:pPr>
        <w:ind w:right="16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Conflicts Committee</w:t>
      </w:r>
      <w:r>
        <w:rPr>
          <w:rFonts w:ascii="Arial" w:cs="Arial" w:eastAsia="Arial" w:hAnsi="Arial"/>
          <w:sz w:val="19"/>
          <w:szCs w:val="19"/>
          <w:color w:val="auto"/>
        </w:rPr>
        <w:t>” means a committee of the Board of Directors composed entirely of two or more directors who are not any of the following: (a) officers or employees of the General Partner, (b) officers, directors or employees of any Affiliate of the General Partner (other than any Group Member) or (c) holders of any ownership interest in the General Partner, its Affiliates or the Partnership Group (other than (x) Common Units or (y)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w:t>
      </w:r>
    </w:p>
    <w:p>
      <w:pPr>
        <w:spacing w:after="0" w:line="185" w:lineRule="exact"/>
        <w:rPr>
          <w:sz w:val="20"/>
          <w:szCs w:val="20"/>
          <w:color w:val="auto"/>
        </w:rPr>
      </w:pPr>
    </w:p>
    <w:p>
      <w:pPr>
        <w:ind w:right="5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Contributed Property</w:t>
      </w:r>
      <w:r>
        <w:rPr>
          <w:rFonts w:ascii="Arial" w:cs="Arial" w:eastAsia="Arial" w:hAnsi="Arial"/>
          <w:sz w:val="22"/>
          <w:szCs w:val="22"/>
          <w:color w:val="auto"/>
        </w:rPr>
        <w:t>” means each property or other asset, in such form as may be permitted by the Marshall Islands Act, but excluding cash, contributed to the Partnership.</w:t>
      </w:r>
    </w:p>
    <w:p>
      <w:pPr>
        <w:spacing w:after="0" w:line="200"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 Agreement</w:t>
      </w:r>
      <w:r>
        <w:rPr>
          <w:rFonts w:ascii="Arial" w:cs="Arial" w:eastAsia="Arial" w:hAnsi="Arial"/>
          <w:sz w:val="19"/>
          <w:szCs w:val="19"/>
          <w:color w:val="auto"/>
        </w:rPr>
        <w:t>” means that certain Contribution Agreement, dated as of May 12, 2014, among the General Partner, the Partnership, the Operating Company, GasLog and the other parties named therein, together with the additional conveyance documents and instruments contemplated or referenced thereunder or entered into in connection therewith.</w:t>
      </w:r>
    </w:p>
    <w:p>
      <w:pPr>
        <w:spacing w:after="0" w:line="161" w:lineRule="exact"/>
        <w:rPr>
          <w:sz w:val="20"/>
          <w:szCs w:val="20"/>
          <w:color w:val="auto"/>
        </w:rPr>
      </w:pPr>
    </w:p>
    <w:p>
      <w:pPr>
        <w:ind w:right="4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Current Market Price</w:t>
      </w:r>
      <w:r>
        <w:rPr>
          <w:rFonts w:ascii="Arial" w:cs="Arial" w:eastAsia="Arial" w:hAnsi="Arial"/>
          <w:sz w:val="22"/>
          <w:szCs w:val="22"/>
          <w:color w:val="auto"/>
        </w:rPr>
        <w:t>” means, in respect of any class or series of Limited Partner Interests, as of the date of determination, the average of the daily Closing Prices per Limited Partner Interest of such class or series for the 20 consecutive Trading Days immediately prior to such date.</w:t>
      </w:r>
    </w:p>
    <w:p>
      <w:pPr>
        <w:spacing w:after="0" w:line="213"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Deferred Issuance and Distribution</w:t>
      </w:r>
      <w:r>
        <w:rPr>
          <w:rFonts w:ascii="Arial" w:cs="Arial" w:eastAsia="Arial" w:hAnsi="Arial"/>
          <w:sz w:val="19"/>
          <w:szCs w:val="19"/>
          <w:color w:val="auto"/>
        </w:rPr>
        <w:t xml:space="preserve">” means both (a) the issuance by the Partnership of additional Common Units that is equal to the excess, if any, of (x) 1,260,000 minus (y) the aggregate number, if any, of Common Units actually purchased by and issued to the Underwriters pursuant to the Over- Allotment Option on the Option Closing Date(s), and (b) distributions of cash pursuant to the Contribution Agreement in an amount equal to the total amount of cash contributed by the Underwriters to the Partnership on or in connection with any Option Closing Date with respect to Common Units issued by the Partnership upon the applicable exercise of the Over-Allotment Option in accordance with </w:t>
      </w:r>
      <w:r>
        <w:rPr>
          <w:rFonts w:ascii="Arial" w:cs="Arial" w:eastAsia="Arial" w:hAnsi="Arial"/>
          <w:sz w:val="19"/>
          <w:szCs w:val="19"/>
          <w:u w:val="single" w:color="auto"/>
          <w:color w:val="auto"/>
        </w:rPr>
        <w:t>Section 5.2</w:t>
      </w:r>
      <w:r>
        <w:rPr>
          <w:rFonts w:ascii="Arial" w:cs="Arial" w:eastAsia="Arial" w:hAnsi="Arial"/>
          <w:sz w:val="19"/>
          <w:szCs w:val="19"/>
          <w:color w:val="auto"/>
        </w:rPr>
        <w:t>, if any.</w:t>
      </w:r>
    </w:p>
    <w:p>
      <w:pPr>
        <w:spacing w:after="0" w:line="178"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Departing General Partner</w:t>
      </w:r>
      <w:r>
        <w:rPr>
          <w:rFonts w:ascii="Arial" w:cs="Arial" w:eastAsia="Arial" w:hAnsi="Arial"/>
          <w:sz w:val="22"/>
          <w:szCs w:val="22"/>
          <w:color w:val="auto"/>
        </w:rPr>
        <w:t xml:space="preserve">” means a former General Partner from and after the effective date of any withdrawal or removal of such former General Partner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0"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Depositary</w:t>
      </w:r>
      <w:r>
        <w:rPr>
          <w:rFonts w:ascii="Arial" w:cs="Arial" w:eastAsia="Arial" w:hAnsi="Arial"/>
          <w:sz w:val="22"/>
          <w:szCs w:val="22"/>
          <w:color w:val="auto"/>
        </w:rPr>
        <w:t>” means, with respect to any Units issued in global form, The Depository Trust Company and its successors and permitted assigns.</w:t>
      </w:r>
    </w:p>
    <w:p>
      <w:pPr>
        <w:spacing w:after="0" w:line="200"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Elected Directors</w:t>
      </w:r>
      <w:r>
        <w:rPr>
          <w:rFonts w:ascii="Arial" w:cs="Arial" w:eastAsia="Arial" w:hAnsi="Arial"/>
          <w:sz w:val="22"/>
          <w:szCs w:val="22"/>
          <w:color w:val="auto"/>
        </w:rPr>
        <w:t xml:space="preserve">” means the members of the Board of Directors who are elected as such in accordance with the provisions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at least two (and subject to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9"/>
          <w:szCs w:val="19"/>
          <w:u w:val="single" w:color="auto"/>
          <w:color w:val="auto"/>
        </w:rPr>
        <w:t>Section 7.2(d)</w:t>
      </w:r>
      <w:r>
        <w:rPr>
          <w:rFonts w:ascii="Arial" w:cs="Arial" w:eastAsia="Arial" w:hAnsi="Arial"/>
          <w:sz w:val="19"/>
          <w:szCs w:val="19"/>
          <w:color w:val="auto"/>
        </w:rPr>
        <w:t>) of whom are not any of the following: (a) officers or employees of the General Partner, (b) officers or employees of any Affiliate of the General Partner (other than any Group Member) or (c) holders of any ownership interest in the General Partner, its Affiliates or the Partnership Group (other than (x) Common Units, (y) Series A Preference Units, Series B Preference Units or Series C Preference Units or (z)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 or (d) United States citizens or residents.</w:t>
      </w:r>
    </w:p>
    <w:p>
      <w:pPr>
        <w:spacing w:after="0" w:line="18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Estimated Maintenance and Replacement Capital Expenditures</w:t>
      </w:r>
      <w:r>
        <w:rPr>
          <w:rFonts w:ascii="Arial" w:cs="Arial" w:eastAsia="Arial" w:hAnsi="Arial"/>
          <w:sz w:val="19"/>
          <w:szCs w:val="19"/>
          <w:color w:val="auto"/>
        </w:rPr>
        <w:t xml:space="preserve">” means an estimate made in good faith by the Board of Directors (with the concurrence of the Conflicts Committee) of the average quarterly Maintenance and Replacement Capital Expenditures that the Partnership will need to incur to maintain over the long-term the operating capacity and asset base of the Partnership Group (including the Partnership’s proportionate share of the average quarterly Maintenance and Replacement Capital Expenditures of its Subsidiaries that are not wholly-owned) existing at the time the estimate is made. The Board of Directors (with the concurrence of the Conflicts Committee) will be permitted to make such estimate in any manner it determines reasonable. Beginning after the Closing Date, the estimate will be made at least annually and whenever an event occurs that is likely to result in a material adjustment to the amount of Maintenance and Replacement Capital Expenditures on a long-term basis. The Partnership shall disclose to its Partners any change in the amount of Estimated Maintenance and Replacement Capital Expenditures in its reports made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to the extent not previously disclosed. Any adjustments to Estimated Maintenance and Replacement Capital Expenditures shall be prospective only.</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Withdrawal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33" w:lineRule="exact"/>
        <w:rPr>
          <w:sz w:val="20"/>
          <w:szCs w:val="20"/>
          <w:color w:val="auto"/>
        </w:rPr>
      </w:pPr>
    </w:p>
    <w:p>
      <w:pPr>
        <w:ind w:right="2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supplemented or restated from time to time and any successor to such statute.</w:t>
      </w:r>
    </w:p>
    <w:p>
      <w:pPr>
        <w:spacing w:after="0" w:line="200" w:lineRule="exact"/>
        <w:rPr>
          <w:sz w:val="20"/>
          <w:szCs w:val="20"/>
          <w:color w:val="auto"/>
        </w:rPr>
      </w:pPr>
    </w:p>
    <w:p>
      <w:pPr>
        <w:ind w:right="20" w:firstLine="12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Expansion Capital Expenditures</w:t>
      </w:r>
      <w:r>
        <w:rPr>
          <w:rFonts w:ascii="Arial" w:cs="Arial" w:eastAsia="Arial" w:hAnsi="Arial"/>
          <w:sz w:val="19"/>
          <w:szCs w:val="19"/>
          <w:color w:val="auto"/>
        </w:rPr>
        <w:t>” means cash expenditures for Acquisitions or Capital Improvements. Expansion Capital Expenditures shall not include Maintenance and Replacement Capital Expenditures or Investment Capital Expenditures. Expansion Capital Expenditures shall include interest payments (and related fees) on debt incurred and distributions on equity issued, in each case, to fund the construction of a Capital Improvement and paid in respect of the period beginning on the date that a Group Member enters into a binding obligation to commence construction of the Capital Improvement and ending on the earlier to occur of the date that such Capital Improvement Commences Commercial Service or the date that such Capital Improvement is abandoned or disposed of. Debt incurred or equity issued to fund any such construction period interest payments, or such construction period distributions on equity paid in respect of such period shall also be deemed to be debt incurred or equity issued, as the case may be, to fund the construction of a Capital Improvement, and the Incremental Incentive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7" w:name="page18"/>
    <w:bookmarkEnd w:id="17"/>
    <w:p>
      <w:pPr>
        <w:ind w:right="340"/>
        <w:spacing w:after="0" w:line="251" w:lineRule="auto"/>
        <w:rPr>
          <w:sz w:val="20"/>
          <w:szCs w:val="20"/>
          <w:color w:val="auto"/>
        </w:rPr>
      </w:pPr>
      <w:r>
        <w:rPr>
          <w:rFonts w:ascii="Arial" w:cs="Arial" w:eastAsia="Arial" w:hAnsi="Arial"/>
          <w:sz w:val="22"/>
          <w:szCs w:val="22"/>
          <w:color w:val="auto"/>
        </w:rPr>
        <w:t>Distributions paid in respect of such newly issued equity shall be deemed to be distributions paid on equity issued to finance the construction of a Capital Improvement.</w:t>
      </w:r>
    </w:p>
    <w:p>
      <w:pPr>
        <w:spacing w:after="0" w:line="200" w:lineRule="exact"/>
        <w:rPr>
          <w:sz w:val="20"/>
          <w:szCs w:val="20"/>
          <w:color w:val="auto"/>
        </w:rPr>
      </w:pPr>
    </w:p>
    <w:p>
      <w:pPr>
        <w:jc w:val="both"/>
        <w:ind w:right="10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Target Distribution</w:t>
      </w:r>
      <w:r>
        <w:rPr>
          <w:rFonts w:ascii="Arial" w:cs="Arial" w:eastAsia="Arial" w:hAnsi="Arial"/>
          <w:sz w:val="21"/>
          <w:szCs w:val="21"/>
          <w:color w:val="auto"/>
        </w:rPr>
        <w:t xml:space="preserve">” means $0.43125 per Unit per Quarter (or, with respect to the period commencing on the Closing Date and ending on June 30, 2014, it means the product of $0.43125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6.5</w:t>
      </w:r>
      <w:r>
        <w:rPr>
          <w:rFonts w:ascii="Arial" w:cs="Arial" w:eastAsia="Arial" w:hAnsi="Arial"/>
          <w:sz w:val="21"/>
          <w:szCs w:val="21"/>
          <w:color w:val="auto"/>
        </w:rPr>
        <w:t>.</w:t>
      </w:r>
    </w:p>
    <w:p>
      <w:pPr>
        <w:spacing w:after="0" w:line="201"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Fully Diluted Weighted Average Basis</w:t>
      </w:r>
      <w:r>
        <w:rPr>
          <w:rFonts w:ascii="Arial" w:cs="Arial" w:eastAsia="Arial" w:hAnsi="Arial"/>
          <w:sz w:val="19"/>
          <w:szCs w:val="19"/>
          <w:color w:val="auto"/>
        </w:rPr>
        <w:t xml:space="preserve">” means, when calculating the number of Outstanding Units for any period, a basis that includes (a) the weighted average number of Outstanding Units plus (b) all Partnership Interests and options, rights, warrants and appreciation rights relating to an equity interest in the Partnership (i) that are convertible into or exercisable or exchangeable for Units or for which Units are issuable, (ii) whose conversion, exercise or exchange price is less than the Current Market Price on the date of such calculation, (iii) that may be converted into or exercised or exchanged for such Units prior to or during the Quarter immediately following the end of the period for which the calculation is being made without the satisfaction of any contingency beyond the control of the holder other than the payment of consideration and the compliance with administrative mechanics applicable to such conversion, exercise or exchange and (iv) that were not converted into or exercised or exchanged for such Units during the period for which the calculation is being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consideration will be paid to any Group Member in connection with such conversion, exercise or exchange, the number of Units to be included in such calculation shall be that number equal to the difference between (y) the number of Units issuable upon such conversion, exercise or exchange and (z) the number of Units that such consideration would purchase at the Current Market Price.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GasLog</w:t>
      </w:r>
      <w:r>
        <w:rPr>
          <w:rFonts w:ascii="Arial" w:cs="Arial" w:eastAsia="Arial" w:hAnsi="Arial"/>
          <w:sz w:val="22"/>
          <w:szCs w:val="22"/>
          <w:color w:val="auto"/>
        </w:rPr>
        <w:t>” means GasLog Ltd.</w:t>
      </w:r>
    </w:p>
    <w:p>
      <w:pPr>
        <w:spacing w:after="0" w:line="233"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w:t>
      </w:r>
      <w:r>
        <w:rPr>
          <w:rFonts w:ascii="Arial" w:cs="Arial" w:eastAsia="Arial" w:hAnsi="Arial"/>
          <w:sz w:val="22"/>
          <w:szCs w:val="22"/>
          <w:color w:val="auto"/>
        </w:rPr>
        <w:t>” means GasLog Partners GP LLC, a Marshall Islands limited liability company, and its successors and permitted assigns that are admitted to the Partnership as general partner of the Partnership, in its capacity as general partner of the Partnership (except as the context otherwise requires).</w:t>
      </w:r>
    </w:p>
    <w:p>
      <w:pPr>
        <w:spacing w:after="0" w:line="213" w:lineRule="exact"/>
        <w:rPr>
          <w:sz w:val="20"/>
          <w:szCs w:val="20"/>
          <w:color w:val="auto"/>
        </w:rPr>
      </w:pPr>
    </w:p>
    <w:p>
      <w:pPr>
        <w:jc w:val="both"/>
        <w:ind w:right="4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General Partner Interest</w:t>
      </w:r>
      <w:r>
        <w:rPr>
          <w:rFonts w:ascii="Arial" w:cs="Arial" w:eastAsia="Arial" w:hAnsi="Arial"/>
          <w:sz w:val="21"/>
          <w:szCs w:val="21"/>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201"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 Unit</w:t>
      </w:r>
      <w:r>
        <w:rPr>
          <w:rFonts w:ascii="Arial" w:cs="Arial" w:eastAsia="Arial" w:hAnsi="Arial"/>
          <w:sz w:val="22"/>
          <w:szCs w:val="22"/>
          <w:color w:val="auto"/>
        </w:rPr>
        <w:t>” means a fractional part of the General Partner Interest having the rights and obligations specified with respect to the General Partner Interest. A General Partner Unit is not a Unit.</w:t>
      </w:r>
    </w:p>
    <w:p>
      <w:pPr>
        <w:spacing w:after="0" w:line="200"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w:t>
      </w:r>
      <w:r>
        <w:rPr>
          <w:rFonts w:ascii="Arial" w:cs="Arial" w:eastAsia="Arial" w:hAnsi="Arial"/>
          <w:sz w:val="22"/>
          <w:szCs w:val="22"/>
          <w:color w:val="auto"/>
        </w:rPr>
        <w:t>” means a Person that with or through any of its Affiliates or Associates has any agreement, arrangement, understanding or relationship for the purpose of acquiring,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 w:name="page19"/>
    <w:bookmarkEnd w:id="18"/>
    <w:p>
      <w:pPr>
        <w:spacing w:after="0" w:line="297" w:lineRule="auto"/>
        <w:rPr>
          <w:sz w:val="20"/>
          <w:szCs w:val="20"/>
          <w:color w:val="auto"/>
        </w:rPr>
      </w:pPr>
      <w:r>
        <w:rPr>
          <w:rFonts w:ascii="Arial" w:cs="Arial" w:eastAsia="Arial" w:hAnsi="Arial"/>
          <w:sz w:val="19"/>
          <w:szCs w:val="19"/>
          <w:color w:val="auto"/>
        </w:rPr>
        <w:t>holding, voting (except voting pursuant to a revocable proxy or consent given to such Person in response to a proxy or consent solicitation made to 10 or more Persons), exercising investment power over or disposing of any Partnership Interests with any other Person that beneficially owns, or whose Affiliates or Associates beneficially own, directly or indirectly, Partnership Interests.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w:t>
      </w:r>
      <w:r>
        <w:rPr>
          <w:rFonts w:ascii="Arial" w:cs="Arial" w:eastAsia="Arial" w:hAnsi="Arial"/>
          <w:sz w:val="22"/>
          <w:szCs w:val="22"/>
          <w:color w:val="auto"/>
        </w:rPr>
        <w:t>” means a member of the Partnership Group.</w:t>
      </w:r>
    </w:p>
    <w:p>
      <w:pPr>
        <w:spacing w:after="0" w:line="233" w:lineRule="exact"/>
        <w:rPr>
          <w:sz w:val="20"/>
          <w:szCs w:val="20"/>
          <w:color w:val="auto"/>
        </w:rPr>
      </w:pPr>
    </w:p>
    <w:p>
      <w:pPr>
        <w:ind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 Agreement</w:t>
      </w:r>
      <w:r>
        <w:rPr>
          <w:rFonts w:ascii="Arial" w:cs="Arial" w:eastAsia="Arial" w:hAnsi="Arial"/>
          <w:sz w:val="22"/>
          <w:szCs w:val="22"/>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218" w:lineRule="exact"/>
        <w:rPr>
          <w:sz w:val="20"/>
          <w:szCs w:val="20"/>
          <w:color w:val="auto"/>
        </w:rPr>
      </w:pPr>
    </w:p>
    <w:p>
      <w:pPr>
        <w:ind w:right="16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Hedge Contract</w:t>
      </w:r>
      <w:r>
        <w:rPr>
          <w:rFonts w:ascii="Arial" w:cs="Arial" w:eastAsia="Arial" w:hAnsi="Arial"/>
          <w:sz w:val="21"/>
          <w:szCs w:val="21"/>
          <w:color w:val="auto"/>
        </w:rPr>
        <w:t>” means any exchange, swap, forward, future, cap, floor, collar or other similar agreement or arrangement entered into for the purpose of hedging the Partnership Group’s exposure to fluctuations in the price of interest rates, currencies or commodities in their operations and not for speculative purposes.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ICE</w:t>
      </w:r>
      <w:r>
        <w:rPr>
          <w:rFonts w:ascii="Arial" w:cs="Arial" w:eastAsia="Arial" w:hAnsi="Arial"/>
          <w:sz w:val="22"/>
          <w:szCs w:val="22"/>
          <w:color w:val="auto"/>
        </w:rPr>
        <w:t>” means the ICE Benchmark Administration Limited.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IDR Reset Common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IDR Reset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IFRS</w:t>
      </w:r>
      <w:r>
        <w:rPr>
          <w:rFonts w:ascii="Arial" w:cs="Arial" w:eastAsia="Arial" w:hAnsi="Arial"/>
          <w:sz w:val="22"/>
          <w:szCs w:val="22"/>
          <w:color w:val="auto"/>
        </w:rPr>
        <w:t>” means the international financial reporting standards.</w:t>
      </w:r>
    </w:p>
    <w:p>
      <w:pPr>
        <w:spacing w:after="0" w:line="233"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Incentive Distribution Right</w:t>
      </w:r>
      <w:r>
        <w:rPr>
          <w:rFonts w:ascii="Arial" w:cs="Arial" w:eastAsia="Arial" w:hAnsi="Arial"/>
          <w:sz w:val="19"/>
          <w:szCs w:val="19"/>
          <w:color w:val="auto"/>
        </w:rPr>
        <w:t>” means a non-voting Limited Partner Interest, which Partnership Interest will confer upon the holder thereof only the rights and obligations 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 Incentive Distribution Right on any Partnership matter except as may otherwise be required by law.</w:t>
      </w:r>
    </w:p>
    <w:p>
      <w:pPr>
        <w:spacing w:after="0" w:line="175"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Distributions</w:t>
      </w:r>
      <w:r>
        <w:rPr>
          <w:rFonts w:ascii="Arial" w:cs="Arial" w:eastAsia="Arial" w:hAnsi="Arial"/>
          <w:sz w:val="22"/>
          <w:szCs w:val="22"/>
          <w:color w:val="auto"/>
        </w:rPr>
        <w:t xml:space="preserve">” means any amount of cash distributed to the holders of the Incentive Distribution Rights pursuant to </w:t>
      </w:r>
      <w:r>
        <w:rPr>
          <w:rFonts w:ascii="Arial" w:cs="Arial" w:eastAsia="Arial" w:hAnsi="Arial"/>
          <w:sz w:val="22"/>
          <w:szCs w:val="22"/>
          <w:u w:val="single" w:color="auto"/>
          <w:color w:val="auto"/>
        </w:rPr>
        <w:t>Section 6.3.</w:t>
      </w:r>
    </w:p>
    <w:p>
      <w:pPr>
        <w:spacing w:after="0" w:line="200"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Incremental Incentive Distributions</w:t>
      </w:r>
      <w:r>
        <w:rPr>
          <w:rFonts w:ascii="Arial" w:cs="Arial" w:eastAsia="Arial" w:hAnsi="Arial"/>
          <w:sz w:val="22"/>
          <w:szCs w:val="22"/>
          <w:color w:val="auto"/>
        </w:rPr>
        <w:t>” means, with respect to any newly issued equity securities of the Partnership, the incremental amount of any Incentive Distributions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 w:name="page20"/>
    <w:bookmarkEnd w:id="19"/>
    <w:p>
      <w:pPr>
        <w:spacing w:after="0"/>
        <w:rPr>
          <w:sz w:val="20"/>
          <w:szCs w:val="20"/>
          <w:color w:val="auto"/>
        </w:rPr>
      </w:pPr>
      <w:r>
        <w:rPr>
          <w:rFonts w:ascii="Arial" w:cs="Arial" w:eastAsia="Arial" w:hAnsi="Arial"/>
          <w:sz w:val="19"/>
          <w:szCs w:val="19"/>
          <w:color w:val="auto"/>
        </w:rPr>
        <w:t xml:space="preserve">payable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based solely upon the amount of distributions paid in respect of such newly issued equity securities.</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Indemnitee</w:t>
      </w:r>
      <w:r>
        <w:rPr>
          <w:rFonts w:ascii="Arial" w:cs="Arial" w:eastAsia="Arial" w:hAnsi="Arial"/>
          <w:sz w:val="21"/>
          <w:szCs w:val="21"/>
          <w:color w:val="auto"/>
        </w:rPr>
        <w:t>” means (a) the General Partner, (b) any Departing General Partner, (c) any Person who is or was an Affiliate of the General Partner or any Departing General Partner, (d) any Person who is or was a member, partner, director, officer, fiduciary or trustee of any Person which any of the preceding clauses of this definition describes, (e) any Person who is or was serving at the request of the General Partner or any Departing General Partner or any Affiliate of the General Partner or any Departing General Partner as an officer, director, member, partner, fiduciary or trustee of another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 Person shall not be an Indemnitee by reason of providing, on a fee-for-services basis, trustee, fiduciary or custodial services), (f) the members of the Board of Directors, (g) the Officers, and (h) any other Person the Board of Directors designates as an “</w:t>
      </w:r>
      <w:r>
        <w:rPr>
          <w:rFonts w:ascii="Arial" w:cs="Arial" w:eastAsia="Arial" w:hAnsi="Arial"/>
          <w:sz w:val="21"/>
          <w:szCs w:val="21"/>
          <w:i w:val="1"/>
          <w:iCs w:val="1"/>
          <w:color w:val="auto"/>
        </w:rPr>
        <w:t>Indemnitee</w:t>
      </w:r>
      <w:r>
        <w:rPr>
          <w:rFonts w:ascii="Arial" w:cs="Arial" w:eastAsia="Arial" w:hAnsi="Arial"/>
          <w:sz w:val="21"/>
          <w:szCs w:val="21"/>
          <w:color w:val="auto"/>
        </w:rPr>
        <w:t>” for purposes of this Agreement.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Common Units</w:t>
      </w:r>
      <w:r>
        <w:rPr>
          <w:rFonts w:ascii="Arial" w:cs="Arial" w:eastAsia="Arial" w:hAnsi="Arial"/>
          <w:sz w:val="22"/>
          <w:szCs w:val="22"/>
          <w:color w:val="auto"/>
        </w:rPr>
        <w:t>” means the Common Units sold in the Initial Offering.</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General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33"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Partners</w:t>
      </w:r>
      <w:r>
        <w:rPr>
          <w:rFonts w:ascii="Arial" w:cs="Arial" w:eastAsia="Arial" w:hAnsi="Arial"/>
          <w:sz w:val="22"/>
          <w:szCs w:val="22"/>
          <w:color w:val="auto"/>
        </w:rPr>
        <w:t xml:space="preserve">” means GasLog and the Underwriters, in each case upon being admitted as Partners to the Partnership in accordance with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0" w:lineRule="exact"/>
        <w:rPr>
          <w:sz w:val="20"/>
          <w:szCs w:val="20"/>
          <w:color w:val="auto"/>
        </w:rPr>
      </w:pPr>
    </w:p>
    <w:p>
      <w:pPr>
        <w:ind w:right="5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Offering</w:t>
      </w:r>
      <w:r>
        <w:rPr>
          <w:rFonts w:ascii="Arial" w:cs="Arial" w:eastAsia="Arial" w:hAnsi="Arial"/>
          <w:sz w:val="19"/>
          <w:szCs w:val="19"/>
          <w:color w:val="auto"/>
        </w:rPr>
        <w:t>” means the initial public offering and sale of Common Units to the public, as described in the Registration Statement, including any Common Units sold pursuant to the exercise of the Over-Allotment Option.</w:t>
      </w:r>
    </w:p>
    <w:p>
      <w:pPr>
        <w:spacing w:after="0" w:line="132"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Unit Price</w:t>
      </w:r>
      <w:r>
        <w:rPr>
          <w:rFonts w:ascii="Arial" w:cs="Arial" w:eastAsia="Arial" w:hAnsi="Arial"/>
          <w:sz w:val="19"/>
          <w:szCs w:val="19"/>
          <w:color w:val="auto"/>
        </w:rPr>
        <w:t>” means (a) with respect to the Common Units, the initial public offering price per Common Unit at which the Underwriters first offered the Common Units to the public for sale as set forth on the cover page of the prospectus included as part of the Registration Statement and first issued at or after the time the Registration Statement first became effective or (b) with respect to any other class or series of Units, the price per Unit at which such class or series of Units is initially sold by the Partnership, as determined by the Board of Directors, in each case adjusted as the Board of Directors determines to be appropriate to give effect to any distribution, subdivision or combination of Units.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Interim Capital Transactions</w:t>
      </w:r>
      <w:r>
        <w:rPr>
          <w:rFonts w:ascii="Arial" w:cs="Arial" w:eastAsia="Arial" w:hAnsi="Arial"/>
          <w:sz w:val="21"/>
          <w:szCs w:val="21"/>
          <w:color w:val="auto"/>
        </w:rPr>
        <w:t>” means the following transactions if they occur prior to the Liquidation Date:</w:t>
      </w:r>
    </w:p>
    <w:p>
      <w:pPr>
        <w:spacing w:after="0" w:line="20" w:lineRule="exact"/>
        <w:rPr>
          <w:sz w:val="20"/>
          <w:szCs w:val="20"/>
          <w:color w:val="auto"/>
        </w:rPr>
      </w:pPr>
    </w:p>
    <w:p>
      <w:pPr>
        <w:ind w:right="220" w:firstLine="8"/>
        <w:spacing w:after="0" w:line="275" w:lineRule="auto"/>
        <w:tabs>
          <w:tab w:leader="none" w:pos="294" w:val="left"/>
        </w:tabs>
        <w:numPr>
          <w:ilvl w:val="0"/>
          <w:numId w:val="5"/>
        </w:numPr>
        <w:rPr>
          <w:rFonts w:ascii="Arial" w:cs="Arial" w:eastAsia="Arial" w:hAnsi="Arial"/>
          <w:sz w:val="19"/>
          <w:szCs w:val="19"/>
          <w:color w:val="auto"/>
        </w:rPr>
      </w:pPr>
      <w:r>
        <w:rPr>
          <w:rFonts w:ascii="Arial" w:cs="Arial" w:eastAsia="Arial" w:hAnsi="Arial"/>
          <w:sz w:val="19"/>
          <w:szCs w:val="19"/>
          <w:color w:val="auto"/>
        </w:rPr>
        <w:t>borrowings, refinancings or refundings of indebtedness (other than Working Capital Borrowings and other than for items purchased on open account in the ordinary course of business) by any Group Member and sales of debt securities of any Group Member; (b) sales of equity interests of any Group Member (including the Common Units sold to the Underwriters in the Initial Offering or pursuant to the exercise of the Over-Allotment Option); (c) sales or other voluntary or involuntary dispositions of any assets of any Group Member (including assets acquired using Investment Capital Expenditures) other than (i) sales or other dispositions of inventory, accounts receivable and other assets in the ordinary course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 w:name="page21"/>
    <w:bookmarkEnd w:id="20"/>
    <w:p>
      <w:pPr>
        <w:ind w:right="740"/>
        <w:spacing w:after="0" w:line="251" w:lineRule="auto"/>
        <w:rPr>
          <w:sz w:val="20"/>
          <w:szCs w:val="20"/>
          <w:color w:val="auto"/>
        </w:rPr>
      </w:pPr>
      <w:r>
        <w:rPr>
          <w:rFonts w:ascii="Arial" w:cs="Arial" w:eastAsia="Arial" w:hAnsi="Arial"/>
          <w:sz w:val="22"/>
          <w:szCs w:val="22"/>
          <w:color w:val="auto"/>
        </w:rPr>
        <w:t>business and (ii) sales or other dispositions of assets as part of normal retirements or replacements; (d) capital contributions received; and (e) corporate reorganizations or restructurings.</w:t>
      </w:r>
    </w:p>
    <w:p>
      <w:pPr>
        <w:spacing w:after="0" w:line="200"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Investment Capital Expenditures</w:t>
      </w:r>
      <w:r>
        <w:rPr>
          <w:rFonts w:ascii="Arial" w:cs="Arial" w:eastAsia="Arial" w:hAnsi="Arial"/>
          <w:sz w:val="22"/>
          <w:szCs w:val="22"/>
          <w:color w:val="auto"/>
        </w:rPr>
        <w:t>” means capital expenditures other than Maintenance and Replacement Capital Expenditures and Expansion Capital Expenditures.</w:t>
      </w:r>
    </w:p>
    <w:p>
      <w:pPr>
        <w:spacing w:after="0" w:line="200"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Junior Securities</w:t>
      </w:r>
      <w:r>
        <w:rPr>
          <w:rFonts w:ascii="Arial" w:cs="Arial" w:eastAsia="Arial" w:hAnsi="Arial"/>
          <w:sz w:val="19"/>
          <w:szCs w:val="19"/>
          <w:color w:val="auto"/>
        </w:rPr>
        <w:t xml:space="preserve">” means: (i) the Common Units and (ii) any other class or series of Partnership Interests established after May 15, 2017 by the General Partner, the terms of which class or series do not expressly provide that it is made senior to or on parity with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70" w:lineRule="exact"/>
        <w:rPr>
          <w:sz w:val="20"/>
          <w:szCs w:val="20"/>
          <w:color w:val="auto"/>
        </w:rPr>
      </w:pPr>
    </w:p>
    <w:p>
      <w:pPr>
        <w:ind w:right="10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Limited Partner</w:t>
      </w:r>
      <w:r>
        <w:rPr>
          <w:rFonts w:ascii="Arial" w:cs="Arial" w:eastAsia="Arial" w:hAnsi="Arial"/>
          <w:sz w:val="19"/>
          <w:szCs w:val="19"/>
          <w:color w:val="auto"/>
        </w:rPr>
        <w:t xml:space="preserve">” means, unless the context otherwise requires, the Organizational Limited Partner, each Initial Limited Partner, each additional Person that becomes a Limited Partner pursuant to the terms of this Agreement and any Departing General Partner upon the change of its status from General Partner to Limited Partner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in each case, in such Person’s capacity as a limited partner of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when the term “</w:t>
      </w:r>
      <w:r>
        <w:rPr>
          <w:rFonts w:ascii="Arial" w:cs="Arial" w:eastAsia="Arial" w:hAnsi="Arial"/>
          <w:sz w:val="19"/>
          <w:szCs w:val="19"/>
          <w:i w:val="1"/>
          <w:iCs w:val="1"/>
          <w:color w:val="auto"/>
        </w:rPr>
        <w:t>Limited Partner</w:t>
      </w:r>
      <w:r>
        <w:rPr>
          <w:rFonts w:ascii="Arial" w:cs="Arial" w:eastAsia="Arial" w:hAnsi="Arial"/>
          <w:sz w:val="19"/>
          <w:szCs w:val="19"/>
          <w:color w:val="auto"/>
        </w:rPr>
        <w:t xml:space="preserve">” is used herein in the context of any vote or other approval, including </w:t>
      </w:r>
      <w:r>
        <w:rPr>
          <w:rFonts w:ascii="Arial" w:cs="Arial" w:eastAsia="Arial" w:hAnsi="Arial"/>
          <w:sz w:val="19"/>
          <w:szCs w:val="19"/>
          <w:u w:val="single" w:color="auto"/>
          <w:color w:val="auto"/>
        </w:rPr>
        <w:t>Articles XIII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XIV</w:t>
      </w:r>
      <w:r>
        <w:rPr>
          <w:rFonts w:ascii="Arial" w:cs="Arial" w:eastAsia="Arial" w:hAnsi="Arial"/>
          <w:sz w:val="19"/>
          <w:szCs w:val="19"/>
          <w:color w:val="auto"/>
        </w:rPr>
        <w:t>, such term shall not, solely for such purpose, include any holder of an Incentive Distribution Right (solely with respect to its Incentive Distribution Rights and not with respect to any other Limited Partner Interest held by such Person) except as may otherwise be required by law. Limited Partners may include custodians, nominees or any other individual or entity in its own or any representative capacity.</w:t>
      </w:r>
    </w:p>
    <w:p>
      <w:pPr>
        <w:spacing w:after="0" w:line="185" w:lineRule="exact"/>
        <w:rPr>
          <w:sz w:val="20"/>
          <w:szCs w:val="20"/>
          <w:color w:val="auto"/>
        </w:rPr>
      </w:pPr>
    </w:p>
    <w:p>
      <w:pPr>
        <w:ind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Limited Partner Interest</w:t>
      </w:r>
      <w:r>
        <w:rPr>
          <w:rFonts w:ascii="Arial" w:cs="Arial" w:eastAsia="Arial" w:hAnsi="Arial"/>
          <w:sz w:val="22"/>
          <w:szCs w:val="22"/>
          <w:color w:val="auto"/>
        </w:rPr>
        <w:t xml:space="preserve">” means the ownership interest of a Limited Partner in the Partnership, which may be evidenced by Common Units, Preference Units, Incentive Distribution Rights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the term “</w:t>
      </w:r>
      <w:r>
        <w:rPr>
          <w:rFonts w:ascii="Arial" w:cs="Arial" w:eastAsia="Arial" w:hAnsi="Arial"/>
          <w:sz w:val="22"/>
          <w:szCs w:val="22"/>
          <w:i w:val="1"/>
          <w:iCs w:val="1"/>
          <w:color w:val="auto"/>
        </w:rPr>
        <w:t>Limited Partner Interest</w:t>
      </w:r>
      <w:r>
        <w:rPr>
          <w:rFonts w:ascii="Arial" w:cs="Arial" w:eastAsia="Arial" w:hAnsi="Arial"/>
          <w:sz w:val="22"/>
          <w:szCs w:val="22"/>
          <w:color w:val="auto"/>
        </w:rPr>
        <w:t>” is used herein in the context of any vote or other approval, including</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Articles XIII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XIV</w:t>
      </w:r>
      <w:r>
        <w:rPr>
          <w:rFonts w:ascii="Arial" w:cs="Arial" w:eastAsia="Arial" w:hAnsi="Arial"/>
          <w:sz w:val="22"/>
          <w:szCs w:val="22"/>
          <w:color w:val="auto"/>
        </w:rPr>
        <w:t xml:space="preserve"> , such term shall not, solely for such purpose, include any Incentive Distribution Right except as may otherwise be required by law.</w:t>
      </w:r>
    </w:p>
    <w:p>
      <w:pPr>
        <w:spacing w:after="0" w:line="218" w:lineRule="exact"/>
        <w:rPr>
          <w:sz w:val="20"/>
          <w:szCs w:val="20"/>
          <w:color w:val="auto"/>
        </w:rPr>
      </w:pPr>
    </w:p>
    <w:p>
      <w:pPr>
        <w:ind w:right="6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Date</w:t>
      </w:r>
      <w:r>
        <w:rPr>
          <w:rFonts w:ascii="Arial" w:cs="Arial" w:eastAsia="Arial" w:hAnsi="Arial"/>
          <w:sz w:val="22"/>
          <w:szCs w:val="22"/>
          <w:color w:val="auto"/>
        </w:rPr>
        <w:t xml:space="preserve">” means (a) in the case of an event giving rise to the dissolution of the Partnership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first sentence of </w:t>
      </w:r>
      <w:r>
        <w:rPr>
          <w:rFonts w:ascii="Arial" w:cs="Arial" w:eastAsia="Arial" w:hAnsi="Arial"/>
          <w:sz w:val="22"/>
          <w:szCs w:val="22"/>
          <w:u w:val="single" w:color="auto"/>
          <w:color w:val="auto"/>
        </w:rPr>
        <w:t>Section 12.2</w:t>
      </w:r>
      <w:r>
        <w:rPr>
          <w:rFonts w:ascii="Arial" w:cs="Arial" w:eastAsia="Arial" w:hAnsi="Arial"/>
          <w:sz w:val="22"/>
          <w:szCs w:val="22"/>
          <w:color w:val="auto"/>
        </w:rPr>
        <w:t>,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215" w:lineRule="exact"/>
        <w:rPr>
          <w:sz w:val="20"/>
          <w:szCs w:val="20"/>
          <w:color w:val="auto"/>
        </w:rPr>
      </w:pPr>
    </w:p>
    <w:p>
      <w:pPr>
        <w:ind w:right="2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Event</w:t>
      </w:r>
      <w:r>
        <w:rPr>
          <w:rFonts w:ascii="Arial" w:cs="Arial" w:eastAsia="Arial" w:hAnsi="Arial"/>
          <w:sz w:val="22"/>
          <w:szCs w:val="22"/>
          <w:color w:val="auto"/>
        </w:rPr>
        <w:t xml:space="preserve">” means the occurrence of a dissolution or liquidation of the Partnership, whether voluntary or involuntary;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 Liquidation Event shall not precede the Liquidation Date. Neither the sale of all or substantially all of the property or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 w:name="page22"/>
    <w:bookmarkEnd w:id="21"/>
    <w:p>
      <w:pPr>
        <w:ind w:right="380"/>
        <w:spacing w:after="0" w:line="251" w:lineRule="auto"/>
        <w:rPr>
          <w:sz w:val="20"/>
          <w:szCs w:val="20"/>
          <w:color w:val="auto"/>
        </w:rPr>
      </w:pPr>
      <w:r>
        <w:rPr>
          <w:rFonts w:ascii="Arial" w:cs="Arial" w:eastAsia="Arial" w:hAnsi="Arial"/>
          <w:sz w:val="22"/>
          <w:szCs w:val="22"/>
          <w:color w:val="auto"/>
        </w:rPr>
        <w:t>business of the Partnership nor the consolidation or merger of the Partnership with or into any other Person, individually or in a series of transactions, shall be deemed a Liquidation Event.</w:t>
      </w:r>
    </w:p>
    <w:p>
      <w:pPr>
        <w:spacing w:after="0" w:line="200" w:lineRule="exact"/>
        <w:rPr>
          <w:sz w:val="20"/>
          <w:szCs w:val="20"/>
          <w:color w:val="auto"/>
        </w:rPr>
      </w:pPr>
    </w:p>
    <w:p>
      <w:pPr>
        <w:ind w:right="20"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Liquidation Preference</w:t>
      </w:r>
      <w:r>
        <w:rPr>
          <w:rFonts w:ascii="Arial" w:cs="Arial" w:eastAsia="Arial" w:hAnsi="Arial"/>
          <w:sz w:val="21"/>
          <w:szCs w:val="21"/>
          <w:color w:val="auto"/>
        </w:rPr>
        <w:t xml:space="preserve">” means, in connection with any distribution in connection with a Liquidation Event pursuant to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and with respect to any holder of any class or series of Partnership Interests, the amount otherwise payable to such holder in such distribution with respect to such class or series of Partnership Interests (assuming no limitation on the assets of the Partnership available for such distribution), including an amount equal to any accrued but unpaid distributions thereon to the date fixed for such payment, whether or not declared (if the terms of the applicable class or series of Partnership Interests so provide). For avoidance of doubt, for the foregoing purposes, the Series A Liquidation Preference is the Liquidation Preference with respect to the Series A Preference Units, the Series B Liquidation Preference is the Liquidation Preference with respect to the Series B Preference Units and the Series C Liquidation Preference is the Liquidation Preference with respect to the Series C Preference Units.</w:t>
      </w:r>
    </w:p>
    <w:p>
      <w:pPr>
        <w:spacing w:after="0" w:line="212" w:lineRule="exact"/>
        <w:rPr>
          <w:sz w:val="20"/>
          <w:szCs w:val="20"/>
          <w:color w:val="auto"/>
        </w:rPr>
      </w:pPr>
    </w:p>
    <w:p>
      <w:pPr>
        <w:ind w:right="5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Liquidating Trustee</w:t>
      </w:r>
      <w:r>
        <w:rPr>
          <w:rFonts w:ascii="Arial" w:cs="Arial" w:eastAsia="Arial" w:hAnsi="Arial"/>
          <w:sz w:val="22"/>
          <w:szCs w:val="22"/>
          <w:color w:val="auto"/>
        </w:rPr>
        <w:t xml:space="preserve">” means one or more Persons selected by the Board of Directors to perform the functions described in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200"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London Business Day</w:t>
      </w:r>
      <w:r>
        <w:rPr>
          <w:rFonts w:ascii="Arial" w:cs="Arial" w:eastAsia="Arial" w:hAnsi="Arial"/>
          <w:sz w:val="22"/>
          <w:szCs w:val="22"/>
          <w:color w:val="auto"/>
        </w:rPr>
        <w:t>” means any day on which dealings in deposits in U.S. dollars are transacted in the London interbank market.</w:t>
      </w:r>
    </w:p>
    <w:p>
      <w:pPr>
        <w:spacing w:after="0" w:line="200"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Maintenance and Replacement Capital Expenditures</w:t>
      </w:r>
      <w:r>
        <w:rPr>
          <w:rFonts w:ascii="Arial" w:cs="Arial" w:eastAsia="Arial" w:hAnsi="Arial"/>
          <w:sz w:val="19"/>
          <w:szCs w:val="19"/>
          <w:color w:val="auto"/>
        </w:rPr>
        <w:t>” means cash expenditures (including expenditures for the addition or improvement to, or the replacement of, the capital assets owned by any Group Member or for the acquisition of existing, or the construction of new, capital assets) if such expenditure is made to maintain, including over the long term, the operating capacity and/or asset base of the Partnership Group or the revenue generated by the vessels owned by the Partnership Group. Maintenance and Replacement Capital Expenditures shall not include Expansion Capital Expenditures or Investment Capital Expenditures. Maintenance and Replacement Capital Expenditures shall include interest payments (and related fees) on debt incurred and distributions on equity issued, in each case, to finance the acquisition or the construction of a replacement asset and paid in respect of the period beginning on the date that the Group Member enters into a binding obligation to acquire or construct a replacement asset and ending on the earlier to occur of the date that such replacement asset Commences Commercial Service or the date that such replacement asset is abandoned or disposed of. Debt incurred to pay or equity issued to fund the construction period interest payments, or such construction period distributions on equity shall also be deemed to be debt incurred or equity issued, as the case may be, to finance the construction of a replacement asset, and the Incremental Incentive Distributions paid in respect of such newly issued equity shall be deemed to be distributions paid on equity issued to finance the construction of a replacement asset.</w:t>
      </w:r>
    </w:p>
    <w:p>
      <w:pPr>
        <w:spacing w:after="0" w:line="200" w:lineRule="exact"/>
        <w:rPr>
          <w:sz w:val="20"/>
          <w:szCs w:val="20"/>
          <w:color w:val="auto"/>
        </w:rPr>
      </w:pPr>
    </w:p>
    <w:p>
      <w:pPr>
        <w:spacing w:after="0" w:line="239"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Marshall Islands Act</w:t>
      </w:r>
      <w:r>
        <w:rPr>
          <w:rFonts w:ascii="Arial" w:cs="Arial" w:eastAsia="Arial" w:hAnsi="Arial"/>
          <w:sz w:val="22"/>
          <w:szCs w:val="22"/>
          <w:color w:val="auto"/>
        </w:rPr>
        <w:t>” means the Limited Partnership Act of The Republic of the Marshall Islands, as amended, supplemented or restated from time to time, and any successor to such statute.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2" w:name="page23"/>
    <w:bookmarkEnd w:id="22"/>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Minimum Quarterly Distribution</w:t>
      </w:r>
      <w:r>
        <w:rPr>
          <w:rFonts w:ascii="Arial" w:cs="Arial" w:eastAsia="Arial" w:hAnsi="Arial"/>
          <w:sz w:val="19"/>
          <w:szCs w:val="19"/>
          <w:color w:val="auto"/>
        </w:rPr>
        <w:t xml:space="preserve">” means $0.375 per Common Unit per Quarter (or with respect to the period commencing on the Closing Date and ending on June 30, 2014, it means the product of $0.375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70" w:lineRule="exact"/>
        <w:rPr>
          <w:sz w:val="20"/>
          <w:szCs w:val="20"/>
          <w:color w:val="auto"/>
        </w:rPr>
      </w:pPr>
    </w:p>
    <w:p>
      <w:pPr>
        <w:ind w:right="52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National Securities Exchange</w:t>
      </w:r>
      <w:r>
        <w:rPr>
          <w:rFonts w:ascii="Arial" w:cs="Arial" w:eastAsia="Arial" w:hAnsi="Arial"/>
          <w:sz w:val="21"/>
          <w:szCs w:val="21"/>
          <w:color w:val="auto"/>
        </w:rPr>
        <w:t>” means an exchange registered with the Commission under Section 6(a) of the Exchange Act, supplemented or restated from time to time, and any successor to such statute.</w:t>
      </w:r>
    </w:p>
    <w:p>
      <w:pPr>
        <w:spacing w:after="0" w:line="178"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Agreed Value</w:t>
      </w:r>
      <w:r>
        <w:rPr>
          <w:rFonts w:ascii="Arial" w:cs="Arial" w:eastAsia="Arial" w:hAnsi="Arial"/>
          <w:sz w:val="19"/>
          <w:szCs w:val="19"/>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Election to Purchase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15.1(b)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7.8(a)</w:t>
      </w:r>
      <w:r>
        <w:rPr>
          <w:rFonts w:ascii="Arial" w:cs="Arial" w:eastAsia="Arial" w:hAnsi="Arial"/>
          <w:sz w:val="22"/>
          <w:szCs w:val="22"/>
          <w:color w:val="auto"/>
        </w:rPr>
        <w:t>.</w:t>
      </w:r>
    </w:p>
    <w:p>
      <w:pPr>
        <w:spacing w:after="0" w:line="233" w:lineRule="exact"/>
        <w:rPr>
          <w:sz w:val="20"/>
          <w:szCs w:val="20"/>
          <w:color w:val="auto"/>
        </w:rPr>
      </w:pPr>
    </w:p>
    <w:p>
      <w:pPr>
        <w:ind w:right="8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Omnibus Agreement</w:t>
      </w:r>
      <w:r>
        <w:rPr>
          <w:rFonts w:ascii="Arial" w:cs="Arial" w:eastAsia="Arial" w:hAnsi="Arial"/>
          <w:sz w:val="22"/>
          <w:szCs w:val="22"/>
          <w:color w:val="auto"/>
        </w:rPr>
        <w:t>” means that Omnibus Agreement, dated as of the Closing Date, among GasLog, the Partnership, the General Partner and the Operating Company.</w:t>
      </w:r>
    </w:p>
    <w:p>
      <w:pPr>
        <w:spacing w:after="0" w:line="200"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Company</w:t>
      </w:r>
      <w:r>
        <w:rPr>
          <w:rFonts w:ascii="Arial" w:cs="Arial" w:eastAsia="Arial" w:hAnsi="Arial"/>
          <w:sz w:val="22"/>
          <w:szCs w:val="22"/>
          <w:color w:val="auto"/>
        </w:rPr>
        <w:t>” means GasLog Partners Holdings LLC, a Marshall Islands limited liability company, and any successors thereto.</w:t>
      </w:r>
    </w:p>
    <w:p>
      <w:pPr>
        <w:spacing w:after="0" w:line="200" w:lineRule="exact"/>
        <w:rPr>
          <w:sz w:val="20"/>
          <w:szCs w:val="20"/>
          <w:color w:val="auto"/>
        </w:rPr>
      </w:pPr>
    </w:p>
    <w:p>
      <w:pPr>
        <w:ind w:right="120"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Operating Expenditures</w:t>
      </w:r>
      <w:r>
        <w:rPr>
          <w:rFonts w:ascii="Arial" w:cs="Arial" w:eastAsia="Arial" w:hAnsi="Arial"/>
          <w:sz w:val="21"/>
          <w:szCs w:val="21"/>
          <w:color w:val="auto"/>
        </w:rPr>
        <w:t>” means all Partnership Group cash expenditures (or the Partnership’s proportionate share of expenditures in the case of Subsidiaries that are not wholly-owned), including taxes, employee and director compensation, reimbursements of expenses of the General Partner, repayment of Working Capital Borrowings, debt service payments, capital expenditures, payments made in the ordinary course of business under any Hedge Contracts (</w:t>
      </w:r>
      <w:r>
        <w:rPr>
          <w:rFonts w:ascii="Arial" w:cs="Arial" w:eastAsia="Arial" w:hAnsi="Arial"/>
          <w:sz w:val="21"/>
          <w:szCs w:val="21"/>
          <w:i w:val="1"/>
          <w:iCs w:val="1"/>
          <w:color w:val="auto"/>
        </w:rPr>
        <w:t>provided</w:t>
      </w:r>
      <w:r>
        <w:rPr>
          <w:rFonts w:ascii="Arial" w:cs="Arial" w:eastAsia="Arial" w:hAnsi="Arial"/>
          <w:sz w:val="21"/>
          <w:szCs w:val="21"/>
          <w:color w:val="auto"/>
        </w:rPr>
        <w:t>, (i) with respect to amounts paid in connection with the initial purchase of any Hedge Contract, such amounts shall be amortized over the life of the Hedge Contract and (ii) that payments made in connection with the termination of any Hedge Contract prior to the expiration of its stipulated settlement or termination date shall be included in Operating Expenditures in equal quarterly installments over the remaining scheduled life of such Hedge Contract) and Series A Distributions, Series B Distributions and Series C Distributions, subject to the following:</w:t>
      </w:r>
    </w:p>
    <w:p>
      <w:pPr>
        <w:spacing w:after="0" w:line="212" w:lineRule="exact"/>
        <w:rPr>
          <w:sz w:val="20"/>
          <w:szCs w:val="20"/>
          <w:color w:val="auto"/>
        </w:rPr>
      </w:pPr>
    </w:p>
    <w:p>
      <w:pPr>
        <w:ind w:left="1600" w:hanging="295"/>
        <w:spacing w:after="0"/>
        <w:tabs>
          <w:tab w:leader="none" w:pos="1600" w:val="left"/>
        </w:tabs>
        <w:numPr>
          <w:ilvl w:val="1"/>
          <w:numId w:val="6"/>
        </w:numPr>
        <w:rPr>
          <w:rFonts w:ascii="Arial" w:cs="Arial" w:eastAsia="Arial" w:hAnsi="Arial"/>
          <w:sz w:val="19"/>
          <w:szCs w:val="19"/>
          <w:color w:val="auto"/>
        </w:rPr>
      </w:pPr>
      <w:r>
        <w:rPr>
          <w:rFonts w:ascii="Arial" w:cs="Arial" w:eastAsia="Arial" w:hAnsi="Arial"/>
          <w:sz w:val="19"/>
          <w:szCs w:val="19"/>
          <w:color w:val="auto"/>
        </w:rPr>
        <w:t xml:space="preserve">deemed repayments of Working Capital Borrowings deducted from Operating Surplus pursuant to </w:t>
      </w:r>
      <w:r>
        <w:rPr>
          <w:rFonts w:ascii="Arial" w:cs="Arial" w:eastAsia="Arial" w:hAnsi="Arial"/>
          <w:sz w:val="19"/>
          <w:szCs w:val="19"/>
          <w:u w:val="single" w:color="auto"/>
          <w:color w:val="auto"/>
        </w:rPr>
        <w:t>clause (b)</w:t>
      </w:r>
    </w:p>
    <w:p>
      <w:pPr>
        <w:spacing w:after="0" w:line="42" w:lineRule="exact"/>
        <w:rPr>
          <w:rFonts w:ascii="Arial" w:cs="Arial" w:eastAsia="Arial" w:hAnsi="Arial"/>
          <w:sz w:val="19"/>
          <w:szCs w:val="19"/>
          <w:color w:val="auto"/>
        </w:rPr>
      </w:pPr>
    </w:p>
    <w:p>
      <w:pPr>
        <w:ind w:left="1040" w:hanging="384"/>
        <w:spacing w:after="0"/>
        <w:tabs>
          <w:tab w:leader="none" w:pos="1040" w:val="left"/>
        </w:tabs>
        <w:numPr>
          <w:ilvl w:val="0"/>
          <w:numId w:val="7"/>
        </w:numPr>
        <w:rPr>
          <w:rFonts w:ascii="Arial" w:cs="Arial" w:eastAsia="Arial" w:hAnsi="Arial"/>
          <w:sz w:val="22"/>
          <w:szCs w:val="22"/>
          <w:u w:val="single" w:color="auto"/>
          <w:color w:val="auto"/>
        </w:rPr>
      </w:pPr>
      <w:r>
        <w:rPr>
          <w:rFonts w:ascii="Arial" w:cs="Arial" w:eastAsia="Arial" w:hAnsi="Arial"/>
          <w:sz w:val="22"/>
          <w:szCs w:val="22"/>
          <w:color w:val="auto"/>
        </w:rPr>
        <w:t>of the definition of Operating Surplus shall not constitute Operating Expenditures when actually repaid;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 w:name="page24"/>
    <w:bookmarkEnd w:id="23"/>
    <w:p>
      <w:pPr>
        <w:ind w:left="660" w:right="120" w:firstLine="645"/>
        <w:spacing w:after="0" w:line="251" w:lineRule="auto"/>
        <w:tabs>
          <w:tab w:leader="none" w:pos="1614" w:val="left"/>
        </w:tabs>
        <w:numPr>
          <w:ilvl w:val="1"/>
          <w:numId w:val="8"/>
        </w:numPr>
        <w:rPr>
          <w:rFonts w:ascii="Arial" w:cs="Arial" w:eastAsia="Arial" w:hAnsi="Arial"/>
          <w:sz w:val="22"/>
          <w:szCs w:val="22"/>
          <w:color w:val="auto"/>
        </w:rPr>
      </w:pPr>
      <w:r>
        <w:rPr>
          <w:rFonts w:ascii="Arial" w:cs="Arial" w:eastAsia="Arial" w:hAnsi="Arial"/>
          <w:sz w:val="22"/>
          <w:szCs w:val="22"/>
          <w:color w:val="auto"/>
        </w:rPr>
        <w:t>payments (including prepayments and prepayment penalties) of principal of and premium on indebtedness other than Working Capital Borrowings shall not constitute Operating Expenditures; and</w:t>
      </w:r>
    </w:p>
    <w:p>
      <w:pPr>
        <w:spacing w:after="0" w:line="200" w:lineRule="exact"/>
        <w:rPr>
          <w:rFonts w:ascii="Arial" w:cs="Arial" w:eastAsia="Arial" w:hAnsi="Arial"/>
          <w:sz w:val="22"/>
          <w:szCs w:val="22"/>
          <w:color w:val="auto"/>
        </w:rPr>
      </w:pPr>
    </w:p>
    <w:p>
      <w:pPr>
        <w:ind w:left="660" w:firstLine="645"/>
        <w:spacing w:after="0" w:line="273" w:lineRule="auto"/>
        <w:tabs>
          <w:tab w:leader="none" w:pos="1602" w:val="left"/>
        </w:tabs>
        <w:numPr>
          <w:ilvl w:val="1"/>
          <w:numId w:val="8"/>
        </w:numPr>
        <w:rPr>
          <w:rFonts w:ascii="Arial" w:cs="Arial" w:eastAsia="Arial" w:hAnsi="Arial"/>
          <w:sz w:val="19"/>
          <w:szCs w:val="19"/>
          <w:color w:val="auto"/>
        </w:rPr>
      </w:pPr>
      <w:r>
        <w:rPr>
          <w:rFonts w:ascii="Arial" w:cs="Arial" w:eastAsia="Arial" w:hAnsi="Arial"/>
          <w:sz w:val="19"/>
          <w:szCs w:val="19"/>
          <w:color w:val="auto"/>
        </w:rPr>
        <w:t>Operating Expenditures shall not include (i) Expansion Capital Expenditures, Investment Capital Expenditures or actual Maintenance and Replacement Capital Expenditures, but shall include Estimated Maintenance and Replacement Capital Expenditures, (ii) payment of transaction expenses (including taxes) relating to Interim Capital Transactions,</w:t>
      </w:r>
    </w:p>
    <w:p>
      <w:pPr>
        <w:spacing w:after="0" w:line="1" w:lineRule="exact"/>
        <w:rPr>
          <w:rFonts w:ascii="Arial" w:cs="Arial" w:eastAsia="Arial" w:hAnsi="Arial"/>
          <w:sz w:val="19"/>
          <w:szCs w:val="19"/>
          <w:color w:val="auto"/>
        </w:rPr>
      </w:pPr>
    </w:p>
    <w:p>
      <w:pPr>
        <w:ind w:left="660" w:right="500" w:hanging="4"/>
        <w:spacing w:after="0" w:line="267" w:lineRule="auto"/>
        <w:tabs>
          <w:tab w:leader="none" w:pos="1038" w:val="left"/>
        </w:tabs>
        <w:numPr>
          <w:ilvl w:val="0"/>
          <w:numId w:val="9"/>
        </w:numPr>
        <w:rPr>
          <w:rFonts w:ascii="Arial" w:cs="Arial" w:eastAsia="Arial" w:hAnsi="Arial"/>
          <w:sz w:val="19"/>
          <w:szCs w:val="19"/>
          <w:color w:val="auto"/>
        </w:rPr>
      </w:pPr>
      <w:r>
        <w:rPr>
          <w:rFonts w:ascii="Arial" w:cs="Arial" w:eastAsia="Arial" w:hAnsi="Arial"/>
          <w:sz w:val="19"/>
          <w:szCs w:val="19"/>
          <w:color w:val="auto"/>
        </w:rPr>
        <w:t>Series A Redemption Payments, Series B Redemption Payments or Series C Redemption Payments, (iv) payments made to Series A Holders, Series B Holders or Series C Holders to purchase or otherwise acquire Preference Units, or</w:t>
      </w:r>
    </w:p>
    <w:p>
      <w:pPr>
        <w:ind w:left="960" w:hanging="304"/>
        <w:spacing w:after="0"/>
        <w:tabs>
          <w:tab w:leader="none" w:pos="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distributions to Partners,</w:t>
      </w:r>
    </w:p>
    <w:p>
      <w:pPr>
        <w:spacing w:after="0" w:line="215"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where capital expenditures consist of both (y) Maintenance and Replacement Capital Expenditures and (z) Expansion Capital Expenditures and/or Investment Capital Expenditures, the Board of Directors (with the concurrence of the Conflicts Committee) shall determine the allocation between the amounts paid for each.</w:t>
      </w:r>
    </w:p>
    <w:p>
      <w:pPr>
        <w:spacing w:after="0" w:line="21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Surplus</w:t>
      </w:r>
      <w:r>
        <w:rPr>
          <w:rFonts w:ascii="Arial" w:cs="Arial" w:eastAsia="Arial" w:hAnsi="Arial"/>
          <w:sz w:val="22"/>
          <w:szCs w:val="22"/>
          <w:color w:val="auto"/>
        </w:rPr>
        <w:t>” means, with respect to any period ending prior to the Liquidation Date, on a cumulative basis and without duplication:</w:t>
      </w:r>
    </w:p>
    <w:p>
      <w:pPr>
        <w:spacing w:after="0" w:line="200" w:lineRule="exact"/>
        <w:rPr>
          <w:sz w:val="20"/>
          <w:szCs w:val="20"/>
          <w:color w:val="auto"/>
        </w:rPr>
      </w:pPr>
    </w:p>
    <w:p>
      <w:pPr>
        <w:ind w:left="660" w:right="20" w:firstLine="645"/>
        <w:spacing w:after="0" w:line="270" w:lineRule="auto"/>
        <w:tabs>
          <w:tab w:leader="none" w:pos="1602"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the sum of (i) $19.0 million, (ii) all cash receipts of the Partnership Group (or the Partnership’s proportionate share of cash receipts in the case of Subsidiaries that are not wholly-owned) for the period beginning on the Closing Date and ending on the last day of such period, other than cash receipts from Interim Capital Transactions (excluding return on capital from Investment Capital Expenditures);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cash receipts from the termination of a Hedge Contract prior to its specified termination date shall be included in Operating Surplus in equal quarterly installments over the remaining scheduled life of such Hedge Contract, (iii) all cash receipts of the Partnership Group (or the Partnership’s proportionate share of cash receipts in the case of Subsidiaries that are not wholly-owned) after the end of such period but on or before the date of determination of Operating Surplus with respect to such period resulting from Working Capital Borrowings and (iv) the amount of cash distributions paid on equity issued (including Incremental Incentive Distributions) in connection with the construction of a Capital Improvement or replacement of a capital asset and paid in respect of the period beginning on the date that the Group Member enters into a binding obligation to commence the construction of such Capital Improvement or replacement of such capital asset and ending on the earlier to occur of the date that such Capital Improvement or replacement capital asset Commences Commercial Service or the date that it is abandoned or disposed of (equity issued to fund the construction period interest payments on debt incurred (including periodic net payments under related Hedge Contracts), or construction period distributions on equity issued (including Incremental Incentive Distributions), to finance the construction of a Capital Improvement or replacement of a capital asset shall also be deemed to be equity issued to finance the construction of a Capital Improvement or replacement of such capital asset for purposes of this </w:t>
      </w:r>
      <w:r>
        <w:rPr>
          <w:rFonts w:ascii="Arial" w:cs="Arial" w:eastAsia="Arial" w:hAnsi="Arial"/>
          <w:sz w:val="19"/>
          <w:szCs w:val="19"/>
          <w:u w:val="single" w:color="auto"/>
          <w:color w:val="auto"/>
        </w:rPr>
        <w:t>clause (iv)</w:t>
      </w:r>
      <w:r>
        <w:rPr>
          <w:rFonts w:ascii="Arial" w:cs="Arial" w:eastAsia="Arial" w:hAnsi="Arial"/>
          <w:sz w:val="19"/>
          <w:szCs w:val="19"/>
          <w:color w:val="auto"/>
        </w:rPr>
        <w:t>), less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 w:name="page25"/>
    <w:bookmarkEnd w:id="24"/>
    <w:p>
      <w:pPr>
        <w:ind w:left="660" w:firstLine="645"/>
        <w:spacing w:after="0" w:line="274" w:lineRule="auto"/>
        <w:tabs>
          <w:tab w:leader="none" w:pos="1614"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sum of (i) Operating Expenditures for the period beginning immediately after the Closing Date and ending on the last day of such period, (ii) the amount of cash reserves (or the Partnership’s proportionate share of cash reserves in the case of Subsidiaries that are not wholly-owned) established by the Board of Directors to provide funds for future Operating Expenditures, (iii) all Working Capital Borrowings not repaid within 12 months after having been incurred and (iv) any cash loss realized on disposition of an Investment Capital Expenditure;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Board of Directors so determines.</w:t>
      </w:r>
    </w:p>
    <w:p>
      <w:pPr>
        <w:spacing w:after="0" w:line="186" w:lineRule="exact"/>
        <w:rPr>
          <w:sz w:val="20"/>
          <w:szCs w:val="20"/>
          <w:color w:val="auto"/>
        </w:rPr>
      </w:pPr>
    </w:p>
    <w:p>
      <w:pPr>
        <w:ind w:right="260" w:firstLine="1297"/>
        <w:spacing w:after="0" w:line="297" w:lineRule="auto"/>
        <w:rPr>
          <w:sz w:val="20"/>
          <w:szCs w:val="20"/>
          <w:color w:val="auto"/>
        </w:rPr>
      </w:pPr>
      <w:r>
        <w:rPr>
          <w:rFonts w:ascii="Arial" w:cs="Arial" w:eastAsia="Arial" w:hAnsi="Arial"/>
          <w:sz w:val="19"/>
          <w:szCs w:val="19"/>
          <w:color w:val="auto"/>
        </w:rPr>
        <w:t>Notwithstanding the foregoing, “</w:t>
      </w:r>
      <w:r>
        <w:rPr>
          <w:rFonts w:ascii="Arial" w:cs="Arial" w:eastAsia="Arial" w:hAnsi="Arial"/>
          <w:sz w:val="19"/>
          <w:szCs w:val="19"/>
          <w:i w:val="1"/>
          <w:iCs w:val="1"/>
          <w:color w:val="auto"/>
        </w:rPr>
        <w:t>Operating Surplus</w:t>
      </w:r>
      <w:r>
        <w:rPr>
          <w:rFonts w:ascii="Arial" w:cs="Arial" w:eastAsia="Arial" w:hAnsi="Arial"/>
          <w:sz w:val="19"/>
          <w:szCs w:val="19"/>
          <w:color w:val="auto"/>
        </w:rPr>
        <w:t>” with respect to the Quarter in which the Liquidation Date occurs and any subsequent Quarter shall equal zero. Cash receipts from Investment Capital Expenditures shall be treated as cash receipts only to the extent they are a return on capital, but in no event shall a return of capital be treated as cash receipts.</w:t>
      </w:r>
    </w:p>
    <w:p>
      <w:pPr>
        <w:spacing w:after="0" w:line="161"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Opinion of Counsel</w:t>
      </w:r>
      <w:r>
        <w:rPr>
          <w:rFonts w:ascii="Arial" w:cs="Arial" w:eastAsia="Arial" w:hAnsi="Arial"/>
          <w:sz w:val="22"/>
          <w:szCs w:val="22"/>
          <w:color w:val="auto"/>
        </w:rPr>
        <w:t>” means a written opinion of counsel (who may be regular counsel to the Partnership or the General Partner or any of its Affiliates) acceptable to the Board of Directors.</w:t>
      </w:r>
    </w:p>
    <w:p>
      <w:pPr>
        <w:spacing w:after="0" w:line="200" w:lineRule="exact"/>
        <w:rPr>
          <w:sz w:val="20"/>
          <w:szCs w:val="20"/>
          <w:color w:val="auto"/>
        </w:rPr>
      </w:pPr>
    </w:p>
    <w:p>
      <w:pPr>
        <w:ind w:right="5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Closing Date</w:t>
      </w:r>
      <w:r>
        <w:rPr>
          <w:rFonts w:ascii="Arial" w:cs="Arial" w:eastAsia="Arial" w:hAnsi="Arial"/>
          <w:sz w:val="22"/>
          <w:szCs w:val="22"/>
          <w:color w:val="auto"/>
        </w:rPr>
        <w:t>” means the date or dates on which any Common Units are sold by the Partnership to the Underwriters upon the exercise of the Over-Allotment Option.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Limited Partner</w:t>
      </w:r>
      <w:r>
        <w:rPr>
          <w:rFonts w:ascii="Arial" w:cs="Arial" w:eastAsia="Arial" w:hAnsi="Arial"/>
          <w:sz w:val="19"/>
          <w:szCs w:val="19"/>
          <w:color w:val="auto"/>
        </w:rPr>
        <w:t>” means GasLog Ltd., in its capacity as the organizational limited partner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Partnership.</w:t>
      </w:r>
    </w:p>
    <w:p>
      <w:pPr>
        <w:spacing w:after="0" w:line="215" w:lineRule="exact"/>
        <w:rPr>
          <w:sz w:val="20"/>
          <w:szCs w:val="20"/>
          <w:color w:val="auto"/>
        </w:rPr>
      </w:pPr>
    </w:p>
    <w:p>
      <w:pPr>
        <w:ind w:right="60"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at any time any Person or Group beneficially owns more than 4.9% of the Outstanding Partnership Interests of any class or series then Outstanding (or would own such percentage in the event this limitation were applied to other Persons or Groups), all Partnership Interests owned by such Person or Group in excess of such limitation shall not be voted on any matter and shall not be considered to be Outstanding when sending notices of a meeting of Limited Partners to vote on any matter (unless otherwise required by law), calculating required votes (except for purposes of nominating a Person for election to the Board of Directors pursuant to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determining the presence of a quorum or for other similar purposes under this Agreement, except that Partnership Interests so owned shall be considered to be Outstanding for purposes of </w:t>
      </w:r>
      <w:r>
        <w:rPr>
          <w:rFonts w:ascii="Arial" w:cs="Arial" w:eastAsia="Arial" w:hAnsi="Arial"/>
          <w:sz w:val="19"/>
          <w:szCs w:val="19"/>
          <w:u w:val="single" w:color="auto"/>
          <w:color w:val="auto"/>
        </w:rPr>
        <w:t>Section 11.1(b)(iv)</w:t>
      </w:r>
      <w:r>
        <w:rPr>
          <w:rFonts w:ascii="Arial" w:cs="Arial" w:eastAsia="Arial" w:hAnsi="Arial"/>
          <w:sz w:val="19"/>
          <w:szCs w:val="19"/>
          <w:color w:val="auto"/>
        </w:rPr>
        <w:t xml:space="preserve"> (such Partnership Interests shall not, however, be treated as a separate class or series of Partnership Interests for purposes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foregoing limitation shall not apply to (a) the General Partner or its Affiliates, (b) any Person or Group who</w:t>
      </w:r>
      <w:r>
        <w:rPr>
          <w:rFonts w:ascii="Arial" w:cs="Arial" w:eastAsia="Arial" w:hAnsi="Arial"/>
          <w:sz w:val="19"/>
          <w:szCs w:val="19"/>
          <w:i w:val="1"/>
          <w:iCs w:val="1"/>
          <w:color w:val="auto"/>
        </w:rPr>
        <w:t xml:space="preserve"> </w:t>
      </w:r>
      <w:r>
        <w:rPr>
          <w:rFonts w:ascii="Arial" w:cs="Arial" w:eastAsia="Arial" w:hAnsi="Arial"/>
          <w:sz w:val="19"/>
          <w:szCs w:val="19"/>
          <w:color w:val="auto"/>
        </w:rPr>
        <w:t>acquired more than 4.9% of any Partnership Interests with the prior approval of the Board of Directors after considering the potential effects of such approval on the Partnership, except, in each case, such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 w:name="page26"/>
    <w:bookmarkEnd w:id="25"/>
    <w:p>
      <w:pPr>
        <w:ind w:right="180"/>
        <w:spacing w:after="0" w:line="251" w:lineRule="auto"/>
        <w:rPr>
          <w:sz w:val="20"/>
          <w:szCs w:val="20"/>
          <w:color w:val="auto"/>
        </w:rPr>
      </w:pPr>
      <w:r>
        <w:rPr>
          <w:rFonts w:ascii="Arial" w:cs="Arial" w:eastAsia="Arial" w:hAnsi="Arial"/>
          <w:sz w:val="22"/>
          <w:szCs w:val="22"/>
          <w:color w:val="auto"/>
        </w:rPr>
        <w:t xml:space="preserve">limitation shall remain applicable with respect to the voting of Common Units in the election of the Elected Directors as provided in </w:t>
      </w:r>
      <w:r>
        <w:rPr>
          <w:rFonts w:ascii="Arial" w:cs="Arial" w:eastAsia="Arial" w:hAnsi="Arial"/>
          <w:sz w:val="22"/>
          <w:szCs w:val="22"/>
          <w:u w:val="single" w:color="auto"/>
          <w:color w:val="auto"/>
        </w:rPr>
        <w:t>Section 7.2(a)(ii)</w:t>
      </w:r>
      <w:r>
        <w:rPr>
          <w:rFonts w:ascii="Arial" w:cs="Arial" w:eastAsia="Arial" w:hAnsi="Arial"/>
          <w:sz w:val="22"/>
          <w:szCs w:val="22"/>
          <w:color w:val="auto"/>
        </w:rPr>
        <w:t>, or (c) with respect to any voting rights thereof, Preference Units.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Over-Allotment Option</w:t>
      </w:r>
      <w:r>
        <w:rPr>
          <w:rFonts w:ascii="Arial" w:cs="Arial" w:eastAsia="Arial" w:hAnsi="Arial"/>
          <w:sz w:val="19"/>
          <w:szCs w:val="19"/>
          <w:color w:val="auto"/>
        </w:rPr>
        <w:t>” means the over-allotment option granted to the Underwriters pursuant to the Underwriting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Parity Securities</w:t>
      </w:r>
      <w:r>
        <w:rPr>
          <w:rFonts w:ascii="Arial" w:cs="Arial" w:eastAsia="Arial" w:hAnsi="Arial"/>
          <w:sz w:val="19"/>
          <w:szCs w:val="19"/>
          <w:color w:val="auto"/>
        </w:rPr>
        <w:t xml:space="preserve">” means the Series A Preference Units, the Series B Preference Units, the Series C Preference Units and any other class or series of Partnership Interests established after May 15, 2017 by the General Partner, the terms of which class or series expressly provide that it ranks on parity with the Series A Preference Units, the Series B Preference Units and the Series C Preference Units as to distributions and amounts payable upon a dissolution or liquidation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w:t>
      </w:r>
      <w:r>
        <w:rPr>
          <w:rFonts w:ascii="Arial" w:cs="Arial" w:eastAsia="Arial" w:hAnsi="Arial"/>
          <w:sz w:val="22"/>
          <w:szCs w:val="22"/>
          <w:color w:val="auto"/>
        </w:rPr>
        <w:t>” means the General Partner and the Limited Partners.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means GasLog Partners LP, a Marshall Islands limited partnership, and any successors thereto.</w:t>
      </w:r>
    </w:p>
    <w:p>
      <w:pPr>
        <w:spacing w:after="0" w:line="268"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Group</w:t>
      </w:r>
      <w:r>
        <w:rPr>
          <w:rFonts w:ascii="Arial" w:cs="Arial" w:eastAsia="Arial" w:hAnsi="Arial"/>
          <w:sz w:val="22"/>
          <w:szCs w:val="22"/>
          <w:color w:val="auto"/>
        </w:rPr>
        <w:t>” means the Partnership and its Subsidiaries, including the Operating Company, treated as a single consolidated entity.</w:t>
      </w:r>
    </w:p>
    <w:p>
      <w:pPr>
        <w:spacing w:after="0" w:line="200"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Interest</w:t>
      </w:r>
      <w:r>
        <w:rPr>
          <w:rFonts w:ascii="Arial" w:cs="Arial" w:eastAsia="Arial" w:hAnsi="Arial"/>
          <w:sz w:val="22"/>
          <w:szCs w:val="22"/>
          <w:color w:val="auto"/>
        </w:rPr>
        <w:t>” means any class or series of equity interest in the Partnership (but excluding any options, rights, warrants, restricted units and appreciation rights relating to an equity interest in the Partnership), including Common Units, Preference Units, General Partner Units and Incentive Distribution Rights.</w:t>
      </w:r>
    </w:p>
    <w:p>
      <w:pPr>
        <w:spacing w:after="0" w:line="213" w:lineRule="exact"/>
        <w:rPr>
          <w:sz w:val="20"/>
          <w:szCs w:val="20"/>
          <w:color w:val="auto"/>
        </w:rPr>
      </w:pPr>
    </w:p>
    <w:p>
      <w:pPr>
        <w:ind w:right="1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Paying Agent</w:t>
      </w:r>
      <w:r>
        <w:rPr>
          <w:rFonts w:ascii="Arial" w:cs="Arial" w:eastAsia="Arial" w:hAnsi="Arial"/>
          <w:sz w:val="22"/>
          <w:szCs w:val="22"/>
          <w:color w:val="auto"/>
        </w:rPr>
        <w:t xml:space="preserve">” means American Stock Transfer &amp; Trust Company, LLC, acting in its capacity as paying agent for the Series A Preference Units, the Series B Preference Units and the Series C Preference Units, and its respective successors and assigns or any other payment agent appointed by the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Paying Agent is specifically designated for the Series A Preference Units, the Series B Preference Units or the Series C Preference Units, the Partnership shall act in such capacity.</w:t>
      </w:r>
    </w:p>
    <w:p>
      <w:pPr>
        <w:spacing w:after="0" w:line="215" w:lineRule="exact"/>
        <w:rPr>
          <w:sz w:val="20"/>
          <w:szCs w:val="20"/>
          <w:color w:val="auto"/>
        </w:rPr>
      </w:pPr>
    </w:p>
    <w:p>
      <w:pPr>
        <w:ind w:right="28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Percentage Interest</w:t>
      </w:r>
      <w:r>
        <w:rPr>
          <w:rFonts w:ascii="Arial" w:cs="Arial" w:eastAsia="Arial" w:hAnsi="Arial"/>
          <w:sz w:val="19"/>
          <w:szCs w:val="19"/>
          <w:color w:val="auto"/>
        </w:rPr>
        <w:t>” means as of any date of determination (a) as to the General Partner with respect to General Partner Units and as to any Unitholder with respect to Units (other than Preference Units), the product obtained by multiplying</w:t>
      </w:r>
    </w:p>
    <w:p>
      <w:pPr>
        <w:spacing w:after="0" w:line="2" w:lineRule="exact"/>
        <w:rPr>
          <w:sz w:val="20"/>
          <w:szCs w:val="20"/>
          <w:color w:val="auto"/>
        </w:rPr>
      </w:pPr>
    </w:p>
    <w:p>
      <w:pPr>
        <w:ind w:firstLine="8"/>
        <w:spacing w:after="0" w:line="232" w:lineRule="auto"/>
        <w:tabs>
          <w:tab w:leader="none" w:pos="258"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100% less the percentage applicable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below by (ii) the quotient obtained by dividing (A) the number of Units (other than Preference Units) held by such Unitholder or the number of General Partner Units held by the General Partner, as the case may be, by (B) the total number of all Outstanding Units (other than Preference Units) and General Partner Units, and (b) as to the holders of other Partnership Interests issued by the Partnership in accordance with </w:t>
      </w:r>
      <w:r>
        <w:rPr>
          <w:rFonts w:ascii="Arial" w:cs="Arial" w:eastAsia="Arial" w:hAnsi="Arial"/>
          <w:sz w:val="22"/>
          <w:szCs w:val="22"/>
          <w:u w:val="single" w:color="auto"/>
          <w:color w:val="auto"/>
        </w:rPr>
        <w:t>Section 5.4</w:t>
      </w:r>
      <w:r>
        <w:rPr>
          <w:rFonts w:ascii="Arial" w:cs="Arial" w:eastAsia="Arial" w:hAnsi="Arial"/>
          <w:sz w:val="22"/>
          <w:szCs w:val="22"/>
          <w:color w:val="auto"/>
        </w:rPr>
        <w:t>, the percentage established as a part of such issuance. The Percentage Interest with respect to an Incentive Distribution Right and to a Preference Unit shall at all times be zero.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6" w:name="page27"/>
    <w:bookmarkEnd w:id="26"/>
    <w:p>
      <w:pPr>
        <w:ind w:right="48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 individual or a corporation, firm, limited liability company, partnership, joint venture, trust, unincorporated organization, association, governmental agency or political subdivision thereof or other entity.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Conversion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33" w:lineRule="exact"/>
        <w:rPr>
          <w:sz w:val="20"/>
          <w:szCs w:val="20"/>
          <w:color w:val="auto"/>
        </w:rPr>
      </w:pPr>
    </w:p>
    <w:p>
      <w:pPr>
        <w:ind w:right="116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Distributions” </w:t>
      </w:r>
      <w:r>
        <w:rPr>
          <w:rFonts w:ascii="Arial" w:cs="Arial" w:eastAsia="Arial" w:hAnsi="Arial"/>
          <w:sz w:val="22"/>
          <w:szCs w:val="22"/>
          <w:color w:val="auto"/>
        </w:rPr>
        <w:t>means the Series A Distributions, the Series B Distributions or the Series 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Distributions, as applicable.</w:t>
      </w:r>
    </w:p>
    <w:p>
      <w:pPr>
        <w:spacing w:after="0" w:line="200"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 Payment Date” </w:t>
      </w:r>
      <w:r>
        <w:rPr>
          <w:rFonts w:ascii="Arial" w:cs="Arial" w:eastAsia="Arial" w:hAnsi="Arial"/>
          <w:sz w:val="22"/>
          <w:szCs w:val="22"/>
          <w:color w:val="auto"/>
        </w:rPr>
        <w:t>means the Series A Distribution Payment Date, the Series B Distribution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Payment Date or the Series C Distribution Payment Date, as applicable.</w:t>
      </w:r>
    </w:p>
    <w:p>
      <w:pPr>
        <w:spacing w:after="0" w:line="200"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 Period” </w:t>
      </w:r>
      <w:r>
        <w:rPr>
          <w:rFonts w:ascii="Arial" w:cs="Arial" w:eastAsia="Arial" w:hAnsi="Arial"/>
          <w:sz w:val="22"/>
          <w:szCs w:val="22"/>
          <w:color w:val="auto"/>
        </w:rPr>
        <w:t>means the Series A Distribution Period, the Series B Distribution Period 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Series C Distribution Period, as applicable.</w:t>
      </w:r>
    </w:p>
    <w:p>
      <w:pPr>
        <w:spacing w:after="0" w:line="200"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Preference Units</w:t>
      </w:r>
      <w:r>
        <w:rPr>
          <w:rFonts w:ascii="Arial" w:cs="Arial" w:eastAsia="Arial" w:hAnsi="Arial"/>
          <w:sz w:val="19"/>
          <w:szCs w:val="19"/>
          <w:color w:val="auto"/>
        </w:rPr>
        <w:t>” means a Partnership Interest, designated as a “</w:t>
      </w:r>
      <w:r>
        <w:rPr>
          <w:rFonts w:ascii="Arial" w:cs="Arial" w:eastAsia="Arial" w:hAnsi="Arial"/>
          <w:sz w:val="19"/>
          <w:szCs w:val="19"/>
          <w:b w:val="1"/>
          <w:bCs w:val="1"/>
          <w:i w:val="1"/>
          <w:iCs w:val="1"/>
          <w:color w:val="auto"/>
        </w:rPr>
        <w:t>Preference Unit</w:t>
      </w:r>
      <w:r>
        <w:rPr>
          <w:rFonts w:ascii="Arial" w:cs="Arial" w:eastAsia="Arial" w:hAnsi="Arial"/>
          <w:sz w:val="19"/>
          <w:szCs w:val="19"/>
          <w:color w:val="auto"/>
        </w:rPr>
        <w:t>,” including the Series A Preference Units, the Series B Preference Units and the Series C Preference Units, which entitles the holder thereof to a preference with respect to distributions, or as to the distribution of assets upon any Liquidation Event, over Common Units.</w:t>
      </w:r>
    </w:p>
    <w:p>
      <w:pPr>
        <w:spacing w:after="0" w:line="161" w:lineRule="exact"/>
        <w:rPr>
          <w:sz w:val="20"/>
          <w:szCs w:val="20"/>
          <w:color w:val="auto"/>
        </w:rPr>
      </w:pPr>
    </w:p>
    <w:p>
      <w:pPr>
        <w:ind w:right="2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w:t>
      </w:r>
      <w:r>
        <w:rPr>
          <w:rFonts w:ascii="Arial" w:cs="Arial" w:eastAsia="Arial" w:hAnsi="Arial"/>
          <w:sz w:val="19"/>
          <w:szCs w:val="19"/>
          <w:color w:val="auto"/>
        </w:rPr>
        <w:t>” means (a) when used with respect to Units (other than Preference Units) or any class or series thereof, apportioned equally among all designated Units (other than Preference Units) in accordance with their relative Percentage Interests,</w:t>
      </w:r>
    </w:p>
    <w:p>
      <w:pPr>
        <w:spacing w:after="0" w:line="2" w:lineRule="exact"/>
        <w:rPr>
          <w:sz w:val="20"/>
          <w:szCs w:val="20"/>
          <w:color w:val="auto"/>
        </w:rPr>
      </w:pPr>
    </w:p>
    <w:p>
      <w:pPr>
        <w:ind w:right="20" w:firstLine="8"/>
        <w:spacing w:after="0" w:line="245" w:lineRule="auto"/>
        <w:tabs>
          <w:tab w:leader="none" w:pos="306" w:val="left"/>
        </w:tabs>
        <w:numPr>
          <w:ilvl w:val="0"/>
          <w:numId w:val="14"/>
        </w:numPr>
        <w:rPr>
          <w:rFonts w:ascii="Arial" w:cs="Arial" w:eastAsia="Arial" w:hAnsi="Arial"/>
          <w:sz w:val="21"/>
          <w:szCs w:val="21"/>
          <w:color w:val="auto"/>
        </w:rPr>
      </w:pPr>
      <w:r>
        <w:rPr>
          <w:rFonts w:ascii="Arial" w:cs="Arial" w:eastAsia="Arial" w:hAnsi="Arial"/>
          <w:sz w:val="21"/>
          <w:szCs w:val="21"/>
          <w:color w:val="auto"/>
        </w:rPr>
        <w:t>when used with respect to Partners or Record Holders, apportioned among all Partners or Record Holders in accordance with their relative Percentage Interests and (c) when used with respect to holders of Incentive Distribution Rights or Preference Units (or a particular series thereof), apportioned equally among all holders of Incentive Distribution Rights or Preference Units (or such series thereof) in accordance with the relative number or percentage of Incentive Distribution Rights or Preference Units (or such series thereof), as applicable, held by each such holder.</w:t>
      </w:r>
    </w:p>
    <w:p>
      <w:pPr>
        <w:spacing w:after="0" w:line="208" w:lineRule="exact"/>
        <w:rPr>
          <w:sz w:val="20"/>
          <w:szCs w:val="20"/>
          <w:color w:val="auto"/>
        </w:rPr>
      </w:pPr>
    </w:p>
    <w:p>
      <w:pPr>
        <w:jc w:val="both"/>
        <w:ind w:right="5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Date</w:t>
      </w:r>
      <w:r>
        <w:rPr>
          <w:rFonts w:ascii="Arial" w:cs="Arial" w:eastAsia="Arial" w:hAnsi="Arial"/>
          <w:sz w:val="22"/>
          <w:szCs w:val="22"/>
          <w:color w:val="auto"/>
        </w:rPr>
        <w:t xml:space="preserve">” means the date determined by the General Partner as the date for purchase of all Outstanding Limited Partner Interests of a certain class or series (other than Limited Partner Interests owned by the General Partner and its Affiliates) pursuant to </w:t>
      </w:r>
      <w:r>
        <w:rPr>
          <w:rFonts w:ascii="Arial" w:cs="Arial" w:eastAsia="Arial" w:hAnsi="Arial"/>
          <w:sz w:val="22"/>
          <w:szCs w:val="22"/>
          <w:u w:val="single" w:color="auto"/>
          <w:color w:val="auto"/>
        </w:rPr>
        <w:t>Article XV</w:t>
      </w:r>
      <w:r>
        <w:rPr>
          <w:rFonts w:ascii="Arial" w:cs="Arial" w:eastAsia="Arial" w:hAnsi="Arial"/>
          <w:sz w:val="22"/>
          <w:szCs w:val="22"/>
          <w:color w:val="auto"/>
        </w:rPr>
        <w:t>.</w:t>
      </w:r>
    </w:p>
    <w:p>
      <w:pPr>
        <w:spacing w:after="0" w:line="213"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Quarter</w:t>
      </w:r>
      <w:r>
        <w:rPr>
          <w:rFonts w:ascii="Arial" w:cs="Arial" w:eastAsia="Arial" w:hAnsi="Arial"/>
          <w:sz w:val="21"/>
          <w:szCs w:val="21"/>
          <w:color w:val="auto"/>
        </w:rPr>
        <w:t>” means, unless the context requires otherwise, a fiscal quarter, or, with respect to the first fiscal quarter including the Closing Date, the portion of such fiscal quarter after the Closing Date, of the Partnership.</w:t>
      </w:r>
    </w:p>
    <w:p>
      <w:pPr>
        <w:spacing w:after="0" w:line="178"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 Date</w:t>
      </w:r>
      <w:r>
        <w:rPr>
          <w:rFonts w:ascii="Arial" w:cs="Arial" w:eastAsia="Arial" w:hAnsi="Arial"/>
          <w:sz w:val="22"/>
          <w:szCs w:val="22"/>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 w:name="page28"/>
    <w:bookmarkEnd w:id="27"/>
    <w:p>
      <w:pPr>
        <w:ind w:right="14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Record Holder</w:t>
      </w:r>
      <w:r>
        <w:rPr>
          <w:rFonts w:ascii="Arial" w:cs="Arial" w:eastAsia="Arial" w:hAnsi="Arial"/>
          <w:sz w:val="19"/>
          <w:szCs w:val="19"/>
          <w:color w:val="auto"/>
        </w:rPr>
        <w:t xml:space="preserve">” means (a) the Person in whose name a Common Unit is registered on the books of the Transfer Agent as of the opening of business on a particular Business Day, (b) the Person in whose name a Preference Unit is registered on the books of the Transfer Agent as of, unless otherwise set forth in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the opening of business on a particular Business Day or (c) with respect to other Partnership Interests, the Person in whose name any such other Partnership Interest is registered on the books that the Board of Directors has caused to be kept as of the opening of business on such Business Day (which books may be kept, at the Board of Directors’ option, by the Transfer Agent).</w:t>
      </w:r>
    </w:p>
    <w:p>
      <w:pPr>
        <w:spacing w:after="0" w:line="178" w:lineRule="exact"/>
        <w:rPr>
          <w:sz w:val="20"/>
          <w:szCs w:val="20"/>
          <w:color w:val="auto"/>
        </w:rPr>
      </w:pPr>
    </w:p>
    <w:p>
      <w:pPr>
        <w:ind w:right="16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Registration Statement</w:t>
      </w:r>
      <w:r>
        <w:rPr>
          <w:rFonts w:ascii="Arial" w:cs="Arial" w:eastAsia="Arial" w:hAnsi="Arial"/>
          <w:sz w:val="21"/>
          <w:szCs w:val="21"/>
          <w:color w:val="auto"/>
        </w:rPr>
        <w:t>” means the Partnership’s Registration Statement on Form F-1 (Registration No. 333-195109) as it has been or as it may be amended or supplemented from time to time, filed by the Partnership with the Commission under the Securities Act to register the offering and sale of the Common Units in the Initial Offering.</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Reset MQD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Reset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5.9(b)</w:t>
      </w:r>
      <w:r>
        <w:rPr>
          <w:rFonts w:ascii="Arial" w:cs="Arial" w:eastAsia="Arial" w:hAnsi="Arial"/>
          <w:sz w:val="22"/>
          <w:szCs w:val="22"/>
          <w:color w:val="auto"/>
        </w:rPr>
        <w:t>.</w:t>
      </w:r>
    </w:p>
    <w:p>
      <w:pPr>
        <w:spacing w:after="0" w:line="233"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Reuters Page LIBOR01</w:t>
      </w:r>
      <w:r>
        <w:rPr>
          <w:rFonts w:ascii="Arial" w:cs="Arial" w:eastAsia="Arial" w:hAnsi="Arial"/>
          <w:sz w:val="21"/>
          <w:szCs w:val="21"/>
          <w:color w:val="auto"/>
        </w:rPr>
        <w:t>” means the display so designated on the Reuters 3000 Xtra (or such other page as may replace the LIBOR01 page on that service, or such other service as may be nominated by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201"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Second Target Distribution</w:t>
      </w:r>
      <w:r>
        <w:rPr>
          <w:rFonts w:ascii="Arial" w:cs="Arial" w:eastAsia="Arial" w:hAnsi="Arial"/>
          <w:sz w:val="19"/>
          <w:szCs w:val="19"/>
          <w:color w:val="auto"/>
        </w:rPr>
        <w:t xml:space="preserve">” means $0.46875 per Unit per Quarter (or, with respect to the period commencing on the Closing Date and ending on June 30, 2014, it means the product of $0.46875 multiplied by a fraction of which the numerator is equal to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70"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 supplemented or restated from time to time and any successor to such statute.</w:t>
      </w:r>
    </w:p>
    <w:p>
      <w:pPr>
        <w:spacing w:after="0" w:line="200"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Securities</w:t>
      </w:r>
      <w:r>
        <w:rPr>
          <w:rFonts w:ascii="Arial" w:cs="Arial" w:eastAsia="Arial" w:hAnsi="Arial"/>
          <w:sz w:val="22"/>
          <w:szCs w:val="22"/>
          <w:color w:val="auto"/>
        </w:rPr>
        <w:t xml:space="preserve">” means any class or series of Partnership Interests established after May 15, 2017 by the General Partner, the terms of which class or series expressly provide that it ranks senior to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212" w:lineRule="exact"/>
        <w:rPr>
          <w:sz w:val="20"/>
          <w:szCs w:val="20"/>
          <w:color w:val="auto"/>
        </w:rPr>
      </w:pPr>
    </w:p>
    <w:p>
      <w:pPr>
        <w:ind w:right="1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Determination Date</w:t>
      </w:r>
      <w:r>
        <w:rPr>
          <w:rFonts w:ascii="Arial" w:cs="Arial" w:eastAsia="Arial" w:hAnsi="Arial"/>
          <w:sz w:val="22"/>
          <w:szCs w:val="22"/>
          <w:color w:val="auto"/>
        </w:rPr>
        <w:t>” means the London Business Day immediately preceding the first date of the applicable Series A Distribution Period.</w:t>
      </w:r>
    </w:p>
    <w:p>
      <w:pPr>
        <w:spacing w:after="0" w:line="200"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Payment Date</w:t>
      </w:r>
      <w:r>
        <w:rPr>
          <w:rFonts w:ascii="Arial" w:cs="Arial" w:eastAsia="Arial" w:hAnsi="Arial"/>
          <w:sz w:val="22"/>
          <w:szCs w:val="22"/>
          <w:color w:val="auto"/>
        </w:rPr>
        <w:t xml:space="preserve">” means each March 15, June 15, September 15 and December 15, commencing September 15, 2017;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A Distribution Payment Date would otherwise occur on a day that is not a Business Day, such</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Series A Distribution Payment Date shall instead be on the immediately succeeding Business Day.</w:t>
      </w:r>
    </w:p>
    <w:p>
      <w:pPr>
        <w:spacing w:after="0" w:line="233"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 Period</w:t>
      </w:r>
      <w:r>
        <w:rPr>
          <w:rFonts w:ascii="Arial" w:cs="Arial" w:eastAsia="Arial" w:hAnsi="Arial"/>
          <w:sz w:val="19"/>
          <w:szCs w:val="19"/>
          <w:color w:val="auto"/>
        </w:rPr>
        <w:t>” means a period of time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w:t>
      </w:r>
    </w:p>
    <w:p>
      <w:pPr>
        <w:spacing w:after="0" w:line="161" w:lineRule="exact"/>
        <w:rPr>
          <w:sz w:val="20"/>
          <w:szCs w:val="20"/>
          <w:color w:val="auto"/>
        </w:rPr>
      </w:pPr>
    </w:p>
    <w:p>
      <w:pPr>
        <w:ind w:right="2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Rate</w:t>
      </w:r>
      <w:r>
        <w:rPr>
          <w:rFonts w:ascii="Arial" w:cs="Arial" w:eastAsia="Arial" w:hAnsi="Arial"/>
          <w:sz w:val="22"/>
          <w:szCs w:val="22"/>
          <w:color w:val="auto"/>
        </w:rPr>
        <w:t>” means, with respect to the Series A Fixed Rate Period, a rate equal to 8.625% per annum of the Stated Series A Liquidation Preference per Series A Preference Unit and, with respect to the Series A Floating Rate Period, a floating rate equal to the Series A Three-Month LIBOR Rate plus a spread of 6.31% per annum of the stated Series A Liquidation Preference per Series A Preference Unit.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Distributions</w:t>
      </w:r>
      <w:r>
        <w:rPr>
          <w:rFonts w:ascii="Arial" w:cs="Arial" w:eastAsia="Arial" w:hAnsi="Arial"/>
          <w:sz w:val="19"/>
          <w:szCs w:val="19"/>
          <w:color w:val="auto"/>
        </w:rPr>
        <w:t xml:space="preserve">” means distributions with respect to Series A Preference Units pursuant to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68" w:lineRule="exact"/>
        <w:rPr>
          <w:sz w:val="20"/>
          <w:szCs w:val="20"/>
          <w:color w:val="auto"/>
        </w:rPr>
      </w:pPr>
    </w:p>
    <w:p>
      <w:pPr>
        <w:ind w:right="8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Fixed Rate Period</w:t>
      </w:r>
      <w:r>
        <w:rPr>
          <w:rFonts w:ascii="Arial" w:cs="Arial" w:eastAsia="Arial" w:hAnsi="Arial"/>
          <w:sz w:val="22"/>
          <w:szCs w:val="22"/>
          <w:color w:val="auto"/>
        </w:rPr>
        <w:t>” means the period from and including the Series A Original Issue Date to, but excluding June 15, 2027.</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Floating Rate Period</w:t>
      </w:r>
      <w:r>
        <w:rPr>
          <w:rFonts w:ascii="Arial" w:cs="Arial" w:eastAsia="Arial" w:hAnsi="Arial"/>
          <w:sz w:val="22"/>
          <w:szCs w:val="22"/>
          <w:color w:val="auto"/>
        </w:rPr>
        <w:t>” means the period from and including June 15, 2027.</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Holder</w:t>
      </w:r>
      <w:r>
        <w:rPr>
          <w:rFonts w:ascii="Arial" w:cs="Arial" w:eastAsia="Arial" w:hAnsi="Arial"/>
          <w:sz w:val="22"/>
          <w:szCs w:val="22"/>
          <w:color w:val="auto"/>
        </w:rPr>
        <w:t>” means a Record Holder of the Series A Preference Units.</w:t>
      </w:r>
    </w:p>
    <w:p>
      <w:pPr>
        <w:spacing w:after="0" w:line="23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Liquidation Preference</w:t>
      </w:r>
      <w:r>
        <w:rPr>
          <w:rFonts w:ascii="Arial" w:cs="Arial" w:eastAsia="Arial" w:hAnsi="Arial"/>
          <w:sz w:val="22"/>
          <w:szCs w:val="22"/>
          <w:color w:val="auto"/>
        </w:rPr>
        <w:t xml:space="preserve">” means a liquidation preference for each Series A Preference Unit initially equal to $25.00 per unit, which liquidation preference shall be subject to (a) increase by the per Series A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which does not result in payment in full of the liquidation preference of such Series A Preference Unit.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Original Issue Date</w:t>
      </w:r>
      <w:r>
        <w:rPr>
          <w:rFonts w:ascii="Arial" w:cs="Arial" w:eastAsia="Arial" w:hAnsi="Arial"/>
          <w:sz w:val="22"/>
          <w:szCs w:val="22"/>
          <w:color w:val="auto"/>
        </w:rPr>
        <w:t>” means May 15, 2017.</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Payments</w:t>
      </w:r>
      <w:r>
        <w:rPr>
          <w:rFonts w:ascii="Arial" w:cs="Arial" w:eastAsia="Arial" w:hAnsi="Arial"/>
          <w:sz w:val="22"/>
          <w:szCs w:val="22"/>
          <w:color w:val="auto"/>
        </w:rPr>
        <w:t>” means, collectively, Series A Distributions and Series A Redemption Payments.</w:t>
      </w:r>
    </w:p>
    <w:p>
      <w:pPr>
        <w:spacing w:after="0" w:line="233"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16.6(a)</w:t>
      </w:r>
      <w:r>
        <w:rPr>
          <w:rFonts w:ascii="Arial" w:cs="Arial" w:eastAsia="Arial" w:hAnsi="Arial"/>
          <w:sz w:val="22"/>
          <w:szCs w:val="22"/>
          <w:color w:val="auto"/>
        </w:rPr>
        <w:t>.</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9" w:name="page30"/>
    <w:bookmarkEnd w:id="29"/>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Payments</w:t>
      </w:r>
      <w:r>
        <w:rPr>
          <w:rFonts w:ascii="Arial" w:cs="Arial" w:eastAsia="Arial" w:hAnsi="Arial"/>
          <w:sz w:val="22"/>
          <w:szCs w:val="22"/>
          <w:color w:val="auto"/>
        </w:rPr>
        <w:t xml:space="preserve">” means payments to be made to the holders of Series A Preference Units to redeem Series A Preference Units in accordance with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A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16.3(b)</w:t>
      </w:r>
      <w:r>
        <w:rPr>
          <w:rFonts w:ascii="Arial" w:cs="Arial" w:eastAsia="Arial" w:hAnsi="Arial"/>
          <w:sz w:val="22"/>
          <w:szCs w:val="22"/>
          <w:color w:val="auto"/>
        </w:rPr>
        <w:t>.</w:t>
      </w:r>
    </w:p>
    <w:p>
      <w:pPr>
        <w:spacing w:after="0" w:line="23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Determination Date</w:t>
      </w:r>
      <w:r>
        <w:rPr>
          <w:rFonts w:ascii="Arial" w:cs="Arial" w:eastAsia="Arial" w:hAnsi="Arial"/>
          <w:sz w:val="22"/>
          <w:szCs w:val="22"/>
          <w:color w:val="auto"/>
        </w:rPr>
        <w:t>” means the London Business Day immediately preceding the first date of the applicable Series B Distribution Period.</w:t>
      </w:r>
    </w:p>
    <w:p>
      <w:pPr>
        <w:spacing w:after="0" w:line="200"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 Payment Date</w:t>
      </w:r>
      <w:r>
        <w:rPr>
          <w:rFonts w:ascii="Arial" w:cs="Arial" w:eastAsia="Arial" w:hAnsi="Arial"/>
          <w:sz w:val="19"/>
          <w:szCs w:val="19"/>
          <w:color w:val="auto"/>
        </w:rPr>
        <w:t xml:space="preserve">” means each March 15, June 15, September 15 and December 15, commencing March 15, 2018;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Series B Distribution Payment Date would otherwise occur on a day that is not a Business Day, such Series B Distribution Payment Date shall instead be on the immediately succeeding Business Day.</w:t>
      </w:r>
    </w:p>
    <w:p>
      <w:pPr>
        <w:spacing w:after="0" w:line="161"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 Period</w:t>
      </w:r>
      <w:r>
        <w:rPr>
          <w:rFonts w:ascii="Arial" w:cs="Arial" w:eastAsia="Arial" w:hAnsi="Arial"/>
          <w:sz w:val="19"/>
          <w:szCs w:val="19"/>
          <w:color w:val="auto"/>
        </w:rPr>
        <w:t>” means a period of time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w:t>
      </w:r>
    </w:p>
    <w:p>
      <w:pPr>
        <w:spacing w:after="0" w:line="161" w:lineRule="exact"/>
        <w:rPr>
          <w:sz w:val="20"/>
          <w:szCs w:val="20"/>
          <w:color w:val="auto"/>
        </w:rPr>
      </w:pPr>
    </w:p>
    <w:p>
      <w:pPr>
        <w:ind w:right="26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Rate</w:t>
      </w:r>
      <w:r>
        <w:rPr>
          <w:rFonts w:ascii="Arial" w:cs="Arial" w:eastAsia="Arial" w:hAnsi="Arial"/>
          <w:sz w:val="22"/>
          <w:szCs w:val="22"/>
          <w:color w:val="auto"/>
        </w:rPr>
        <w:t>” means, with respect to the Series B Fixed Rate Period, a rate equal to 8.200% per annum of the Stated Series B Liquidation Preference per Series B Preference Unit and, with respect to the Series B Floating Rate Period, a floating rate equal to the Series B Three-Month LIBOR Rate plus a spread of 5.839% per annum of the stated Series B Liquidation Preference per Series B Preference Unit.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Distributions</w:t>
      </w:r>
      <w:r>
        <w:rPr>
          <w:rFonts w:ascii="Arial" w:cs="Arial" w:eastAsia="Arial" w:hAnsi="Arial"/>
          <w:sz w:val="19"/>
          <w:szCs w:val="19"/>
          <w:color w:val="auto"/>
        </w:rPr>
        <w:t xml:space="preserve">” means distributions with respect to Series B Preference Units pursuant to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68" w:lineRule="exact"/>
        <w:rPr>
          <w:sz w:val="20"/>
          <w:szCs w:val="20"/>
          <w:color w:val="auto"/>
        </w:rPr>
      </w:pPr>
    </w:p>
    <w:p>
      <w:pPr>
        <w:ind w:right="8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Fixed Rate Period</w:t>
      </w:r>
      <w:r>
        <w:rPr>
          <w:rFonts w:ascii="Arial" w:cs="Arial" w:eastAsia="Arial" w:hAnsi="Arial"/>
          <w:sz w:val="22"/>
          <w:szCs w:val="22"/>
          <w:color w:val="auto"/>
        </w:rPr>
        <w:t>” means the period from and including the Series B Original Issue Date to, but excluding March 15, 2023.</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Floating Rate Period</w:t>
      </w:r>
      <w:r>
        <w:rPr>
          <w:rFonts w:ascii="Arial" w:cs="Arial" w:eastAsia="Arial" w:hAnsi="Arial"/>
          <w:sz w:val="22"/>
          <w:szCs w:val="22"/>
          <w:color w:val="auto"/>
        </w:rPr>
        <w:t>” means the period from and including March 15, 2023.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Holder</w:t>
      </w:r>
      <w:r>
        <w:rPr>
          <w:rFonts w:ascii="Arial" w:cs="Arial" w:eastAsia="Arial" w:hAnsi="Arial"/>
          <w:sz w:val="22"/>
          <w:szCs w:val="22"/>
          <w:color w:val="auto"/>
        </w:rPr>
        <w:t>” means a Record Holder of the Series B Preference Units.</w:t>
      </w:r>
    </w:p>
    <w:p>
      <w:pPr>
        <w:spacing w:after="0" w:line="233" w:lineRule="exact"/>
        <w:rPr>
          <w:sz w:val="20"/>
          <w:szCs w:val="20"/>
          <w:color w:val="auto"/>
        </w:rPr>
      </w:pPr>
    </w:p>
    <w:p>
      <w:pPr>
        <w:ind w:right="14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Liquidation Preference</w:t>
      </w:r>
      <w:r>
        <w:rPr>
          <w:rFonts w:ascii="Arial" w:cs="Arial" w:eastAsia="Arial" w:hAnsi="Arial"/>
          <w:sz w:val="22"/>
          <w:szCs w:val="22"/>
          <w:color w:val="auto"/>
        </w:rPr>
        <w:t xml:space="preserve">” means a liquidation preference for each Series B Preference Unit initially equal to $25.00 per unit, which liquidation preference shall be subject to (a) increase by the per Series B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which does not result in payment in full of the liquidation preference of such Series B Preference Unit.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Original Issue Date</w:t>
      </w:r>
      <w:r>
        <w:rPr>
          <w:rFonts w:ascii="Arial" w:cs="Arial" w:eastAsia="Arial" w:hAnsi="Arial"/>
          <w:sz w:val="22"/>
          <w:szCs w:val="22"/>
          <w:color w:val="auto"/>
        </w:rPr>
        <w:t>” means January 17, 2018.</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0" w:name="page31"/>
    <w:bookmarkEnd w:id="3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Payments</w:t>
      </w:r>
      <w:r>
        <w:rPr>
          <w:rFonts w:ascii="Arial" w:cs="Arial" w:eastAsia="Arial" w:hAnsi="Arial"/>
          <w:sz w:val="22"/>
          <w:szCs w:val="22"/>
          <w:color w:val="auto"/>
        </w:rPr>
        <w:t>” means, collectively, Series B Distributions and Series B Redemption Payments.</w:t>
      </w:r>
    </w:p>
    <w:p>
      <w:pPr>
        <w:spacing w:after="0" w:line="233"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17.6(a)</w:t>
      </w:r>
      <w:r>
        <w:rPr>
          <w:rFonts w:ascii="Arial" w:cs="Arial" w:eastAsia="Arial" w:hAnsi="Arial"/>
          <w:sz w:val="22"/>
          <w:szCs w:val="22"/>
          <w:color w:val="auto"/>
        </w:rPr>
        <w:t>.</w:t>
      </w:r>
    </w:p>
    <w:p>
      <w:pPr>
        <w:spacing w:after="0" w:line="233" w:lineRule="exact"/>
        <w:rPr>
          <w:sz w:val="20"/>
          <w:szCs w:val="20"/>
          <w:color w:val="auto"/>
        </w:rPr>
      </w:pPr>
    </w:p>
    <w:p>
      <w:pPr>
        <w:ind w:right="6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Payments</w:t>
      </w:r>
      <w:r>
        <w:rPr>
          <w:rFonts w:ascii="Arial" w:cs="Arial" w:eastAsia="Arial" w:hAnsi="Arial"/>
          <w:sz w:val="22"/>
          <w:szCs w:val="22"/>
          <w:color w:val="auto"/>
        </w:rPr>
        <w:t xml:space="preserve">” means payments to be made to the holders of Series B Preference Units to redeem Series B Preference Units in accordance with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B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17.3(b)</w:t>
      </w:r>
      <w:r>
        <w:rPr>
          <w:rFonts w:ascii="Arial" w:cs="Arial" w:eastAsia="Arial" w:hAnsi="Arial"/>
          <w:sz w:val="22"/>
          <w:szCs w:val="22"/>
          <w:color w:val="auto"/>
        </w:rPr>
        <w:t>.</w:t>
      </w:r>
    </w:p>
    <w:p>
      <w:pPr>
        <w:spacing w:after="0" w:line="233" w:lineRule="exact"/>
        <w:rPr>
          <w:sz w:val="20"/>
          <w:szCs w:val="20"/>
          <w:color w:val="auto"/>
        </w:rPr>
      </w:pPr>
    </w:p>
    <w:p>
      <w:pPr>
        <w:ind w:right="1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Determination Date</w:t>
      </w:r>
      <w:r>
        <w:rPr>
          <w:rFonts w:ascii="Arial" w:cs="Arial" w:eastAsia="Arial" w:hAnsi="Arial"/>
          <w:sz w:val="22"/>
          <w:szCs w:val="22"/>
          <w:color w:val="auto"/>
        </w:rPr>
        <w:t>” means the London Business Day immediately preceding the first date of the applicable Series C Distribution Period.</w:t>
      </w:r>
    </w:p>
    <w:p>
      <w:pPr>
        <w:spacing w:after="0" w:line="200"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Payment Date</w:t>
      </w:r>
      <w:r>
        <w:rPr>
          <w:rFonts w:ascii="Arial" w:cs="Arial" w:eastAsia="Arial" w:hAnsi="Arial"/>
          <w:sz w:val="19"/>
          <w:szCs w:val="19"/>
          <w:color w:val="auto"/>
        </w:rPr>
        <w:t xml:space="preserve">” means each March 15, June 15, September 15 and December 15, commencing March 15, 2019;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Series C Distribution Payment Date would otherwise occur on a day that is not a Business Day, such Series C Distribution Payment Date shall instead be on the immediately succeeding Business Day.</w:t>
      </w:r>
    </w:p>
    <w:p>
      <w:pPr>
        <w:spacing w:after="0" w:line="161"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Period</w:t>
      </w:r>
      <w:r>
        <w:rPr>
          <w:rFonts w:ascii="Arial" w:cs="Arial" w:eastAsia="Arial" w:hAnsi="Arial"/>
          <w:sz w:val="19"/>
          <w:szCs w:val="19"/>
          <w:color w:val="auto"/>
        </w:rPr>
        <w:t>” means a period of time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w:t>
      </w:r>
    </w:p>
    <w:p>
      <w:pPr>
        <w:spacing w:after="0" w:line="161" w:lineRule="exact"/>
        <w:rPr>
          <w:sz w:val="20"/>
          <w:szCs w:val="20"/>
          <w:color w:val="auto"/>
        </w:rPr>
      </w:pPr>
    </w:p>
    <w:p>
      <w:pPr>
        <w:ind w:right="2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Rate</w:t>
      </w:r>
      <w:r>
        <w:rPr>
          <w:rFonts w:ascii="Arial" w:cs="Arial" w:eastAsia="Arial" w:hAnsi="Arial"/>
          <w:sz w:val="22"/>
          <w:szCs w:val="22"/>
          <w:color w:val="auto"/>
        </w:rPr>
        <w:t>” means, with respect to the Series C Fixed Rate Period, a rate equal to 8.500% per annum of the Stated Series C Liquidation Preference per Series C Preference Unit and, with respect to the Series C Floating Rate Period, a floating rate equal to the Series C Three-Month LIBOR Rate plus a spread of 5.317% per annum of the stated Series C Liquidation Preference per Series C Preference Unit.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Distributions</w:t>
      </w:r>
      <w:r>
        <w:rPr>
          <w:rFonts w:ascii="Arial" w:cs="Arial" w:eastAsia="Arial" w:hAnsi="Arial"/>
          <w:sz w:val="19"/>
          <w:szCs w:val="19"/>
          <w:color w:val="auto"/>
        </w:rPr>
        <w:t xml:space="preserve">” means distributions with respect to Series C Preference Units pursuant to </w:t>
      </w:r>
      <w:r>
        <w:rPr>
          <w:rFonts w:ascii="Arial" w:cs="Arial" w:eastAsia="Arial" w:hAnsi="Arial"/>
          <w:sz w:val="19"/>
          <w:szCs w:val="19"/>
          <w:u w:val="single" w:color="auto"/>
          <w:color w:val="auto"/>
        </w:rPr>
        <w:t>Section 18.3</w:t>
      </w:r>
      <w:r>
        <w:rPr>
          <w:rFonts w:ascii="Arial" w:cs="Arial" w:eastAsia="Arial" w:hAnsi="Arial"/>
          <w:sz w:val="19"/>
          <w:szCs w:val="19"/>
          <w:color w:val="auto"/>
        </w:rPr>
        <w:t>.</w:t>
      </w:r>
    </w:p>
    <w:p>
      <w:pPr>
        <w:spacing w:after="0" w:line="268" w:lineRule="exact"/>
        <w:rPr>
          <w:sz w:val="20"/>
          <w:szCs w:val="20"/>
          <w:color w:val="auto"/>
        </w:rPr>
      </w:pPr>
    </w:p>
    <w:p>
      <w:pPr>
        <w:ind w:right="8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Fixed Rate Period</w:t>
      </w:r>
      <w:r>
        <w:rPr>
          <w:rFonts w:ascii="Arial" w:cs="Arial" w:eastAsia="Arial" w:hAnsi="Arial"/>
          <w:sz w:val="22"/>
          <w:szCs w:val="22"/>
          <w:color w:val="auto"/>
        </w:rPr>
        <w:t>” means the period from and including the Series C Original Issue Date to, but excluding March 15, 2024.</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1" w:name="page32"/>
    <w:bookmarkEnd w:id="3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Floating Rate Period</w:t>
      </w:r>
      <w:r>
        <w:rPr>
          <w:rFonts w:ascii="Arial" w:cs="Arial" w:eastAsia="Arial" w:hAnsi="Arial"/>
          <w:sz w:val="22"/>
          <w:szCs w:val="22"/>
          <w:color w:val="auto"/>
        </w:rPr>
        <w:t>” means the period from and including March 15, 2024.</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Holder</w:t>
      </w:r>
      <w:r>
        <w:rPr>
          <w:rFonts w:ascii="Arial" w:cs="Arial" w:eastAsia="Arial" w:hAnsi="Arial"/>
          <w:sz w:val="22"/>
          <w:szCs w:val="22"/>
          <w:color w:val="auto"/>
        </w:rPr>
        <w:t>” means a Record Holder of the Series C Preference Units.</w:t>
      </w:r>
    </w:p>
    <w:p>
      <w:pPr>
        <w:spacing w:after="0" w:line="233"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Liquidation Preference</w:t>
      </w:r>
      <w:r>
        <w:rPr>
          <w:rFonts w:ascii="Arial" w:cs="Arial" w:eastAsia="Arial" w:hAnsi="Arial"/>
          <w:sz w:val="22"/>
          <w:szCs w:val="22"/>
          <w:color w:val="auto"/>
        </w:rPr>
        <w:t xml:space="preserve">” means a liquidation preference for each Series C Preference Unit initially equal to $25.00 per unit, which liquidation preference shall be subject to (a) increase by the per Series C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which does not result in payment in full of the liquidation preference of such Series C Preference Unit.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Original Issue Date</w:t>
      </w:r>
      <w:r>
        <w:rPr>
          <w:rFonts w:ascii="Arial" w:cs="Arial" w:eastAsia="Arial" w:hAnsi="Arial"/>
          <w:sz w:val="22"/>
          <w:szCs w:val="22"/>
          <w:color w:val="auto"/>
        </w:rPr>
        <w:t>” means November 15, 2018.</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Payments</w:t>
      </w:r>
      <w:r>
        <w:rPr>
          <w:rFonts w:ascii="Arial" w:cs="Arial" w:eastAsia="Arial" w:hAnsi="Arial"/>
          <w:sz w:val="22"/>
          <w:szCs w:val="22"/>
          <w:color w:val="auto"/>
        </w:rPr>
        <w:t>” means, collectively, Series C Distributions and Series C Redemption Payments.</w:t>
      </w:r>
    </w:p>
    <w:p>
      <w:pPr>
        <w:spacing w:after="0" w:line="233"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18.6(a)</w:t>
      </w:r>
      <w:r>
        <w:rPr>
          <w:rFonts w:ascii="Arial" w:cs="Arial" w:eastAsia="Arial" w:hAnsi="Arial"/>
          <w:sz w:val="22"/>
          <w:szCs w:val="22"/>
          <w:color w:val="auto"/>
        </w:rPr>
        <w:t>.</w:t>
      </w:r>
    </w:p>
    <w:p>
      <w:pPr>
        <w:spacing w:after="0" w:line="233" w:lineRule="exact"/>
        <w:rPr>
          <w:sz w:val="20"/>
          <w:szCs w:val="20"/>
          <w:color w:val="auto"/>
        </w:rPr>
      </w:pPr>
    </w:p>
    <w:p>
      <w:pPr>
        <w:ind w:right="6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Payments</w:t>
      </w:r>
      <w:r>
        <w:rPr>
          <w:rFonts w:ascii="Arial" w:cs="Arial" w:eastAsia="Arial" w:hAnsi="Arial"/>
          <w:sz w:val="22"/>
          <w:szCs w:val="22"/>
          <w:color w:val="auto"/>
        </w:rPr>
        <w:t xml:space="preserve">” means payments to be made to the holders of Series C Preference Units to redeem Series C Preference Units in accordance with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C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18.3(b)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Approval</w:t>
      </w:r>
      <w:r>
        <w:rPr>
          <w:rFonts w:ascii="Arial" w:cs="Arial" w:eastAsia="Arial" w:hAnsi="Arial"/>
          <w:sz w:val="22"/>
          <w:szCs w:val="22"/>
          <w:color w:val="auto"/>
        </w:rPr>
        <w:t>” means approval by a majority of the members of the Conflicts Committee.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A Liquidation Preference</w:t>
      </w:r>
      <w:r>
        <w:rPr>
          <w:rFonts w:ascii="Arial" w:cs="Arial" w:eastAsia="Arial" w:hAnsi="Arial"/>
          <w:sz w:val="21"/>
          <w:szCs w:val="21"/>
          <w:color w:val="auto"/>
        </w:rPr>
        <w:t>” means an amount equal to $25.00 per Series A Preference Unit.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B Liquidation Preference</w:t>
      </w:r>
      <w:r>
        <w:rPr>
          <w:rFonts w:ascii="Arial" w:cs="Arial" w:eastAsia="Arial" w:hAnsi="Arial"/>
          <w:sz w:val="21"/>
          <w:szCs w:val="21"/>
          <w:color w:val="auto"/>
        </w:rPr>
        <w:t>” means an amount equal to $25.00 per Series B Preference Unit.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Stated Series C Liquidation Preference</w:t>
      </w:r>
      <w:r>
        <w:rPr>
          <w:rFonts w:ascii="Arial" w:cs="Arial" w:eastAsia="Arial" w:hAnsi="Arial"/>
          <w:sz w:val="19"/>
          <w:szCs w:val="19"/>
          <w:color w:val="auto"/>
        </w:rPr>
        <w:t>” means an amount equal to $25.00 per Series C Preference Unit.</w:t>
      </w:r>
    </w:p>
    <w:p>
      <w:pPr>
        <w:spacing w:after="0" w:line="268"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any Person, (a) a corporation of which more than 50% of the voting power of shares entitled (without regard to the occurrence of any contingency) to vote in the election of directors or other governing body of such corporation is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9"/>
          <w:szCs w:val="19"/>
          <w:color w:val="auto"/>
        </w:rPr>
        <w:t xml:space="preserve">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(b) a partnership (whether general or limited) in which such Person or a Subsidiary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(c) any other Person (other than a corporation or a partnership) in which such Person,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less than a majority ownership interest or (ii) less than the power to elect or direct the election of a majority of the directors or other governing body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the determination, has at least a 20% ownership interest in such other Person, (B) such Person accounts for such other Person (under IFRS, as in effect on the later of the date of investment in such other Person or material expansion of the operations of such other 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vessels and</w:t>
      </w:r>
    </w:p>
    <w:p>
      <w:pPr>
        <w:ind w:right="200" w:firstLine="8"/>
        <w:spacing w:after="0" w:line="256" w:lineRule="auto"/>
        <w:tabs>
          <w:tab w:leader="none" w:pos="318" w:val="left"/>
        </w:tabs>
        <w:numPr>
          <w:ilvl w:val="0"/>
          <w:numId w:val="15"/>
        </w:numPr>
        <w:rPr>
          <w:rFonts w:ascii="Arial" w:cs="Arial" w:eastAsia="Arial" w:hAnsi="Arial"/>
          <w:sz w:val="21"/>
          <w:szCs w:val="21"/>
          <w:color w:val="auto"/>
        </w:rPr>
      </w:pPr>
      <w:r>
        <w:rPr>
          <w:rFonts w:ascii="Arial" w:cs="Arial" w:eastAsia="Arial" w:hAnsi="Arial"/>
          <w:sz w:val="21"/>
          <w:szCs w:val="21"/>
          <w:color w:val="auto"/>
        </w:rPr>
        <w:t>obligated under its constituent documents, or as a result of a unanimous agreement of its owners, to distribute to its owners all of its income on at least an annual basis (less any cash reserves that are approved by such Person).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14.2(b)(ii)</w:t>
      </w:r>
      <w:r>
        <w:rPr>
          <w:rFonts w:ascii="Arial" w:cs="Arial" w:eastAsia="Arial" w:hAnsi="Arial"/>
          <w:sz w:val="22"/>
          <w:szCs w:val="22"/>
          <w:color w:val="auto"/>
        </w:rPr>
        <w:t>.</w:t>
      </w:r>
    </w:p>
    <w:p>
      <w:pPr>
        <w:spacing w:after="0" w:line="233"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Third Target Distribution</w:t>
      </w:r>
      <w:r>
        <w:rPr>
          <w:rFonts w:ascii="Arial" w:cs="Arial" w:eastAsia="Arial" w:hAnsi="Arial"/>
          <w:sz w:val="19"/>
          <w:szCs w:val="19"/>
          <w:color w:val="auto"/>
        </w:rPr>
        <w:t xml:space="preserve">” means $0.56250 per Unit per Quarter (or, with respect to the period commencing on the Closing Date and ending on June 30, 2014, it means the product of $0.56250 multiplied by a fraction of which the numerator is equal to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70" w:lineRule="exact"/>
        <w:rPr>
          <w:sz w:val="20"/>
          <w:szCs w:val="20"/>
          <w:color w:val="auto"/>
        </w:rPr>
      </w:pPr>
    </w:p>
    <w:p>
      <w:pPr>
        <w:ind w:right="3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Trading Day</w:t>
      </w:r>
      <w:r>
        <w:rPr>
          <w:rFonts w:ascii="Arial" w:cs="Arial" w:eastAsia="Arial" w:hAnsi="Arial"/>
          <w:sz w:val="19"/>
          <w:szCs w:val="19"/>
          <w:color w:val="auto"/>
        </w:rPr>
        <w:t>” means, for the purpose of determining the Current Market Price of any class or series of Limited Partner Interests, a day on which the principal National Securities Exchange on which such class or series of Limited Partner Interests is listed or admitted for trading is open for the transaction of business or, if Limited Partner Interests of a class or series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3" w:name="page34"/>
    <w:bookmarkEnd w:id="33"/>
    <w:p>
      <w:pPr>
        <w:spacing w:after="0"/>
        <w:rPr>
          <w:sz w:val="20"/>
          <w:szCs w:val="20"/>
          <w:color w:val="auto"/>
        </w:rPr>
      </w:pPr>
      <w:r>
        <w:rPr>
          <w:rFonts w:ascii="Arial" w:cs="Arial" w:eastAsia="Arial" w:hAnsi="Arial"/>
          <w:sz w:val="19"/>
          <w:szCs w:val="19"/>
          <w:color w:val="auto"/>
        </w:rPr>
        <w:t>are not listed on any National Securities Exchange, a day on which banking institutions in New York City generally are open.</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20"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xml:space="preserve">” means such bank, trust company or other Person (including the General Partner or one of its Affiliates) as shall be appointed from time to time by the Partnership to act as registrar and transfer agent for the Common Units and the Preference Units;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Transfer Agent is specifically designated for any other Partnership Interests, the Partnership shall act in such capacity.</w:t>
      </w:r>
    </w:p>
    <w:p>
      <w:pPr>
        <w:spacing w:after="0" w:line="199" w:lineRule="exact"/>
        <w:rPr>
          <w:sz w:val="20"/>
          <w:szCs w:val="20"/>
          <w:color w:val="auto"/>
        </w:rPr>
      </w:pPr>
    </w:p>
    <w:p>
      <w:pPr>
        <w:ind w:right="5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means each Person named as an underwriter in Schedule I to the Underwriting Agreement who purchases Common Units pursuant thereto.</w:t>
      </w:r>
    </w:p>
    <w:p>
      <w:pPr>
        <w:spacing w:after="0" w:line="187" w:lineRule="exact"/>
        <w:rPr>
          <w:sz w:val="20"/>
          <w:szCs w:val="20"/>
          <w:color w:val="auto"/>
        </w:rPr>
      </w:pPr>
    </w:p>
    <w:p>
      <w:pPr>
        <w:ind w:right="3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Underwriting Agreement</w:t>
      </w:r>
      <w:r>
        <w:rPr>
          <w:rFonts w:ascii="Arial" w:cs="Arial" w:eastAsia="Arial" w:hAnsi="Arial"/>
          <w:sz w:val="22"/>
          <w:szCs w:val="22"/>
          <w:color w:val="auto"/>
        </w:rPr>
        <w:t>” means the Underwriting Agreement dated May 6, 2014 among the Underwriters, the Partnership, the General Partner, the Operating Company, and GasLog, providing for the purchase of Common Units from the Partnership by such Underwriters in connection with the Initial Offering.</w:t>
      </w:r>
    </w:p>
    <w:p>
      <w:pPr>
        <w:spacing w:after="0" w:line="200" w:lineRule="exact"/>
        <w:rPr>
          <w:sz w:val="20"/>
          <w:szCs w:val="20"/>
          <w:color w:val="auto"/>
        </w:rPr>
      </w:pPr>
    </w:p>
    <w:p>
      <w:pPr>
        <w:ind w:right="1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w:t>
      </w:r>
      <w:r>
        <w:rPr>
          <w:rFonts w:ascii="Arial" w:cs="Arial" w:eastAsia="Arial" w:hAnsi="Arial"/>
          <w:sz w:val="22"/>
          <w:szCs w:val="22"/>
          <w:color w:val="auto"/>
        </w:rPr>
        <w:t>” means a Partnership Interest that is designated as a “</w:t>
      </w:r>
      <w:r>
        <w:rPr>
          <w:rFonts w:ascii="Arial" w:cs="Arial" w:eastAsia="Arial" w:hAnsi="Arial"/>
          <w:sz w:val="22"/>
          <w:szCs w:val="22"/>
          <w:i w:val="1"/>
          <w:iCs w:val="1"/>
          <w:color w:val="auto"/>
        </w:rPr>
        <w:t>Unit</w:t>
      </w:r>
      <w:r>
        <w:rPr>
          <w:rFonts w:ascii="Arial" w:cs="Arial" w:eastAsia="Arial" w:hAnsi="Arial"/>
          <w:sz w:val="22"/>
          <w:szCs w:val="22"/>
          <w:color w:val="auto"/>
        </w:rPr>
        <w:t>” and shall include Common Units and Preference Units, but shall not include (a) General Partner Units (or the General Partner Interest represented thereby) or (b) the Incentive Distribution Rights.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Unitholders</w:t>
      </w:r>
      <w:r>
        <w:rPr>
          <w:rFonts w:ascii="Arial" w:cs="Arial" w:eastAsia="Arial" w:hAnsi="Arial"/>
          <w:sz w:val="22"/>
          <w:szCs w:val="22"/>
          <w:color w:val="auto"/>
        </w:rPr>
        <w:t>” means the holders of Units.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Majority</w:t>
      </w:r>
      <w:r>
        <w:rPr>
          <w:rFonts w:ascii="Arial" w:cs="Arial" w:eastAsia="Arial" w:hAnsi="Arial"/>
          <w:sz w:val="22"/>
          <w:szCs w:val="22"/>
          <w:color w:val="auto"/>
        </w:rPr>
        <w:t>” means at least a majority of the Outstanding Common Units, voting as a single class.</w:t>
      </w:r>
    </w:p>
    <w:p>
      <w:pPr>
        <w:spacing w:after="0" w:line="220" w:lineRule="exact"/>
        <w:rPr>
          <w:sz w:val="20"/>
          <w:szCs w:val="20"/>
          <w:color w:val="auto"/>
        </w:rPr>
      </w:pPr>
    </w:p>
    <w:p>
      <w:pPr>
        <w:ind w:right="7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Register</w:t>
      </w:r>
      <w:r>
        <w:rPr>
          <w:rFonts w:ascii="Arial" w:cs="Arial" w:eastAsia="Arial" w:hAnsi="Arial"/>
          <w:sz w:val="22"/>
          <w:szCs w:val="22"/>
          <w:color w:val="auto"/>
        </w:rPr>
        <w:t xml:space="preserve">” means the register of the Partnership for the registration and transfer of Limited Partnership Interests as provided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87" w:lineRule="exact"/>
        <w:rPr>
          <w:sz w:val="20"/>
          <w:szCs w:val="20"/>
          <w:color w:val="auto"/>
        </w:rPr>
      </w:pPr>
    </w:p>
    <w:p>
      <w:pPr>
        <w:ind w:right="10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Unrecovered Capital</w:t>
      </w:r>
      <w:r>
        <w:rPr>
          <w:rFonts w:ascii="Arial" w:cs="Arial" w:eastAsia="Arial" w:hAnsi="Arial"/>
          <w:sz w:val="21"/>
          <w:szCs w:val="21"/>
          <w:color w:val="auto"/>
        </w:rPr>
        <w:t>” means at any time, with respect to a Common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Board of Directors determines to be appropriate to give effect to any distribution, subdivision or combination of such Common Units.</w:t>
      </w:r>
    </w:p>
    <w:p>
      <w:pPr>
        <w:spacing w:after="0" w:line="192" w:lineRule="exact"/>
        <w:rPr>
          <w:sz w:val="20"/>
          <w:szCs w:val="20"/>
          <w:color w:val="auto"/>
        </w:rPr>
      </w:pPr>
    </w:p>
    <w:p>
      <w:pPr>
        <w:ind w:right="9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Vessel Interests</w:t>
      </w:r>
      <w:r>
        <w:rPr>
          <w:rFonts w:ascii="Arial" w:cs="Arial" w:eastAsia="Arial" w:hAnsi="Arial"/>
          <w:sz w:val="19"/>
          <w:szCs w:val="19"/>
          <w:color w:val="auto"/>
        </w:rPr>
        <w:t xml:space="preserve">” means the capital stock and other equity interests in certain of GasLog’s wholly owned Subsidiaries that have interests in three vessels—the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Sydney</w:t>
      </w:r>
      <w:r>
        <w:rPr>
          <w:rFonts w:ascii="Arial" w:cs="Arial" w:eastAsia="Arial" w:hAnsi="Arial"/>
          <w:sz w:val="19"/>
          <w:szCs w:val="19"/>
          <w:color w:val="auto"/>
        </w:rPr>
        <w:t>.</w:t>
      </w:r>
    </w:p>
    <w:p>
      <w:pPr>
        <w:spacing w:after="0" w:line="119" w:lineRule="exact"/>
        <w:rPr>
          <w:sz w:val="20"/>
          <w:szCs w:val="20"/>
          <w:color w:val="auto"/>
        </w:rPr>
      </w:pPr>
    </w:p>
    <w:p>
      <w:pPr>
        <w:ind w:right="3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Volume-Weighted Average Market Price</w:t>
      </w:r>
      <w:r>
        <w:rPr>
          <w:rFonts w:ascii="Arial" w:cs="Arial" w:eastAsia="Arial" w:hAnsi="Arial"/>
          <w:sz w:val="22"/>
          <w:szCs w:val="22"/>
          <w:color w:val="auto"/>
        </w:rPr>
        <w:t>” means, for a specified period of consecutive Trading Days for the Common Units, an amount equal to (a) the cumulative sum of the products of (x) the sale price for each trade of Common Units occurring during such period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34" w:name="page35"/>
    <w:bookmarkEnd w:id="34"/>
    <w:p>
      <w:pPr>
        <w:ind w:right="440"/>
        <w:spacing w:after="0" w:line="251" w:lineRule="auto"/>
        <w:rPr>
          <w:sz w:val="20"/>
          <w:szCs w:val="20"/>
          <w:color w:val="auto"/>
        </w:rPr>
      </w:pPr>
      <w:r>
        <w:rPr>
          <w:rFonts w:ascii="Arial" w:cs="Arial" w:eastAsia="Arial" w:hAnsi="Arial"/>
          <w:sz w:val="22"/>
          <w:szCs w:val="22"/>
          <w:color w:val="auto"/>
        </w:rPr>
        <w:t>multiplied by (y) the number of Common Units sold at such price, divided by (b) the total number of Common Units so traded during such period.</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11.1(b)(i)</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Working Capital Borrowings</w:t>
      </w:r>
      <w:r>
        <w:rPr>
          <w:rFonts w:ascii="Arial" w:cs="Arial" w:eastAsia="Arial" w:hAnsi="Arial"/>
          <w:sz w:val="21"/>
          <w:szCs w:val="21"/>
          <w:color w:val="auto"/>
        </w:rPr>
        <w:t xml:space="preserve">” means borrowings used solely for working capital purposes or to pay distributions to Partners made pursuant to a credit facility, commercial paper facility or similar financing arrangement available to a Group Member, </w:t>
      </w:r>
      <w:r>
        <w:rPr>
          <w:rFonts w:ascii="Arial" w:cs="Arial" w:eastAsia="Arial" w:hAnsi="Arial"/>
          <w:sz w:val="21"/>
          <w:szCs w:val="21"/>
          <w:i w:val="1"/>
          <w:iCs w:val="1"/>
          <w:color w:val="auto"/>
        </w:rPr>
        <w:t>provided</w:t>
      </w:r>
      <w:r>
        <w:rPr>
          <w:rFonts w:ascii="Arial" w:cs="Arial" w:eastAsia="Arial" w:hAnsi="Arial"/>
          <w:sz w:val="21"/>
          <w:szCs w:val="21"/>
          <w:color w:val="auto"/>
        </w:rPr>
        <w:t>, that when such borrowing is incurred it is the intent of the borrower to repay such borrowings within 12 months from the date of such borrowings other than from additional Working Capital Borrowings.</w:t>
      </w:r>
    </w:p>
    <w:p>
      <w:pPr>
        <w:spacing w:after="0" w:line="201" w:lineRule="exact"/>
        <w:rPr>
          <w:sz w:val="20"/>
          <w:szCs w:val="20"/>
          <w:color w:val="auto"/>
        </w:rPr>
      </w:pPr>
    </w:p>
    <w:p>
      <w:pPr>
        <w:ind w:right="100" w:firstLine="1297"/>
        <w:spacing w:after="0" w:line="247"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i w:val="1"/>
          <w:iCs w:val="1"/>
          <w:color w:val="auto"/>
        </w:rPr>
        <w:t>Construction</w:t>
      </w:r>
      <w:r>
        <w:rPr>
          <w:rFonts w:ascii="Arial" w:cs="Arial" w:eastAsia="Arial" w:hAnsi="Arial"/>
          <w:sz w:val="21"/>
          <w:szCs w:val="21"/>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ORGANIZATION</w:t>
      </w:r>
    </w:p>
    <w:p>
      <w:pPr>
        <w:spacing w:after="0" w:line="215" w:lineRule="exact"/>
        <w:rPr>
          <w:sz w:val="20"/>
          <w:szCs w:val="20"/>
          <w:color w:val="auto"/>
        </w:rPr>
      </w:pPr>
    </w:p>
    <w:p>
      <w:pPr>
        <w:ind w:right="60" w:firstLine="1297"/>
        <w:spacing w:after="0" w:line="247"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i w:val="1"/>
          <w:iCs w:val="1"/>
          <w:color w:val="auto"/>
        </w:rPr>
        <w:t>Formation</w:t>
      </w:r>
      <w:r>
        <w:rPr>
          <w:rFonts w:ascii="Arial" w:cs="Arial" w:eastAsia="Arial" w:hAnsi="Arial"/>
          <w:sz w:val="21"/>
          <w:szCs w:val="21"/>
          <w:color w:val="auto"/>
        </w:rPr>
        <w:t>. The General Partner and the Organizational Limited Partner previously formed the Partnership as a limited partnership pursuant to the provisions of the Marshall Islands Act and hereby amend and restate the Third Amended Agreement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205" w:lineRule="exact"/>
        <w:rPr>
          <w:sz w:val="20"/>
          <w:szCs w:val="20"/>
          <w:color w:val="auto"/>
        </w:rPr>
      </w:pPr>
    </w:p>
    <w:p>
      <w:pPr>
        <w:ind w:right="60" w:firstLine="1297"/>
        <w:spacing w:after="0" w:line="279"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i w:val="1"/>
          <w:iCs w:val="1"/>
          <w:color w:val="auto"/>
        </w:rPr>
        <w:t>Name</w:t>
      </w:r>
      <w:r>
        <w:rPr>
          <w:rFonts w:ascii="Arial" w:cs="Arial" w:eastAsia="Arial" w:hAnsi="Arial"/>
          <w:sz w:val="19"/>
          <w:szCs w:val="19"/>
          <w:color w:val="auto"/>
        </w:rPr>
        <w:t>. The name of the Partnership shall be “GasLog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 may change the name of the Partnership at any time and from time to time in compliance with the requirements of the Marshall Islands Act and shall notify the General Partner and the Limited Partners of such change in the next regular communication to the Limited Partners.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5" w:name="page36"/>
    <w:bookmarkEnd w:id="35"/>
    <w:p>
      <w:pPr>
        <w:ind w:right="20" w:firstLine="1297"/>
        <w:spacing w:after="0" w:line="274"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i w:val="1"/>
          <w:iCs w:val="1"/>
          <w:color w:val="auto"/>
        </w:rPr>
        <w:t>Registered Office; Registered Agent; Principal Office; Other Offices</w:t>
      </w:r>
      <w:r>
        <w:rPr>
          <w:rFonts w:ascii="Arial" w:cs="Arial" w:eastAsia="Arial" w:hAnsi="Arial"/>
          <w:sz w:val="19"/>
          <w:szCs w:val="19"/>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 Company of The Marshall Islands, Inc. The principal office of the Partnership shall be located at Gildo Pastor Center, 7 Rue du Gabian, MC 98000, Monaco,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Gildo Pastor Center, 7 Rue du Gabian, MC 98000, Monaco, or such other place as the General Partner may from time to time designate by notice to the Limited Partners.</w:t>
      </w:r>
    </w:p>
    <w:p>
      <w:pPr>
        <w:spacing w:after="0" w:line="186" w:lineRule="exact"/>
        <w:rPr>
          <w:sz w:val="20"/>
          <w:szCs w:val="20"/>
          <w:color w:val="auto"/>
        </w:rPr>
      </w:pPr>
    </w:p>
    <w:p>
      <w:pPr>
        <w:ind w:firstLine="1297"/>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i w:val="1"/>
          <w:iCs w:val="1"/>
          <w:color w:val="auto"/>
        </w:rPr>
        <w:t>Purpose and Business</w:t>
      </w:r>
      <w:r>
        <w:rPr>
          <w:rFonts w:ascii="Arial" w:cs="Arial" w:eastAsia="Arial" w:hAnsi="Arial"/>
          <w:sz w:val="19"/>
          <w:szCs w:val="19"/>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w:t>
      </w:r>
    </w:p>
    <w:p>
      <w:pPr>
        <w:spacing w:after="0" w:line="178" w:lineRule="exact"/>
        <w:rPr>
          <w:sz w:val="20"/>
          <w:szCs w:val="20"/>
          <w:color w:val="auto"/>
        </w:rPr>
      </w:pPr>
    </w:p>
    <w:p>
      <w:pPr>
        <w:ind w:right="340" w:firstLine="1297"/>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i w:val="1"/>
          <w:iCs w:val="1"/>
          <w:color w:val="auto"/>
        </w:rPr>
        <w:t>Powers</w:t>
      </w:r>
      <w:r>
        <w:rPr>
          <w:rFonts w:ascii="Arial" w:cs="Arial" w:eastAsia="Arial" w:hAnsi="Arial"/>
          <w:sz w:val="22"/>
          <w:szCs w:val="22"/>
          <w:color w:val="auto"/>
        </w:rPr>
        <w:t xml:space="preserve">. The Partnership shall be empowered to do any and all acts and things necessary and appropriate for the furtherance and accomplishment of the purposes and business described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for the protection and benefit of the Partnership.</w:t>
      </w:r>
    </w:p>
    <w:p>
      <w:pPr>
        <w:spacing w:after="0" w:line="213"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i w:val="1"/>
          <w:iCs w:val="1"/>
          <w:color w:val="auto"/>
        </w:rPr>
        <w:t>Term</w:t>
      </w:r>
      <w:r>
        <w:rPr>
          <w:rFonts w:ascii="Arial" w:cs="Arial" w:eastAsia="Arial" w:hAnsi="Arial"/>
          <w:sz w:val="21"/>
          <w:szCs w:val="21"/>
          <w:color w:val="auto"/>
        </w:rPr>
        <w:t xml:space="preserve">. The term of the Partnership commenced upon the filing of the Certificate of Limited Partnership in accordance with the Marshall Islands Act and shall continue in existence until the dissolution of the Partnership in accordance with the provisions of </w:t>
      </w:r>
      <w:r>
        <w:rPr>
          <w:rFonts w:ascii="Arial" w:cs="Arial" w:eastAsia="Arial" w:hAnsi="Arial"/>
          <w:sz w:val="21"/>
          <w:szCs w:val="21"/>
          <w:u w:val="single" w:color="auto"/>
          <w:color w:val="auto"/>
        </w:rPr>
        <w:t>Article XII</w:t>
      </w:r>
      <w:r>
        <w:rPr>
          <w:rFonts w:ascii="Arial" w:cs="Arial" w:eastAsia="Arial" w:hAnsi="Arial"/>
          <w:sz w:val="21"/>
          <w:szCs w:val="21"/>
          <w:color w:val="auto"/>
        </w:rPr>
        <w:t>. The existence of the Partnership as a separate legal entity shall continue until the cancellation of the Certificate of Limited Partnership as provided in the Marshall Islands Act.</w:t>
      </w:r>
    </w:p>
    <w:p>
      <w:pPr>
        <w:spacing w:after="0" w:line="201"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i w:val="1"/>
          <w:iCs w:val="1"/>
          <w:color w:val="auto"/>
        </w:rPr>
        <w:t>Title to Partnership Assets</w:t>
      </w:r>
      <w:r>
        <w:rPr>
          <w:rFonts w:ascii="Arial" w:cs="Arial" w:eastAsia="Arial" w:hAnsi="Arial"/>
          <w:sz w:val="19"/>
          <w:szCs w:val="19"/>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General Partner shall use commercially reasonable efforts to cause record title to such assets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those assets in respect of which the Board of Directors determines that the expense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6" w:name="page37"/>
    <w:bookmarkEnd w:id="36"/>
    <w:p>
      <w:pPr>
        <w:ind w:right="40"/>
        <w:spacing w:after="0" w:line="235" w:lineRule="auto"/>
        <w:rPr>
          <w:sz w:val="20"/>
          <w:szCs w:val="20"/>
          <w:color w:val="auto"/>
        </w:rPr>
      </w:pPr>
      <w:r>
        <w:rPr>
          <w:rFonts w:ascii="Arial" w:cs="Arial" w:eastAsia="Arial" w:hAnsi="Arial"/>
          <w:sz w:val="22"/>
          <w:szCs w:val="22"/>
          <w:color w:val="auto"/>
        </w:rPr>
        <w:t xml:space="preserve">and difficulty of conveyancing makes transfer of record title to the Partnership impracticable) to be vested in the Partnership as soon as reasonably practicable;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Board of Directors. All Partnership assets shall be recorded as the property of the Partnership in its books and records, irrespective of the name in which record title to such Partnership assets is held.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RIGHTS OF LIMITED PARTNERS</w:t>
      </w:r>
    </w:p>
    <w:p>
      <w:pPr>
        <w:spacing w:after="0" w:line="215"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i w:val="1"/>
          <w:iCs w:val="1"/>
          <w:color w:val="auto"/>
        </w:rPr>
        <w:t>Limitation of Liability</w:t>
      </w:r>
      <w:r>
        <w:rPr>
          <w:rFonts w:ascii="Arial" w:cs="Arial" w:eastAsia="Arial" w:hAnsi="Arial"/>
          <w:sz w:val="22"/>
          <w:szCs w:val="22"/>
          <w:color w:val="auto"/>
        </w:rPr>
        <w:t>. The Limited Partners shall have no liability under this Agreement except as expressly provided in this Agreement or the Marshall Islands Act.</w:t>
      </w:r>
    </w:p>
    <w:p>
      <w:pPr>
        <w:spacing w:after="0" w:line="200"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i w:val="1"/>
          <w:iCs w:val="1"/>
          <w:color w:val="auto"/>
        </w:rPr>
        <w:t>Management of Business</w:t>
      </w:r>
      <w:r>
        <w:rPr>
          <w:rFonts w:ascii="Arial" w:cs="Arial" w:eastAsia="Arial" w:hAnsi="Arial"/>
          <w:sz w:val="19"/>
          <w:szCs w:val="19"/>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 30 of the Marshall Islands Act) and shall not affect, impair or eliminate the limitations on the liability of the Limited Partners under this Agreement.</w:t>
      </w:r>
    </w:p>
    <w:p>
      <w:pPr>
        <w:spacing w:after="0" w:line="185"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i w:val="1"/>
          <w:iCs w:val="1"/>
          <w:color w:val="auto"/>
        </w:rPr>
        <w:t>Outside Activities of the Limited Partners</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and the Omnibus Agreement, which shall continue to be applicable to the Persons referred to therein, regardless of whether such Persons shall also be Limited Partners, each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215" w:lineRule="exact"/>
        <w:rPr>
          <w:sz w:val="20"/>
          <w:szCs w:val="20"/>
          <w:color w:val="auto"/>
        </w:rPr>
      </w:pPr>
    </w:p>
    <w:p>
      <w:pPr>
        <w:ind w:right="240" w:firstLine="1297"/>
        <w:spacing w:after="0" w:line="238"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i w:val="1"/>
          <w:iCs w:val="1"/>
          <w:color w:val="auto"/>
        </w:rPr>
        <w:t>Rights of Limited Partners</w:t>
      </w:r>
      <w:r>
        <w:rPr>
          <w:rFonts w:ascii="Arial" w:cs="Arial" w:eastAsia="Arial" w:hAnsi="Arial"/>
          <w:sz w:val="22"/>
          <w:szCs w:val="22"/>
          <w:color w:val="auto"/>
        </w:rPr>
        <w:t xml:space="preserve">. (a) In addition to other rights provided by this Agreement or by the Marshall Islands Act, and except as limited by </w:t>
      </w:r>
      <w:r>
        <w:rPr>
          <w:rFonts w:ascii="Arial" w:cs="Arial" w:eastAsia="Arial" w:hAnsi="Arial"/>
          <w:sz w:val="22"/>
          <w:szCs w:val="22"/>
          <w:u w:val="single" w:color="auto"/>
          <w:color w:val="auto"/>
        </w:rPr>
        <w:t>Section 3.4(b)</w:t>
      </w:r>
      <w:r>
        <w:rPr>
          <w:rFonts w:ascii="Arial" w:cs="Arial" w:eastAsia="Arial" w:hAnsi="Arial"/>
          <w:sz w:val="22"/>
          <w:szCs w:val="22"/>
          <w:color w:val="auto"/>
        </w:rPr>
        <w:t>, each Limited Partner shall have the right, for a purpose reasonably related to such Limited Partner’s interest as a Limited Partner in the Partnership, upon reasonable written demand stating the purpose of such demand and at such Limited Partner’s own expense, to:</w:t>
      </w:r>
    </w:p>
    <w:p>
      <w:pPr>
        <w:spacing w:after="0" w:line="212"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have furnished to him a current list of the name and last known business, residence or mailing address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each Partner;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7" w:name="page38"/>
    <w:bookmarkEnd w:id="37"/>
    <w:p>
      <w:pPr>
        <w:jc w:val="both"/>
        <w:ind w:left="660" w:right="460" w:firstLine="645"/>
        <w:spacing w:after="0"/>
        <w:tabs>
          <w:tab w:leader="none" w:pos="1977" w:val="left"/>
        </w:tabs>
        <w:numPr>
          <w:ilvl w:val="0"/>
          <w:numId w:val="17"/>
        </w:numPr>
        <w:rPr>
          <w:rFonts w:ascii="Arial" w:cs="Arial" w:eastAsia="Arial" w:hAnsi="Arial"/>
          <w:sz w:val="22"/>
          <w:szCs w:val="22"/>
          <w:color w:val="auto"/>
        </w:rPr>
      </w:pPr>
      <w:r>
        <w:rPr>
          <w:rFonts w:ascii="Arial" w:cs="Arial" w:eastAsia="Arial" w:hAnsi="Arial"/>
          <w:sz w:val="22"/>
          <w:szCs w:val="22"/>
          <w:color w:val="auto"/>
        </w:rPr>
        <w:t>obtain true and full information regarding the amount of cash and a description and statement of the Net Agreed Value of any other Capital Contribution by each Partner and which each Partner has agreed to contribute in the future, and the date on which each became a Partner;</w:t>
      </w:r>
    </w:p>
    <w:p>
      <w:pPr>
        <w:spacing w:after="0" w:line="213" w:lineRule="exact"/>
        <w:rPr>
          <w:rFonts w:ascii="Arial" w:cs="Arial" w:eastAsia="Arial" w:hAnsi="Arial"/>
          <w:sz w:val="22"/>
          <w:szCs w:val="22"/>
          <w:color w:val="auto"/>
        </w:rPr>
      </w:pPr>
    </w:p>
    <w:p>
      <w:pPr>
        <w:ind w:left="660" w:right="1020" w:firstLine="645"/>
        <w:spacing w:after="0" w:line="251" w:lineRule="auto"/>
        <w:tabs>
          <w:tab w:leader="none" w:pos="1983" w:val="left"/>
        </w:tabs>
        <w:numPr>
          <w:ilvl w:val="0"/>
          <w:numId w:val="17"/>
        </w:numPr>
        <w:rPr>
          <w:rFonts w:ascii="Arial" w:cs="Arial" w:eastAsia="Arial" w:hAnsi="Arial"/>
          <w:sz w:val="22"/>
          <w:szCs w:val="22"/>
          <w:color w:val="auto"/>
        </w:rPr>
      </w:pPr>
      <w:r>
        <w:rPr>
          <w:rFonts w:ascii="Arial" w:cs="Arial" w:eastAsia="Arial" w:hAnsi="Arial"/>
          <w:sz w:val="22"/>
          <w:szCs w:val="22"/>
          <w:color w:val="auto"/>
        </w:rPr>
        <w:t>have furnished to him a copy of this Agreement and the Certificate of Limited Partnership and all amendments thereto;</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obtain true and full information regarding the status of the business and financial condition of the Partnership</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Group; and</w:t>
      </w:r>
    </w:p>
    <w:p>
      <w:pPr>
        <w:spacing w:after="0" w:line="215" w:lineRule="exact"/>
        <w:rPr>
          <w:rFonts w:ascii="Arial" w:cs="Arial" w:eastAsia="Arial" w:hAnsi="Arial"/>
          <w:sz w:val="19"/>
          <w:szCs w:val="19"/>
          <w:color w:val="auto"/>
        </w:rPr>
      </w:pPr>
    </w:p>
    <w:p>
      <w:pPr>
        <w:ind w:left="1960" w:hanging="655"/>
        <w:spacing w:after="0"/>
        <w:tabs>
          <w:tab w:leader="none" w:pos="19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obtain such other information regarding the affairs of the Partnership as is just and reasonable.</w:t>
      </w:r>
    </w:p>
    <w:p>
      <w:pPr>
        <w:spacing w:after="0" w:line="233" w:lineRule="exact"/>
        <w:rPr>
          <w:sz w:val="20"/>
          <w:szCs w:val="20"/>
          <w:color w:val="auto"/>
        </w:rPr>
      </w:pPr>
    </w:p>
    <w:p>
      <w:pPr>
        <w:ind w:right="140" w:firstLine="1305"/>
        <w:spacing w:after="0" w:line="248" w:lineRule="auto"/>
        <w:tabs>
          <w:tab w:leader="none" w:pos="1954"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 best interests of the Partnership Group, (B) could damage the Partnership Group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CERTIFICATES; RECORD HOLDERS; TRANSFER OF PARTNERSHIP INTERESTS</w:t>
      </w:r>
    </w:p>
    <w:p>
      <w:pPr>
        <w:spacing w:after="0" w:line="215" w:lineRule="exact"/>
        <w:rPr>
          <w:sz w:val="20"/>
          <w:szCs w:val="20"/>
          <w:color w:val="auto"/>
        </w:rPr>
      </w:pPr>
    </w:p>
    <w:p>
      <w:pPr>
        <w:ind w:right="140" w:firstLine="1297"/>
        <w:spacing w:after="0" w:line="245"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i w:val="1"/>
          <w:iCs w:val="1"/>
          <w:color w:val="auto"/>
        </w:rPr>
        <w:t>Certificates</w:t>
      </w:r>
      <w:r>
        <w:rPr>
          <w:rFonts w:ascii="Arial" w:cs="Arial" w:eastAsia="Arial" w:hAnsi="Arial"/>
          <w:sz w:val="21"/>
          <w:szCs w:val="21"/>
          <w:color w:val="auto"/>
        </w:rPr>
        <w:t xml:space="preserve">. Partnership Interests shall be evidenced in certificated and uncertificated form as determined by the Board of Directors. Certificates that may be issued shall be executed on behalf of the Partnership by the Chairman of the Board of Directors, President, Chief Executive Officer or any Executive Vice President or Vice President and the Chief Financial Officer or the Secretary or any Assistant Secretary of the General Partner. If a Transfer Agent has been appointed for a class or series of Partnership Interests, no Certificate for such class or series of Partnership Interests shall be valid for any purpose until it has been countersigned by the Transfer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Board of Directors elects to cause the Partnership to issue Partnership Interests of such class or series in global form, the Certificate shall be valid upon receipt of a certificate from the Transfer Agent certifying that the Partnership Interests have been duly registered in accordance with the directions of the Partnership.</w:t>
      </w:r>
    </w:p>
    <w:p>
      <w:pPr>
        <w:spacing w:after="0" w:line="212"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i w:val="1"/>
          <w:iCs w:val="1"/>
          <w:color w:val="auto"/>
        </w:rPr>
        <w:t>Mutilated, Destroyed, Lost or Stolen Certificates.</w:t>
      </w:r>
      <w:r>
        <w:rPr>
          <w:rFonts w:ascii="Arial" w:cs="Arial" w:eastAsia="Arial" w:hAnsi="Arial"/>
          <w:sz w:val="21"/>
          <w:szCs w:val="21"/>
          <w:color w:val="auto"/>
        </w:rPr>
        <w:t xml:space="preserve"> (a) If any mutilated Certificate is surrendered to the Transfer Agent (for Common Units or Preference Units) or the Partnership (for Partnership Interests other than Common Units or Preference Units), the appropriate Officers on behalf of the Partnership shall execute, and the Transfer Agent (for Common Units or Preference Units) shall countersign and deliver in exchange therefor, a new Certificate evidencing the same number and type of Partnership Interests as the Certificate so surrendered.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8" w:name="page39"/>
    <w:bookmarkEnd w:id="38"/>
    <w:p>
      <w:pPr>
        <w:ind w:right="140" w:firstLine="1305"/>
        <w:spacing w:after="0"/>
        <w:tabs>
          <w:tab w:leader="none" w:pos="1954"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appropriate Officers on behalf of the Partnership shall execute and deliver, and the Transfer Agent (for Common Units or Preference Units), as applicable, shall countersign, a new Certificate in place of any Certificate previously issued, or issue uncertificated Units, if the Record Holder of the Certificate:</w:t>
      </w:r>
    </w:p>
    <w:p>
      <w:pPr>
        <w:spacing w:after="0" w:line="186" w:lineRule="exact"/>
        <w:rPr>
          <w:sz w:val="20"/>
          <w:szCs w:val="20"/>
          <w:color w:val="auto"/>
        </w:rPr>
      </w:pPr>
    </w:p>
    <w:p>
      <w:pPr>
        <w:ind w:left="660" w:right="480" w:firstLine="645"/>
        <w:spacing w:after="0" w:line="251" w:lineRule="auto"/>
        <w:tabs>
          <w:tab w:leader="none" w:pos="1971" w:val="left"/>
        </w:tabs>
        <w:numPr>
          <w:ilvl w:val="0"/>
          <w:numId w:val="20"/>
        </w:numPr>
        <w:rPr>
          <w:rFonts w:ascii="Arial" w:cs="Arial" w:eastAsia="Arial" w:hAnsi="Arial"/>
          <w:sz w:val="22"/>
          <w:szCs w:val="22"/>
          <w:color w:val="auto"/>
        </w:rPr>
      </w:pPr>
      <w:r>
        <w:rPr>
          <w:rFonts w:ascii="Arial" w:cs="Arial" w:eastAsia="Arial" w:hAnsi="Arial"/>
          <w:sz w:val="22"/>
          <w:szCs w:val="22"/>
          <w:color w:val="auto"/>
        </w:rPr>
        <w:t>makes proof by affidavit, in form and substance satisfactory to the Partnership, that a previously issued Certificate has been lost, destroyed or stolen;</w:t>
      </w:r>
    </w:p>
    <w:p>
      <w:pPr>
        <w:spacing w:after="0" w:line="173" w:lineRule="exact"/>
        <w:rPr>
          <w:rFonts w:ascii="Arial" w:cs="Arial" w:eastAsia="Arial" w:hAnsi="Arial"/>
          <w:sz w:val="22"/>
          <w:szCs w:val="22"/>
          <w:color w:val="auto"/>
        </w:rPr>
      </w:pPr>
    </w:p>
    <w:p>
      <w:pPr>
        <w:jc w:val="both"/>
        <w:ind w:left="660" w:right="140" w:firstLine="645"/>
        <w:spacing w:after="0" w:line="328" w:lineRule="auto"/>
        <w:tabs>
          <w:tab w:leader="none" w:pos="1977"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requests the issuance of a new Certificate or the issuance of uncertificated Units before the Partnership has notice that the Certificate has been acquired by a purchaser for value in good faith and without notice of an adverse claim;</w:t>
      </w:r>
    </w:p>
    <w:p>
      <w:pPr>
        <w:spacing w:after="0" w:line="105" w:lineRule="exact"/>
        <w:rPr>
          <w:rFonts w:ascii="Arial" w:cs="Arial" w:eastAsia="Arial" w:hAnsi="Arial"/>
          <w:sz w:val="19"/>
          <w:szCs w:val="19"/>
          <w:color w:val="auto"/>
        </w:rPr>
      </w:pPr>
    </w:p>
    <w:p>
      <w:pPr>
        <w:ind w:left="660" w:right="60" w:firstLine="645"/>
        <w:spacing w:after="0" w:line="238" w:lineRule="auto"/>
        <w:tabs>
          <w:tab w:leader="none" w:pos="1983"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satisfies any other reasonable requirements imposed by the Board of Directors.</w:t>
      </w:r>
    </w:p>
    <w:p>
      <w:pPr>
        <w:spacing w:after="0" w:line="206"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If a Limited Partner fails to notify the Partnership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uncertificated Units.</w:t>
      </w:r>
    </w:p>
    <w:p>
      <w:pPr>
        <w:spacing w:after="0" w:line="188" w:lineRule="exact"/>
        <w:rPr>
          <w:sz w:val="20"/>
          <w:szCs w:val="20"/>
          <w:color w:val="auto"/>
        </w:rPr>
      </w:pPr>
    </w:p>
    <w:p>
      <w:pPr>
        <w:ind w:right="280" w:firstLine="1305"/>
        <w:spacing w:after="0" w:line="297" w:lineRule="auto"/>
        <w:tabs>
          <w:tab w:leader="none" w:pos="1955"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As a condition to the issuance of any new Certificate or uncertificated Units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34"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color w:val="auto"/>
        </w:rPr>
        <w:t xml:space="preserve">Section 4.3. </w:t>
      </w:r>
      <w:r>
        <w:rPr>
          <w:rFonts w:ascii="Arial" w:cs="Arial" w:eastAsia="Arial" w:hAnsi="Arial"/>
          <w:sz w:val="21"/>
          <w:szCs w:val="21"/>
          <w:i w:val="1"/>
          <w:iCs w:val="1"/>
          <w:color w:val="auto"/>
        </w:rPr>
        <w:t>Record Holders</w:t>
      </w:r>
      <w:r>
        <w:rPr>
          <w:rFonts w:ascii="Arial" w:cs="Arial" w:eastAsia="Arial" w:hAnsi="Arial"/>
          <w:sz w:val="21"/>
          <w:szCs w:val="21"/>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Record Holder of such Partnership</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39" w:name="page40"/>
    <w:bookmarkEnd w:id="39"/>
    <w:p>
      <w:pPr>
        <w:ind w:right="40"/>
        <w:spacing w:after="0" w:line="251" w:lineRule="auto"/>
        <w:rPr>
          <w:sz w:val="20"/>
          <w:szCs w:val="20"/>
          <w:color w:val="auto"/>
        </w:rPr>
      </w:pPr>
      <w:r>
        <w:rPr>
          <w:rFonts w:ascii="Arial" w:cs="Arial" w:eastAsia="Arial" w:hAnsi="Arial"/>
          <w:sz w:val="22"/>
          <w:szCs w:val="22"/>
          <w:color w:val="auto"/>
        </w:rPr>
        <w:t>Interest and (b) shall be bound by this Agreement and shall have the rights and obligations of a Partner hereunder and as, and to the extent, provided for herein.</w:t>
      </w:r>
    </w:p>
    <w:p>
      <w:pPr>
        <w:spacing w:after="0" w:line="173"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i w:val="1"/>
          <w:iCs w:val="1"/>
          <w:color w:val="auto"/>
        </w:rPr>
        <w:t>Transfer Generally.</w:t>
      </w:r>
      <w:r>
        <w:rPr>
          <w:rFonts w:ascii="Arial" w:cs="Arial" w:eastAsia="Arial" w:hAnsi="Arial"/>
          <w:sz w:val="21"/>
          <w:szCs w:val="21"/>
          <w:color w:val="auto"/>
        </w:rPr>
        <w:t xml:space="preserve"> (a) The term “transfer,” when used in this Agreement with respect to a Partnership Interest, shall mean a transaction (i) by which the General Partner assigns its General Partner Units to another Person or by which a holder of Incentive Distribution Rights assigns its Incentive Distribution Rights to another Person, and includes a sale, assignment, gift, pledge, encumbrance, hypothecation, mortgage, exchange or any other disposition by law or otherwise or (ii) by which the holder of a Limited Partner Interest (other than an Incentive Distribution Right) assigns such Limited Partner Interest to another Person who is or becomes a Limited Partner, and includes a sale, assignment, gift, exchange or any other disposition by law or otherwise, excluding a pledge, encumbrance, hypothecation or mortgage, but including any transfer upon foreclosure of any pledge, encumbrance, hypothecation or mortgage.</w:t>
      </w:r>
    </w:p>
    <w:p>
      <w:pPr>
        <w:spacing w:after="0" w:line="181" w:lineRule="exact"/>
        <w:rPr>
          <w:sz w:val="20"/>
          <w:szCs w:val="20"/>
          <w:color w:val="auto"/>
        </w:rPr>
      </w:pPr>
    </w:p>
    <w:p>
      <w:pPr>
        <w:ind w:right="80" w:firstLine="1305"/>
        <w:spacing w:after="0"/>
        <w:tabs>
          <w:tab w:leader="none" w:pos="1954"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No Partnership Interest shall be transferred, in whole or in part, except in accordance with the terms and conditions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Any transfer or purported transfer of a Partnership Interest not made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null and void.</w:t>
      </w:r>
    </w:p>
    <w:p>
      <w:pPr>
        <w:spacing w:after="0" w:line="186" w:lineRule="exact"/>
        <w:rPr>
          <w:rFonts w:ascii="Arial" w:cs="Arial" w:eastAsia="Arial" w:hAnsi="Arial"/>
          <w:sz w:val="22"/>
          <w:szCs w:val="22"/>
          <w:color w:val="auto"/>
        </w:rPr>
      </w:pPr>
    </w:p>
    <w:p>
      <w:pPr>
        <w:ind w:firstLine="1305"/>
        <w:spacing w:after="0" w:line="297" w:lineRule="auto"/>
        <w:tabs>
          <w:tab w:leader="none" w:pos="1955" w:val="left"/>
        </w:tabs>
        <w:numPr>
          <w:ilvl w:val="0"/>
          <w:numId w:val="22"/>
        </w:numPr>
        <w:rPr>
          <w:rFonts w:ascii="Arial" w:cs="Arial" w:eastAsia="Arial" w:hAnsi="Arial"/>
          <w:sz w:val="19"/>
          <w:szCs w:val="19"/>
          <w:color w:val="auto"/>
        </w:rPr>
      </w:pPr>
      <w:r>
        <w:rPr>
          <w:rFonts w:ascii="Arial" w:cs="Arial" w:eastAsia="Arial" w:hAnsi="Arial"/>
          <w:sz w:val="19"/>
          <w:szCs w:val="19"/>
          <w:color w:val="auto"/>
        </w:rPr>
        <w:t>Nothing contained in this Agreement shall be construed to prevent a disposition by any stockholder, member, partner or other owner of the General Partner of any or all of the shares of stock, membership interests, partnership interests or other ownership interests in the General Partner, and the term “transfer” shall not mean any such disposition.</w:t>
      </w:r>
    </w:p>
    <w:p>
      <w:pPr>
        <w:spacing w:after="0" w:line="134"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i w:val="1"/>
          <w:iCs w:val="1"/>
          <w:color w:val="auto"/>
        </w:rPr>
        <w:t>Registration and Transfer of Limited Partner Interests.</w:t>
      </w:r>
      <w:r>
        <w:rPr>
          <w:rFonts w:ascii="Arial" w:cs="Arial" w:eastAsia="Arial" w:hAnsi="Arial"/>
          <w:sz w:val="19"/>
          <w:szCs w:val="19"/>
          <w:color w:val="auto"/>
        </w:rPr>
        <w:t xml:space="preserve"> (a) The General Partner shall keep or cause to be kept on behalf of the Partnership a register in which, subject to such reasonable regulations as it may prescribe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the Partnership will provide for the registration and transfer of Limited Partner Interests. The Transfer Agent is hereby appointed registrar and transfer agent for the purpose of registering Common Units and Preference Units and transfers of such Common Units and Preference Units as herein provided. The Partnership shall not recognize transfers of Certificates evidencing Limited Partner Interests unless such transfers are effected in the manner described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Upon surrender of a Certificate for registration of transfer of any Limited Partner Interests evidenced by a Certificate,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the appropriate Officers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156" w:lineRule="exact"/>
        <w:rPr>
          <w:sz w:val="20"/>
          <w:szCs w:val="20"/>
          <w:color w:val="auto"/>
        </w:rPr>
      </w:pPr>
    </w:p>
    <w:p>
      <w:pPr>
        <w:jc w:val="both"/>
        <w:ind w:right="40" w:firstLine="1305"/>
        <w:spacing w:after="0" w:line="252" w:lineRule="auto"/>
        <w:tabs>
          <w:tab w:leader="none" w:pos="1954"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If Limited Partner Interests are evidenced by Certificates, 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as a condition to the issuance of any new Certificate under this </w:t>
      </w:r>
      <w:r>
        <w:rPr>
          <w:rFonts w:ascii="Arial" w:cs="Arial" w:eastAsia="Arial" w:hAnsi="Arial"/>
          <w:sz w:val="21"/>
          <w:szCs w:val="21"/>
          <w:u w:val="single" w:color="auto"/>
          <w:color w:val="auto"/>
        </w:rPr>
        <w:t>Section 4.5</w:t>
      </w:r>
      <w:r>
        <w:rPr>
          <w:rFonts w:ascii="Arial" w:cs="Arial" w:eastAsia="Arial" w:hAnsi="Arial"/>
          <w:sz w:val="21"/>
          <w:szCs w:val="21"/>
          <w:color w:val="auto"/>
        </w:rPr>
        <w:t>, the Partnership may require the payment of a sum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sufficient to cover any tax or other governmental charge that may be imposed with respect thereto.</w:t>
      </w:r>
    </w:p>
    <w:p>
      <w:pPr>
        <w:spacing w:after="0" w:line="206" w:lineRule="exact"/>
        <w:rPr>
          <w:sz w:val="20"/>
          <w:szCs w:val="20"/>
          <w:color w:val="auto"/>
        </w:rPr>
      </w:pPr>
    </w:p>
    <w:p>
      <w:pPr>
        <w:ind w:right="60" w:firstLine="1305"/>
        <w:spacing w:after="0" w:line="270" w:lineRule="auto"/>
        <w:tabs>
          <w:tab w:leader="none" w:pos="1955"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By acceptance of the transfer of a Limited Partner Interest in accordance with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except as otherwise provided in </w:t>
      </w:r>
      <w:r>
        <w:rPr>
          <w:rFonts w:ascii="Arial" w:cs="Arial" w:eastAsia="Arial" w:hAnsi="Arial"/>
          <w:sz w:val="19"/>
          <w:szCs w:val="19"/>
          <w:u w:val="single" w:color="auto"/>
          <w:color w:val="auto"/>
        </w:rPr>
        <w:t>Section 4.8</w:t>
      </w:r>
      <w:r>
        <w:rPr>
          <w:rFonts w:ascii="Arial" w:cs="Arial" w:eastAsia="Arial" w:hAnsi="Arial"/>
          <w:sz w:val="19"/>
          <w:szCs w:val="19"/>
          <w:color w:val="auto"/>
        </w:rPr>
        <w:t>,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Person when any such transfer or admission is reflected in the books and records of the Partnership and such Limited Partner becomes the Record Holder of the Limited Partner Interests so transferred, (ii) shall become bound, and shall be deemed to have agreed to be bound, by the terms of this Agreement,</w:t>
      </w:r>
    </w:p>
    <w:p>
      <w:pPr>
        <w:spacing w:after="0" w:line="1" w:lineRule="exact"/>
        <w:rPr>
          <w:rFonts w:ascii="Arial" w:cs="Arial" w:eastAsia="Arial" w:hAnsi="Arial"/>
          <w:sz w:val="19"/>
          <w:szCs w:val="19"/>
          <w:color w:val="auto"/>
        </w:rPr>
      </w:pPr>
    </w:p>
    <w:p>
      <w:pPr>
        <w:ind w:right="160" w:firstLine="8"/>
        <w:spacing w:after="0" w:line="233" w:lineRule="auto"/>
        <w:tabs>
          <w:tab w:leader="none" w:pos="378"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represents that the transferee has the capacity, power and authority to enter into this Agreement and (iv) makes the consents, acknowledgments and waivers contained in this Agreement, all with or without execution of this Agreement by such Person. The transfer of any Limited Partner Interests and the admission of any new Limited Partner shall not constitute an amendment to this Agreement.</w:t>
      </w:r>
    </w:p>
    <w:p>
      <w:pPr>
        <w:spacing w:after="0" w:line="188" w:lineRule="exact"/>
        <w:rPr>
          <w:rFonts w:ascii="Arial" w:cs="Arial" w:eastAsia="Arial" w:hAnsi="Arial"/>
          <w:sz w:val="22"/>
          <w:szCs w:val="22"/>
          <w:color w:val="auto"/>
        </w:rPr>
      </w:pPr>
    </w:p>
    <w:p>
      <w:pPr>
        <w:ind w:right="140" w:firstLine="1305"/>
        <w:spacing w:after="0" w:line="251" w:lineRule="auto"/>
        <w:tabs>
          <w:tab w:leader="none" w:pos="19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applicable securities laws, Limited Partner Interests shall be freely transferable.</w:t>
      </w:r>
    </w:p>
    <w:p>
      <w:pPr>
        <w:spacing w:after="0" w:line="173" w:lineRule="exact"/>
        <w:rPr>
          <w:rFonts w:ascii="Arial" w:cs="Arial" w:eastAsia="Arial" w:hAnsi="Arial"/>
          <w:sz w:val="22"/>
          <w:szCs w:val="22"/>
          <w:color w:val="auto"/>
        </w:rPr>
      </w:pPr>
    </w:p>
    <w:p>
      <w:pPr>
        <w:ind w:right="100" w:firstLine="1305"/>
        <w:spacing w:after="0" w:line="251" w:lineRule="auto"/>
        <w:tabs>
          <w:tab w:leader="none" w:pos="1955"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General Partner and its Affiliates shall have the right at any time to transfer their Common Units or any Preference Units to one or more Persons.</w:t>
      </w:r>
    </w:p>
    <w:p>
      <w:pPr>
        <w:spacing w:after="0" w:line="173" w:lineRule="exact"/>
        <w:rPr>
          <w:sz w:val="20"/>
          <w:szCs w:val="20"/>
          <w:color w:val="auto"/>
        </w:rPr>
      </w:pPr>
    </w:p>
    <w:p>
      <w:pPr>
        <w:ind w:right="20" w:firstLine="1297"/>
        <w:spacing w:after="0" w:line="270"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i w:val="1"/>
          <w:iCs w:val="1"/>
          <w:color w:val="auto"/>
        </w:rPr>
        <w:t>Transfer of the General Partner’s General Partner Interest.</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4.6(c)</w:t>
      </w:r>
      <w:r>
        <w:rPr>
          <w:rFonts w:ascii="Arial" w:cs="Arial" w:eastAsia="Arial" w:hAnsi="Arial"/>
          <w:sz w:val="19"/>
          <w:szCs w:val="19"/>
          <w:color w:val="auto"/>
        </w:rPr>
        <w:t xml:space="preserve"> below, prior to March 31, 2024, the General Partner shall not transfer all or any part of its General Partner Interest (represented by General Partner Units) to a Person unless such transfer (i) has been approved by the prior written consent or vote of the holders of at least a majority of the Outstanding Common Units (excluding Common Units held by the General Partner and its Affiliates) or (ii) is of all, but not less than all, of its General Partner Interest to (A) an Affiliate of the General Partner (other than an individual) or</w:t>
      </w:r>
    </w:p>
    <w:p>
      <w:pPr>
        <w:spacing w:after="0" w:line="4" w:lineRule="exact"/>
        <w:rPr>
          <w:sz w:val="20"/>
          <w:szCs w:val="20"/>
          <w:color w:val="auto"/>
        </w:rPr>
      </w:pPr>
    </w:p>
    <w:p>
      <w:pPr>
        <w:ind w:right="80" w:firstLine="8"/>
        <w:spacing w:after="0" w:line="308" w:lineRule="auto"/>
        <w:tabs>
          <w:tab w:leader="none" w:pos="342"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another Person (other than an individual) in connection with (y) the merger or consolidation of the General Partner with or into such other Person or (z) the transfer by the General Partner of all or substantially all of its assets to such other Person.</w:t>
      </w:r>
    </w:p>
    <w:p>
      <w:pPr>
        <w:spacing w:after="0" w:line="123" w:lineRule="exact"/>
        <w:rPr>
          <w:rFonts w:ascii="Arial" w:cs="Arial" w:eastAsia="Arial" w:hAnsi="Arial"/>
          <w:sz w:val="19"/>
          <w:szCs w:val="19"/>
          <w:color w:val="auto"/>
        </w:rPr>
      </w:pPr>
    </w:p>
    <w:p>
      <w:pPr>
        <w:ind w:firstLine="1305"/>
        <w:spacing w:after="0" w:line="251" w:lineRule="auto"/>
        <w:tabs>
          <w:tab w:leader="none" w:pos="1954"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4.6(c)</w:t>
      </w:r>
      <w:r>
        <w:rPr>
          <w:rFonts w:ascii="Arial" w:cs="Arial" w:eastAsia="Arial" w:hAnsi="Arial"/>
          <w:sz w:val="22"/>
          <w:szCs w:val="22"/>
          <w:color w:val="auto"/>
        </w:rPr>
        <w:t xml:space="preserve"> below, on or after March 31, 2024, the General Partner may transfer all or any of its General Partner Interest without Unitholder approval.</w:t>
      </w:r>
    </w:p>
    <w:p>
      <w:pPr>
        <w:spacing w:after="0" w:line="173" w:lineRule="exact"/>
        <w:rPr>
          <w:rFonts w:ascii="Arial" w:cs="Arial" w:eastAsia="Arial" w:hAnsi="Arial"/>
          <w:sz w:val="22"/>
          <w:szCs w:val="22"/>
          <w:color w:val="auto"/>
        </w:rPr>
      </w:pPr>
    </w:p>
    <w:p>
      <w:pPr>
        <w:ind w:firstLine="1305"/>
        <w:spacing w:after="0" w:line="277" w:lineRule="auto"/>
        <w:tabs>
          <w:tab w:leader="none" w:pos="1955" w:val="left"/>
        </w:tabs>
        <w:numPr>
          <w:ilvl w:val="1"/>
          <w:numId w:val="26"/>
        </w:numPr>
        <w:rPr>
          <w:rFonts w:ascii="Arial" w:cs="Arial" w:eastAsia="Arial" w:hAnsi="Arial"/>
          <w:sz w:val="19"/>
          <w:szCs w:val="19"/>
          <w:color w:val="auto"/>
        </w:rPr>
      </w:pPr>
      <w:r>
        <w:rPr>
          <w:rFonts w:ascii="Arial" w:cs="Arial" w:eastAsia="Arial" w:hAnsi="Arial"/>
          <w:sz w:val="19"/>
          <w:szCs w:val="19"/>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under the laws of any such entity’s jurisdiction of formation and (iii) such transferee also agrees to purchase all (or the appropriate portion thereof, if applicable) of the partnership or membership interest of the General Partner as the general partner or managing member, if any, of each other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1" w:name="page42"/>
    <w:bookmarkEnd w:id="41"/>
    <w:p>
      <w:pPr>
        <w:ind w:right="360"/>
        <w:spacing w:after="0" w:line="238" w:lineRule="auto"/>
        <w:rPr>
          <w:sz w:val="20"/>
          <w:szCs w:val="20"/>
          <w:color w:val="auto"/>
        </w:rPr>
      </w:pPr>
      <w:r>
        <w:rPr>
          <w:rFonts w:ascii="Arial" w:cs="Arial" w:eastAsia="Arial" w:hAnsi="Arial"/>
          <w:sz w:val="22"/>
          <w:szCs w:val="22"/>
          <w:color w:val="auto"/>
        </w:rPr>
        <w:t xml:space="preserve">Group Member. In the case of a transfer pursuant to and in compliance with this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the transferee or successor (as the case may be) shall, subject to compliance with the terms of </w:t>
      </w:r>
      <w:r>
        <w:rPr>
          <w:rFonts w:ascii="Arial" w:cs="Arial" w:eastAsia="Arial" w:hAnsi="Arial"/>
          <w:sz w:val="22"/>
          <w:szCs w:val="22"/>
          <w:u w:val="single" w:color="auto"/>
          <w:color w:val="auto"/>
        </w:rPr>
        <w:t>Section 10.3</w:t>
      </w:r>
      <w:r>
        <w:rPr>
          <w:rFonts w:ascii="Arial" w:cs="Arial" w:eastAsia="Arial" w:hAnsi="Arial"/>
          <w:sz w:val="22"/>
          <w:szCs w:val="22"/>
          <w:color w:val="auto"/>
        </w:rPr>
        <w:t>, be admitted to the Partnership as the General Partner immediately prior to the transfer of the General Partner Interest, and the business of the Partnership shall continue without dissolution.</w:t>
      </w:r>
    </w:p>
    <w:p>
      <w:pPr>
        <w:spacing w:after="0" w:line="185" w:lineRule="exact"/>
        <w:rPr>
          <w:sz w:val="20"/>
          <w:szCs w:val="20"/>
          <w:color w:val="auto"/>
        </w:rPr>
      </w:pPr>
    </w:p>
    <w:p>
      <w:pPr>
        <w:ind w:right="20" w:firstLine="1297"/>
        <w:spacing w:after="0" w:line="276"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i w:val="1"/>
          <w:iCs w:val="1"/>
          <w:color w:val="auto"/>
        </w:rPr>
        <w:t>Transfer of Incentive Distribution Rights</w:t>
      </w:r>
      <w:r>
        <w:rPr>
          <w:rFonts w:ascii="Arial" w:cs="Arial" w:eastAsia="Arial" w:hAnsi="Arial"/>
          <w:sz w:val="19"/>
          <w:szCs w:val="19"/>
          <w:color w:val="auto"/>
        </w:rPr>
        <w:t>. Prior to March 31, 2019, a holder of Incentive Distribution Rights may transfer any or all of the Incentive Distribution Rights held by such holder without any consent of the Unitholders to</w:t>
      </w:r>
    </w:p>
    <w:p>
      <w:pPr>
        <w:spacing w:after="0" w:line="2" w:lineRule="exact"/>
        <w:rPr>
          <w:sz w:val="20"/>
          <w:szCs w:val="20"/>
          <w:color w:val="auto"/>
        </w:rPr>
      </w:pPr>
    </w:p>
    <w:p>
      <w:pPr>
        <w:ind w:firstLine="8"/>
        <w:spacing w:after="0" w:line="271" w:lineRule="auto"/>
        <w:tabs>
          <w:tab w:leader="none" w:pos="294"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an Affiliate of such holder (other than an individual) or (b) another Person (other than an individual) in connection with (i) the merger or consolidation of such holder of Incentive Distribution Rights with or into such other Person or (ii) the transfer by such holder of all or substantially all of its assets to such other Person. Any other transfer of the Incentive Distribution Rights prior to March 31, 2019, shall require the prior approval of holders of at least a majority of the Outstanding Common Units (excluding Common Units held by GasLog and its Affiliates). On or after March 31, 2019, any holder of Incentive Distribution Rights may transfer any or all of its Incentive Distribution Rights without Unitholder approval. Notwithstanding anything herein to the contrary, (a) the transfer of Common Units issued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shall not be treated as a transfer of all or any part of the Incentive Distribution Rights and (b) no transfer of Incentive Distribution Rights to another Person shall be permitted unless the transferee agrees to be bound by the provisions of this Agreement. The General Partner and any transferee or transferees of the Incentive Distribution Rights may agree in a separate instrument as to the General Partner’s exercise of its rights with respect to the Incentive Distribution Rights under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right="140" w:firstLine="1297"/>
        <w:spacing w:after="0" w:line="271"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i w:val="1"/>
          <w:iCs w:val="1"/>
          <w:color w:val="auto"/>
        </w:rPr>
        <w:t>Restrictions on Transfers.</w:t>
      </w:r>
      <w:r>
        <w:rPr>
          <w:rFonts w:ascii="Arial" w:cs="Arial" w:eastAsia="Arial" w:hAnsi="Arial"/>
          <w:sz w:val="19"/>
          <w:szCs w:val="19"/>
          <w:color w:val="auto"/>
        </w:rPr>
        <w:t xml:space="preserve"> (a) Except as provided in </w:t>
      </w:r>
      <w:r>
        <w:rPr>
          <w:rFonts w:ascii="Arial" w:cs="Arial" w:eastAsia="Arial" w:hAnsi="Arial"/>
          <w:sz w:val="19"/>
          <w:szCs w:val="19"/>
          <w:u w:val="single" w:color="auto"/>
          <w:color w:val="auto"/>
        </w:rPr>
        <w:t>Section 4.8(b)</w:t>
      </w:r>
      <w:r>
        <w:rPr>
          <w:rFonts w:ascii="Arial" w:cs="Arial" w:eastAsia="Arial" w:hAnsi="Arial"/>
          <w:sz w:val="19"/>
          <w:szCs w:val="19"/>
          <w:color w:val="auto"/>
        </w:rPr>
        <w:t xml:space="preserve"> below, but notwithstanding the other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no transfer of any Partnership Interests shall be made if such transfer would (i) violate the then applicable U.S. federal or state securities laws, laws of the Republic of the Marshall Islands or rules and regulations of the Commission, any state securities commission or any other governmental authority with jurisdiction over such transfer or</w:t>
      </w:r>
    </w:p>
    <w:p>
      <w:pPr>
        <w:spacing w:after="0" w:line="4" w:lineRule="exact"/>
        <w:rPr>
          <w:sz w:val="20"/>
          <w:szCs w:val="20"/>
          <w:color w:val="auto"/>
        </w:rPr>
      </w:pPr>
    </w:p>
    <w:p>
      <w:pPr>
        <w:ind w:right="700" w:firstLine="8"/>
        <w:spacing w:after="0" w:line="237" w:lineRule="auto"/>
        <w:tabs>
          <w:tab w:leader="none" w:pos="31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terminate the existence or qualification of the Partnership or any Group Member under the laws of the jurisdiction of its formation.</w:t>
      </w:r>
    </w:p>
    <w:p>
      <w:pPr>
        <w:spacing w:after="0" w:line="184" w:lineRule="exact"/>
        <w:rPr>
          <w:rFonts w:ascii="Arial" w:cs="Arial" w:eastAsia="Arial" w:hAnsi="Arial"/>
          <w:sz w:val="22"/>
          <w:szCs w:val="22"/>
          <w:color w:val="auto"/>
        </w:rPr>
      </w:pPr>
    </w:p>
    <w:p>
      <w:pPr>
        <w:ind w:right="200" w:firstLine="1305"/>
        <w:spacing w:after="0"/>
        <w:tabs>
          <w:tab w:leader="none" w:pos="1954"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CAPITAL CONTRIBUTIONS AND ISSUANCE OF PARTNERSHIP INTERESTS</w:t>
      </w:r>
    </w:p>
    <w:p>
      <w:pPr>
        <w:spacing w:after="0" w:line="188" w:lineRule="exact"/>
        <w:rPr>
          <w:sz w:val="20"/>
          <w:szCs w:val="20"/>
          <w:color w:val="auto"/>
        </w:rPr>
      </w:pPr>
    </w:p>
    <w:p>
      <w:pPr>
        <w:jc w:val="both"/>
        <w:ind w:right="80" w:firstLine="1297"/>
        <w:spacing w:after="0" w:line="252" w:lineRule="auto"/>
        <w:rPr>
          <w:sz w:val="20"/>
          <w:szCs w:val="20"/>
          <w:color w:val="auto"/>
        </w:rPr>
      </w:pPr>
      <w:r>
        <w:rPr>
          <w:rFonts w:ascii="Arial" w:cs="Arial" w:eastAsia="Arial" w:hAnsi="Arial"/>
          <w:sz w:val="21"/>
          <w:szCs w:val="21"/>
          <w:color w:val="auto"/>
        </w:rPr>
        <w:t xml:space="preserve">Section 5.1. </w:t>
      </w:r>
      <w:r>
        <w:rPr>
          <w:rFonts w:ascii="Arial" w:cs="Arial" w:eastAsia="Arial" w:hAnsi="Arial"/>
          <w:sz w:val="21"/>
          <w:szCs w:val="21"/>
          <w:i w:val="1"/>
          <w:iCs w:val="1"/>
          <w:color w:val="auto"/>
        </w:rPr>
        <w:t>Contributions Prior to the Closing Date.</w:t>
      </w:r>
      <w:r>
        <w:rPr>
          <w:rFonts w:ascii="Arial" w:cs="Arial" w:eastAsia="Arial" w:hAnsi="Arial"/>
          <w:sz w:val="21"/>
          <w:szCs w:val="21"/>
          <w:color w:val="auto"/>
        </w:rPr>
        <w:t xml:space="preserve"> In connection with the formation of the Partnership under the Marshall Islands Act, the General Partner made an initial Capital Contribution in the amount of $20, for a 2% General Partner Interest in the Partnership (the “</w:t>
      </w:r>
      <w:r>
        <w:rPr>
          <w:rFonts w:ascii="Arial" w:cs="Arial" w:eastAsia="Arial" w:hAnsi="Arial"/>
          <w:sz w:val="21"/>
          <w:szCs w:val="21"/>
          <w:b w:val="1"/>
          <w:bCs w:val="1"/>
          <w:i w:val="1"/>
          <w:iCs w:val="1"/>
          <w:color w:val="auto"/>
        </w:rPr>
        <w:t>Initial General Partner Interest</w:t>
      </w:r>
      <w:r>
        <w:rPr>
          <w:rFonts w:ascii="Arial" w:cs="Arial" w:eastAsia="Arial" w:hAnsi="Arial"/>
          <w:sz w:val="21"/>
          <w:szCs w:val="21"/>
          <w:color w:val="auto"/>
        </w:rPr>
        <w:t>”) and was admitted as the General Partner of the Partnership, and the Organizational Limited Partner made an initial Capital Contribution in the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2" w:name="page43"/>
    <w:bookmarkEnd w:id="42"/>
    <w:p>
      <w:pPr>
        <w:ind w:right="100"/>
        <w:spacing w:after="0" w:line="251" w:lineRule="auto"/>
        <w:rPr>
          <w:sz w:val="20"/>
          <w:szCs w:val="20"/>
          <w:color w:val="auto"/>
        </w:rPr>
      </w:pPr>
      <w:r>
        <w:rPr>
          <w:rFonts w:ascii="Arial" w:cs="Arial" w:eastAsia="Arial" w:hAnsi="Arial"/>
          <w:sz w:val="22"/>
          <w:szCs w:val="22"/>
          <w:color w:val="auto"/>
        </w:rPr>
        <w:t>amount of $980 for a 98% limited partner interest in the Partnership (the “</w:t>
      </w:r>
      <w:r>
        <w:rPr>
          <w:rFonts w:ascii="Arial" w:cs="Arial" w:eastAsia="Arial" w:hAnsi="Arial"/>
          <w:sz w:val="22"/>
          <w:szCs w:val="22"/>
          <w:b w:val="1"/>
          <w:bCs w:val="1"/>
          <w:i w:val="1"/>
          <w:iCs w:val="1"/>
          <w:color w:val="auto"/>
        </w:rPr>
        <w:t>Initial Limited Partner Interest</w:t>
      </w:r>
      <w:r>
        <w:rPr>
          <w:rFonts w:ascii="Arial" w:cs="Arial" w:eastAsia="Arial" w:hAnsi="Arial"/>
          <w:sz w:val="22"/>
          <w:szCs w:val="22"/>
          <w:color w:val="auto"/>
        </w:rPr>
        <w:t>”) and was admitted as a Limited Partner of the Partnership.</w:t>
      </w:r>
    </w:p>
    <w:p>
      <w:pPr>
        <w:spacing w:after="0" w:line="173" w:lineRule="exact"/>
        <w:rPr>
          <w:sz w:val="20"/>
          <w:szCs w:val="20"/>
          <w:color w:val="auto"/>
        </w:rPr>
      </w:pPr>
    </w:p>
    <w:p>
      <w:pPr>
        <w:ind w:right="20" w:firstLine="1297"/>
        <w:spacing w:after="0" w:line="233"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i w:val="1"/>
          <w:iCs w:val="1"/>
          <w:color w:val="auto"/>
        </w:rPr>
        <w:t>Initial Unit Issuances; Tax Election; Initial Contributors and Redemption of Common Units.</w:t>
      </w:r>
      <w:r>
        <w:rPr>
          <w:rFonts w:ascii="Arial" w:cs="Arial" w:eastAsia="Arial" w:hAnsi="Arial"/>
          <w:sz w:val="22"/>
          <w:szCs w:val="22"/>
          <w:color w:val="auto"/>
        </w:rPr>
        <w:t xml:space="preserve"> (a) On the Closing Date, automatically pursuant to this Agreement and the Contribution Agreement (i) GasLog made a Capital Contribution of the Vessel Interests to the Partnership in exchange for (A) 162,358 Common Units, representing a 0.81% limited partner interest in the Partnership, (B) 9,822,358 Subordinated Units (as defined in the Third Amended Agreement), representing a 49.0% limited partner interest in the Partnership (which Subordinated Units converted into Common Units on a one-for-one basis on May 16, 2017 pursuant to the Third Amended Agreement), (C) all of the Incentive Distribution Rights, (D) a payment of $68.8 million and (E) the right to receive the Deferred Issuance and Distribution, (ii) the Initial Limited Partner Interest was redeemed and (iii) the Initial General Partner Interest was converted into 400,913 General Partner Units (representing a 2.0% interest in the Partnership).</w:t>
      </w:r>
    </w:p>
    <w:p>
      <w:pPr>
        <w:spacing w:after="0" w:line="194" w:lineRule="exact"/>
        <w:rPr>
          <w:sz w:val="20"/>
          <w:szCs w:val="20"/>
          <w:color w:val="auto"/>
        </w:rPr>
      </w:pPr>
    </w:p>
    <w:p>
      <w:pPr>
        <w:ind w:right="100" w:firstLine="1305"/>
        <w:spacing w:after="0"/>
        <w:tabs>
          <w:tab w:leader="none" w:pos="19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On the Closing Date and pursuant to the Underwriting Agreement, each Underwriter contributed cash to the Partnership in exchange for the issuance by the Partnership of Common Units to each Underwriter, all as set forth in the Underwriting Agreement.</w:t>
      </w:r>
    </w:p>
    <w:p>
      <w:pPr>
        <w:spacing w:after="0" w:line="186" w:lineRule="exact"/>
        <w:rPr>
          <w:rFonts w:ascii="Arial" w:cs="Arial" w:eastAsia="Arial" w:hAnsi="Arial"/>
          <w:sz w:val="22"/>
          <w:szCs w:val="22"/>
          <w:color w:val="auto"/>
        </w:rPr>
      </w:pPr>
    </w:p>
    <w:p>
      <w:pPr>
        <w:jc w:val="both"/>
        <w:ind w:right="960" w:firstLine="1305"/>
        <w:spacing w:after="0"/>
        <w:tabs>
          <w:tab w:leader="none" w:pos="1955" w:val="left"/>
        </w:tabs>
        <w:numPr>
          <w:ilvl w:val="0"/>
          <w:numId w:val="29"/>
        </w:numPr>
        <w:rPr>
          <w:rFonts w:ascii="Arial" w:cs="Arial" w:eastAsia="Arial" w:hAnsi="Arial"/>
          <w:sz w:val="22"/>
          <w:szCs w:val="22"/>
          <w:color w:val="auto"/>
        </w:rPr>
      </w:pPr>
      <w:r>
        <w:rPr>
          <w:rFonts w:ascii="Arial" w:cs="Arial" w:eastAsia="Arial" w:hAnsi="Arial"/>
          <w:sz w:val="22"/>
          <w:szCs w:val="22"/>
          <w:color w:val="auto"/>
        </w:rPr>
        <w:t>Upon the exercise, if any, of the Over-Allotment Option, each Underwriter contributed cash to the Partnership in exchange for the issuance by the Partnership of Common Units to each Underwriter, all as set forth in the Underwriting Agreement.</w:t>
      </w:r>
    </w:p>
    <w:p>
      <w:pPr>
        <w:spacing w:after="0" w:line="186" w:lineRule="exact"/>
        <w:rPr>
          <w:rFonts w:ascii="Arial" w:cs="Arial" w:eastAsia="Arial" w:hAnsi="Arial"/>
          <w:sz w:val="22"/>
          <w:szCs w:val="22"/>
          <w:color w:val="auto"/>
        </w:rPr>
      </w:pPr>
    </w:p>
    <w:p>
      <w:pPr>
        <w:ind w:right="280" w:firstLine="1305"/>
        <w:spacing w:after="0" w:line="25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Effective on or before the Closing Date, the Partnership elected to be treated as an association taxable as a corporation for U.S. federal income tax purposes.</w:t>
      </w:r>
    </w:p>
    <w:p>
      <w:pPr>
        <w:spacing w:after="0" w:line="173" w:lineRule="exact"/>
        <w:rPr>
          <w:rFonts w:ascii="Arial" w:cs="Arial" w:eastAsia="Arial" w:hAnsi="Arial"/>
          <w:sz w:val="22"/>
          <w:szCs w:val="22"/>
          <w:color w:val="auto"/>
        </w:rPr>
      </w:pPr>
    </w:p>
    <w:p>
      <w:pPr>
        <w:jc w:val="both"/>
        <w:ind w:right="120" w:firstLine="1305"/>
        <w:spacing w:after="0" w:line="238" w:lineRule="auto"/>
        <w:tabs>
          <w:tab w:leader="none" w:pos="1955"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No Limited Partner Interests were issued or issuable as of or at the Closing Date other than (i) the Common Units and Subordinated Units issuable pursuant to </w:t>
      </w:r>
      <w:r>
        <w:rPr>
          <w:rFonts w:ascii="Arial" w:cs="Arial" w:eastAsia="Arial" w:hAnsi="Arial"/>
          <w:sz w:val="22"/>
          <w:szCs w:val="22"/>
          <w:u w:val="single" w:color="auto"/>
          <w:color w:val="auto"/>
        </w:rPr>
        <w:t>Section 5.2(a)</w:t>
      </w:r>
      <w:r>
        <w:rPr>
          <w:rFonts w:ascii="Arial" w:cs="Arial" w:eastAsia="Arial" w:hAnsi="Arial"/>
          <w:sz w:val="22"/>
          <w:szCs w:val="22"/>
          <w:color w:val="auto"/>
        </w:rPr>
        <w:t>, (ii) any Common Units issued pursuant to the Deferred Issuance and Distribution, (iii) the Common Units issued to the Underwriters as described in subparagraphs (b) and (c) hereof and (iv) the Incentive Distribution Rights.</w:t>
      </w:r>
    </w:p>
    <w:p>
      <w:pPr>
        <w:spacing w:after="0" w:line="185"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i w:val="1"/>
          <w:iCs w:val="1"/>
          <w:color w:val="auto"/>
        </w:rPr>
        <w:t>Interest and Withdrawal</w:t>
      </w:r>
      <w:r>
        <w:rPr>
          <w:rFonts w:ascii="Arial" w:cs="Arial" w:eastAsia="Arial" w:hAnsi="Arial"/>
          <w:sz w:val="19"/>
          <w:szCs w:val="19"/>
          <w:color w:val="auto"/>
        </w:rPr>
        <w:t>. No interest shall be paid by the Partnership on Capital Contributions. No Partner shall be entitled to the withdrawal or return of its Capital Contribution, except to the extent, if any, that distributions made pursuant to this Agreement or upon dissolution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48"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i w:val="1"/>
          <w:iCs w:val="1"/>
          <w:color w:val="auto"/>
        </w:rPr>
        <w:t>Issuances of Additional Partnership Interests.</w:t>
      </w:r>
      <w:r>
        <w:rPr>
          <w:rFonts w:ascii="Arial" w:cs="Arial" w:eastAsia="Arial" w:hAnsi="Arial"/>
          <w:sz w:val="21"/>
          <w:szCs w:val="21"/>
          <w:color w:val="auto"/>
        </w:rPr>
        <w:t xml:space="preserve"> (a) Subject to any approvals required by Series A Holders pursuant to </w:t>
      </w:r>
      <w:r>
        <w:rPr>
          <w:rFonts w:ascii="Arial" w:cs="Arial" w:eastAsia="Arial" w:hAnsi="Arial"/>
          <w:sz w:val="21"/>
          <w:szCs w:val="21"/>
          <w:u w:val="single" w:color="auto"/>
          <w:color w:val="auto"/>
        </w:rPr>
        <w:t>Section 16.5(c)(ii)</w:t>
      </w:r>
      <w:r>
        <w:rPr>
          <w:rFonts w:ascii="Arial" w:cs="Arial" w:eastAsia="Arial" w:hAnsi="Arial"/>
          <w:sz w:val="21"/>
          <w:szCs w:val="21"/>
          <w:color w:val="auto"/>
        </w:rPr>
        <w:t xml:space="preserve">, any approvals required by Series B Holders pursuant to </w:t>
      </w:r>
      <w:r>
        <w:rPr>
          <w:rFonts w:ascii="Arial" w:cs="Arial" w:eastAsia="Arial" w:hAnsi="Arial"/>
          <w:sz w:val="21"/>
          <w:szCs w:val="21"/>
          <w:u w:val="single" w:color="auto"/>
          <w:color w:val="auto"/>
        </w:rPr>
        <w:t>Section 17.5(c)(ii)</w:t>
      </w:r>
      <w:r>
        <w:rPr>
          <w:rFonts w:ascii="Arial" w:cs="Arial" w:eastAsia="Arial" w:hAnsi="Arial"/>
          <w:sz w:val="21"/>
          <w:szCs w:val="21"/>
          <w:color w:val="auto"/>
        </w:rPr>
        <w:t xml:space="preserve"> and any approvals required by Series C Holders pursuant to </w:t>
      </w:r>
      <w:r>
        <w:rPr>
          <w:rFonts w:ascii="Arial" w:cs="Arial" w:eastAsia="Arial" w:hAnsi="Arial"/>
          <w:sz w:val="21"/>
          <w:szCs w:val="21"/>
          <w:u w:val="single" w:color="auto"/>
          <w:color w:val="auto"/>
        </w:rPr>
        <w:t>Section 18.5(c)(ii)</w:t>
      </w:r>
      <w:r>
        <w:rPr>
          <w:rFonts w:ascii="Arial" w:cs="Arial" w:eastAsia="Arial" w:hAnsi="Arial"/>
          <w:sz w:val="21"/>
          <w:szCs w:val="21"/>
          <w:color w:val="auto"/>
        </w:rPr>
        <w:t>, the Partnership may issue additional Partnership Interests and options, rights, warrants and appreciation rights relating to the Partnership Interests for 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3" w:name="page44"/>
    <w:bookmarkEnd w:id="43"/>
    <w:p>
      <w:pPr>
        <w:ind w:right="160"/>
        <w:spacing w:after="0" w:line="251" w:lineRule="auto"/>
        <w:rPr>
          <w:sz w:val="20"/>
          <w:szCs w:val="20"/>
          <w:color w:val="auto"/>
        </w:rPr>
      </w:pPr>
      <w:r>
        <w:rPr>
          <w:rFonts w:ascii="Arial" w:cs="Arial" w:eastAsia="Arial" w:hAnsi="Arial"/>
          <w:sz w:val="22"/>
          <w:szCs w:val="22"/>
          <w:color w:val="auto"/>
        </w:rPr>
        <w:t>Partnership purpose at any time and from time to time to such Persons for such consideration and on such terms and conditions as the Board of Directors shall determine, all without the approval of any Partners.</w:t>
      </w:r>
    </w:p>
    <w:p>
      <w:pPr>
        <w:spacing w:after="0" w:line="173" w:lineRule="exact"/>
        <w:rPr>
          <w:sz w:val="20"/>
          <w:szCs w:val="20"/>
          <w:color w:val="auto"/>
        </w:rPr>
      </w:pPr>
    </w:p>
    <w:p>
      <w:pPr>
        <w:ind w:left="1960" w:hanging="655"/>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Each additional Partnership Interest authorized to be issued by the Partnership pursuant to</w:t>
      </w:r>
    </w:p>
    <w:p>
      <w:pPr>
        <w:spacing w:after="0" w:line="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157" w:lineRule="exact"/>
        <w:rPr>
          <w:sz w:val="20"/>
          <w:szCs w:val="20"/>
          <w:color w:val="auto"/>
        </w:rPr>
      </w:pPr>
    </w:p>
    <w:p>
      <w:pPr>
        <w:ind w:right="100" w:firstLine="1305"/>
        <w:spacing w:after="0" w:line="272" w:lineRule="auto"/>
        <w:tabs>
          <w:tab w:leader="none" w:pos="1955"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The Board of Directors shall take all actions that it determines to be necessary or appropriate in connection with (i) each issuance of Partnership Interests and options, rights, warrants and appreciation rights relating to Partnership Interests pursuant to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including Common Units issued in connection with the Deferred Issuance and Distribution, (ii) the conversion of the General Partner Interest (represented by General Partner Units) or any Incentive Distribution Rights into Units pursuant to the terms of this Agreement, (iii) the issuance of Common Units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(iv) the admission of additional Limited Partners and (v) all additional issuances of Partnership Interests. The Board of Directors shall determine the relative rights, powers and duties of the holders of the Units or other Partnership Interests being so issued. The Board of Directors shall do all things necessary to comply with the Marshall Islands Act and is authorized and directed to do all things that it determines to be necessary or appropriate in connection with any future issuance of Partnership Interests or in connection with the conversion of the General Partner Interest or any Incentive Distribution Rights into Units pursuant to the terms of this Agreement, including compliance with any statute, rule, regulation or guideline of any federal, state or other governmental agency or any National Securities Exchange on which the Units or other Partnership Interests are listed or admitted to trading.</w:t>
      </w:r>
    </w:p>
    <w:p>
      <w:pPr>
        <w:spacing w:after="0" w:line="162" w:lineRule="exact"/>
        <w:rPr>
          <w:sz w:val="20"/>
          <w:szCs w:val="20"/>
          <w:color w:val="auto"/>
        </w:rPr>
      </w:pPr>
    </w:p>
    <w:p>
      <w:pPr>
        <w:ind w:firstLine="1297"/>
        <w:spacing w:after="0" w:line="279"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i w:val="1"/>
          <w:iCs w:val="1"/>
          <w:color w:val="auto"/>
        </w:rPr>
        <w:t>Limitations on Issuance of Additional Partnership Interests</w:t>
      </w:r>
      <w:r>
        <w:rPr>
          <w:rFonts w:ascii="Arial" w:cs="Arial" w:eastAsia="Arial" w:hAnsi="Arial"/>
          <w:sz w:val="19"/>
          <w:szCs w:val="19"/>
          <w:color w:val="auto"/>
        </w:rPr>
        <w:t xml:space="preserve">. The Partnership may issue an unlimited number of Partnership Interests (or options, rights, warrants or appreciation rights related thereto) pursuant to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without the approval of the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fractional units shall be issued by the Partnership;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4" w:name="page45"/>
    <w:bookmarkEnd w:id="44"/>
    <w:p>
      <w:pPr>
        <w:ind w:right="40" w:firstLine="1297"/>
        <w:spacing w:after="0" w:line="245"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i w:val="1"/>
          <w:iCs w:val="1"/>
          <w:color w:val="auto"/>
        </w:rPr>
        <w:t>Limited Preemptive Right.</w:t>
      </w:r>
      <w:r>
        <w:rPr>
          <w:rFonts w:ascii="Arial" w:cs="Arial" w:eastAsia="Arial" w:hAnsi="Arial"/>
          <w:sz w:val="21"/>
          <w:szCs w:val="21"/>
          <w:color w:val="auto"/>
        </w:rPr>
        <w:t xml:space="preserve"> (a) Except as provided in this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no Person shall have any preemptive, preferential or other similar right with respect to the issuance of any Partnership Interest, whether unissued, held in the treasury or hereafter created. The General Partner shall have the right, which it may from time to time assign in whole or in part to any of its Affiliates, to purchase Partnership Interests from the Partnership whenever, and on the same terms that, the Partnership issues Partnership Interests to Persons other than the General Partner and its Affiliates, to the extent necessary to maintain the Percentage Interests of the General Partner and its Affiliates equal to that which existed immediately prior to the issuance of such Partnership Interests;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amount of any series of Preference Units issued by the Partnership from time to time that the General Partner shall have a right to purchase pursuant to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shall equal the product of (a) the aggregate Percentage Interest of the General Partner and its Affiliates multiplied by (b) the number of such series of Preference Units so issued.</w:t>
      </w:r>
    </w:p>
    <w:p>
      <w:pPr>
        <w:spacing w:after="0" w:line="182" w:lineRule="exact"/>
        <w:rPr>
          <w:sz w:val="20"/>
          <w:szCs w:val="20"/>
          <w:color w:val="auto"/>
        </w:rPr>
      </w:pPr>
    </w:p>
    <w:p>
      <w:pPr>
        <w:ind w:right="100" w:firstLine="1305"/>
        <w:spacing w:after="0" w:line="245" w:lineRule="auto"/>
        <w:tabs>
          <w:tab w:leader="none" w:pos="1954"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Upon the issuance of any additional Limited Partner Interests by the Partnership (other than Common Units issued pursuant to </w:t>
      </w:r>
      <w:r>
        <w:rPr>
          <w:rFonts w:ascii="Arial" w:cs="Arial" w:eastAsia="Arial" w:hAnsi="Arial"/>
          <w:sz w:val="21"/>
          <w:szCs w:val="21"/>
          <w:u w:val="single" w:color="auto"/>
          <w:color w:val="auto"/>
        </w:rPr>
        <w:t>Section 5.2(a)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5.2(c)</w:t>
      </w:r>
      <w:r>
        <w:rPr>
          <w:rFonts w:ascii="Arial" w:cs="Arial" w:eastAsia="Arial" w:hAnsi="Arial"/>
          <w:sz w:val="21"/>
          <w:szCs w:val="21"/>
          <w:color w:val="auto"/>
        </w:rPr>
        <w:t xml:space="preserve"> and Common Units issued in connection with a reset of the Incentive Distribution target levels or the issuance of Limited Partner Interests upon conversion of Outstanding Limited Partner Interests), the General Partner may, in exchange for a proportionate number of General Partner Units, make additional Capital Contributions in an amount equal to the product obtained by multiplying (i) the quotient determined by dividing (A) the General Partner’s Percentage Interest immediately prior to such issuance by (B) 100 less the General Partner’s Percentage Interest immediately prior to such issuance by (ii) the amount contributed to the Partnership by the Limited Partners in exchange for such additional Limited Partner Interests. The General Partner shall not be obligated to make additional Capital Contributions to the Partnership.</w:t>
      </w:r>
    </w:p>
    <w:p>
      <w:pPr>
        <w:spacing w:after="0" w:line="185"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i w:val="1"/>
          <w:iCs w:val="1"/>
          <w:color w:val="auto"/>
        </w:rPr>
        <w:t>Splits and Combinations.</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5.7(d)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(dealing with adjustments of distribution levels), the Partnership may make a Pro Rata distribution of Partnership Interests (other than Series A Preference Units, Series B Preference Units and Series C Preference Units) to all Record Holders of the same class or series of Partnership Interests or may effect a subdivision or combination of the same class or series of Partnership Interests so long as, after any such event, each Partner holding such class or series of such Partnership Interests shall have the same Percentage Interest in the Partnership as before such event, and any amounts calculated on a per Unit basis (including those based on the Series A Liquidation Preference, the Series B Liquidation Preference, the Series C Liquidation Preference, the Stated Series A Unit Liquidation Preference, the Stated Series B Unit Liquidation Preference or the Stated Series C Unit Liquidation Preference) or stated as a number of Units are proportionately adjusted, to the extent applicable.</w:t>
      </w:r>
    </w:p>
    <w:p>
      <w:pPr>
        <w:spacing w:after="0" w:line="159" w:lineRule="exact"/>
        <w:rPr>
          <w:sz w:val="20"/>
          <w:szCs w:val="20"/>
          <w:color w:val="auto"/>
        </w:rPr>
      </w:pPr>
    </w:p>
    <w:p>
      <w:pPr>
        <w:ind w:right="60" w:firstLine="1305"/>
        <w:spacing w:after="0" w:line="235" w:lineRule="auto"/>
        <w:tabs>
          <w:tab w:leader="none" w:pos="1954" w:val="left"/>
        </w:tabs>
        <w:numPr>
          <w:ilvl w:val="0"/>
          <w:numId w:val="33"/>
        </w:numPr>
        <w:rPr>
          <w:rFonts w:ascii="Arial" w:cs="Arial" w:eastAsia="Arial" w:hAnsi="Arial"/>
          <w:sz w:val="22"/>
          <w:szCs w:val="22"/>
          <w:color w:val="auto"/>
        </w:rPr>
      </w:pPr>
      <w:r>
        <w:rPr>
          <w:rFonts w:ascii="Arial" w:cs="Arial" w:eastAsia="Arial" w:hAnsi="Arial"/>
          <w:sz w:val="22"/>
          <w:szCs w:val="22"/>
          <w:color w:val="auto"/>
        </w:rPr>
        <w:t>Whenever such a Pro Rata distribution, subdivision or combination of Partnership Interests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Interests to be held by each Record Holder after giving effect to such distribution, subdivision or combination.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5" w:name="page46"/>
    <w:bookmarkEnd w:id="45"/>
    <w:p>
      <w:pPr>
        <w:ind w:right="140"/>
        <w:spacing w:after="0" w:line="251" w:lineRule="auto"/>
        <w:rPr>
          <w:sz w:val="20"/>
          <w:szCs w:val="20"/>
          <w:color w:val="auto"/>
        </w:rPr>
      </w:pPr>
      <w:r>
        <w:rPr>
          <w:rFonts w:ascii="Arial" w:cs="Arial" w:eastAsia="Arial" w:hAnsi="Arial"/>
          <w:sz w:val="22"/>
          <w:szCs w:val="22"/>
          <w:color w:val="auto"/>
        </w:rPr>
        <w:t>Board of Directors shall be entitled to rely on any certificate provided by such firm as conclusive evidence of the accuracy of such calculation.</w:t>
      </w:r>
    </w:p>
    <w:p>
      <w:pPr>
        <w:spacing w:after="0" w:line="173" w:lineRule="exact"/>
        <w:rPr>
          <w:sz w:val="20"/>
          <w:szCs w:val="20"/>
          <w:color w:val="auto"/>
        </w:rPr>
      </w:pPr>
    </w:p>
    <w:p>
      <w:pPr>
        <w:ind w:right="40" w:firstLine="1305"/>
        <w:spacing w:after="0" w:line="247" w:lineRule="auto"/>
        <w:tabs>
          <w:tab w:leader="none" w:pos="1955" w:val="left"/>
        </w:tabs>
        <w:numPr>
          <w:ilvl w:val="0"/>
          <w:numId w:val="34"/>
        </w:numPr>
        <w:rPr>
          <w:rFonts w:ascii="Arial" w:cs="Arial" w:eastAsia="Arial" w:hAnsi="Arial"/>
          <w:sz w:val="21"/>
          <w:szCs w:val="21"/>
          <w:color w:val="auto"/>
        </w:rPr>
      </w:pPr>
      <w:r>
        <w:rPr>
          <w:rFonts w:ascii="Arial" w:cs="Arial" w:eastAsia="Arial" w:hAnsi="Arial"/>
          <w:sz w:val="21"/>
          <w:szCs w:val="21"/>
          <w:color w:val="auto"/>
        </w:rPr>
        <w:t>Promptly following any such distribution, subdivision or combination, the Partnership may issue Certificates or uncertificated Partnership Interests to the Record Holders of Partnership Interests as of the applicable Record Date representing the new number of Partnership Interests held by such Record Holders, or the Board of Directors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uncertificated Partnership Interest, the surrender of any Certificate held by such Record Holder immediately prior to such Record Date.</w:t>
      </w:r>
    </w:p>
    <w:p>
      <w:pPr>
        <w:spacing w:after="0" w:line="178" w:lineRule="exact"/>
        <w:rPr>
          <w:rFonts w:ascii="Arial" w:cs="Arial" w:eastAsia="Arial" w:hAnsi="Arial"/>
          <w:sz w:val="21"/>
          <w:szCs w:val="21"/>
          <w:color w:val="auto"/>
        </w:rPr>
      </w:pPr>
    </w:p>
    <w:p>
      <w:pPr>
        <w:jc w:val="both"/>
        <w:ind w:right="220" w:firstLine="1305"/>
        <w:spacing w:after="0" w:line="238" w:lineRule="auto"/>
        <w:tabs>
          <w:tab w:leader="none" w:pos="19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The Partnership shall not issue fractional Units upon any distribution, subdivision or combination of Units. If a distribution, subdivision or combination of Units would result in the issuance of fractional Units but for the provisions of this </w:t>
      </w:r>
      <w:r>
        <w:rPr>
          <w:rFonts w:ascii="Arial" w:cs="Arial" w:eastAsia="Arial" w:hAnsi="Arial"/>
          <w:sz w:val="22"/>
          <w:szCs w:val="22"/>
          <w:u w:val="single" w:color="auto"/>
          <w:color w:val="auto"/>
        </w:rPr>
        <w:t>Section 5.7(d)</w:t>
      </w:r>
      <w:r>
        <w:rPr>
          <w:rFonts w:ascii="Arial" w:cs="Arial" w:eastAsia="Arial" w:hAnsi="Arial"/>
          <w:sz w:val="22"/>
          <w:szCs w:val="22"/>
          <w:color w:val="auto"/>
        </w:rPr>
        <w:t>, each fractional Unit shall be rounded to the nearest whole Unit (and a 0.5 Unit shall be rounded to the next higher Unit).</w:t>
      </w:r>
    </w:p>
    <w:p>
      <w:pPr>
        <w:spacing w:after="0" w:line="185"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i w:val="1"/>
          <w:iCs w:val="1"/>
          <w:color w:val="auto"/>
        </w:rPr>
        <w:t>Fully Paid and Non-Assessable Nature of Limited Partner Interests</w:t>
      </w:r>
      <w:r>
        <w:rPr>
          <w:rFonts w:ascii="Arial" w:cs="Arial" w:eastAsia="Arial" w:hAnsi="Arial"/>
          <w:sz w:val="21"/>
          <w:szCs w:val="21"/>
          <w:color w:val="auto"/>
        </w:rPr>
        <w:t xml:space="preserve">. All Limited Partner Interests issued pursuant to, and in accordance with the requirements of,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shall be fully paid and non-assessable Limited Partner Interests in the Partnership, except as such non-assessability may be affected by the Marshall Islands Act.</w:t>
      </w:r>
    </w:p>
    <w:p>
      <w:pPr>
        <w:spacing w:after="0" w:line="16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i w:val="1"/>
          <w:iCs w:val="1"/>
          <w:color w:val="auto"/>
        </w:rPr>
        <w:t xml:space="preserve">Issuance of Common Units in Connection with Reset of Incentive Distribution Rights. </w:t>
      </w:r>
      <w:r>
        <w:rPr>
          <w:rFonts w:ascii="Arial" w:cs="Arial" w:eastAsia="Arial" w:hAnsi="Arial"/>
          <w:sz w:val="19"/>
          <w:szCs w:val="19"/>
          <w:color w:val="auto"/>
        </w:rPr>
        <w:t>(a) Subject to</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5.9</w:t>
      </w:r>
      <w:r>
        <w:rPr>
          <w:rFonts w:ascii="Arial" w:cs="Arial" w:eastAsia="Arial" w:hAnsi="Arial"/>
          <w:sz w:val="21"/>
          <w:szCs w:val="21"/>
          <w:color w:val="auto"/>
        </w:rPr>
        <w:t>, the holder of the Incentive Distribution Rights (or, if there is more than one holder of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Incentive Distribution Rights, the holders of a majority in interest of the Incentive Distribution Rights) shall have the right, at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time when the Partnership has made a distribution pursuant to </w:t>
      </w:r>
      <w:r>
        <w:rPr>
          <w:rFonts w:ascii="Arial" w:cs="Arial" w:eastAsia="Arial" w:hAnsi="Arial"/>
          <w:sz w:val="19"/>
          <w:szCs w:val="19"/>
          <w:u w:val="single" w:color="auto"/>
          <w:color w:val="auto"/>
        </w:rPr>
        <w:t>Section 6.3(e)</w:t>
      </w:r>
      <w:r>
        <w:rPr>
          <w:rFonts w:ascii="Arial" w:cs="Arial" w:eastAsia="Arial" w:hAnsi="Arial"/>
          <w:sz w:val="19"/>
          <w:szCs w:val="19"/>
          <w:color w:val="auto"/>
        </w:rPr>
        <w:t xml:space="preserve"> for each of the four most recently completed Quarters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the amount of each such distribution did not exceed Adjusted Operating Surplus for such Quarter, to make an election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IDR Reset Election</w:t>
      </w:r>
      <w:r>
        <w:rPr>
          <w:rFonts w:ascii="Arial" w:cs="Arial" w:eastAsia="Arial" w:hAnsi="Arial"/>
          <w:sz w:val="19"/>
          <w:szCs w:val="19"/>
          <w:color w:val="auto"/>
        </w:rPr>
        <w:t>”) to cause the Minimum Quarterly Distribution and the Target Distributions to be reset in accordance with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provisions of </w:t>
      </w:r>
      <w:r>
        <w:rPr>
          <w:rFonts w:ascii="Arial" w:cs="Arial" w:eastAsia="Arial" w:hAnsi="Arial"/>
          <w:sz w:val="19"/>
          <w:szCs w:val="19"/>
          <w:u w:val="single" w:color="auto"/>
          <w:color w:val="auto"/>
        </w:rPr>
        <w:t>Section 5.9(e)</w:t>
      </w:r>
      <w:r>
        <w:rPr>
          <w:rFonts w:ascii="Arial" w:cs="Arial" w:eastAsia="Arial" w:hAnsi="Arial"/>
          <w:sz w:val="19"/>
          <w:szCs w:val="19"/>
          <w:color w:val="auto"/>
        </w:rPr>
        <w:t xml:space="preserve"> and, in connection therewith, the holder or holders of the Incentive Distribution Rights will become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entitled to receive their respective proportionate shares of a number of Common Units (“</w:t>
      </w:r>
      <w:r>
        <w:rPr>
          <w:rFonts w:ascii="Arial" w:cs="Arial" w:eastAsia="Arial" w:hAnsi="Arial"/>
          <w:sz w:val="19"/>
          <w:szCs w:val="19"/>
          <w:b w:val="1"/>
          <w:bCs w:val="1"/>
          <w:i w:val="1"/>
          <w:iCs w:val="1"/>
          <w:color w:val="auto"/>
        </w:rPr>
        <w:t>IDR Reset Common Units</w:t>
      </w:r>
      <w:r>
        <w:rPr>
          <w:rFonts w:ascii="Arial" w:cs="Arial" w:eastAsia="Arial" w:hAnsi="Arial"/>
          <w:sz w:val="19"/>
          <w:szCs w:val="19"/>
          <w:color w:val="auto"/>
        </w:rPr>
        <w:t>”) derived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dividing (i) the average of the aggregate amount of cash distributions made by the Partnership for each of the two full Quarters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immediately preceding the giving of the Reset Notice in respect of the Incentive Distribution Rights by (ii) the average of the cash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distributions made by the Partnership in respect of each Common Unit for each of the two full Quarters immediately preceding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giving of the Reset Notice (the number of Common Units determined by such quotient is referred to herein as the “</w:t>
      </w:r>
      <w:r>
        <w:rPr>
          <w:rFonts w:ascii="Arial" w:cs="Arial" w:eastAsia="Arial" w:hAnsi="Arial"/>
          <w:sz w:val="19"/>
          <w:szCs w:val="19"/>
          <w:b w:val="1"/>
          <w:bCs w:val="1"/>
          <w:i w:val="1"/>
          <w:iCs w:val="1"/>
          <w:color w:val="auto"/>
        </w:rPr>
        <w:t>Aggregate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Quantity of IDR Reset Common Units</w:t>
      </w:r>
      <w:r>
        <w:rPr>
          <w:rFonts w:ascii="Arial" w:cs="Arial" w:eastAsia="Arial" w:hAnsi="Arial"/>
          <w:sz w:val="19"/>
          <w:szCs w:val="19"/>
          <w:color w:val="auto"/>
        </w:rPr>
        <w:t>”). If at the time of any IDR Reset Election the General Partner and its Affiliates are not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holders of a majority interest of the Incentive Distribution Rights, then the IDR Reset Election shall be subject to the prior approval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Board of Directors that the conditions described in the immediately preceding sentence have been satisfied. Upon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issuance of such IDR Reset Common Units, the Partnership will issue to the General Partner that number of additional General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Partner Units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6" w:name="page47"/>
    <w:bookmarkEnd w:id="46"/>
    <w:p>
      <w:pPr>
        <w:spacing w:after="0" w:line="245" w:lineRule="auto"/>
        <w:rPr>
          <w:sz w:val="20"/>
          <w:szCs w:val="20"/>
          <w:color w:val="auto"/>
        </w:rPr>
      </w:pPr>
      <w:r>
        <w:rPr>
          <w:rFonts w:ascii="Arial" w:cs="Arial" w:eastAsia="Arial" w:hAnsi="Arial"/>
          <w:sz w:val="21"/>
          <w:szCs w:val="21"/>
          <w:color w:val="auto"/>
        </w:rPr>
        <w:t xml:space="preserve">equal to the product of (i) the quotient obtained by dividing (A) the Percentage Interest of the General Partner immediately prior to such issuance by (B) a percentage equal to 100% less such Percentage Interest and (ii) the number of such IDR Reset Common Units, and the General Partner shall not be obligated to make any additional Capital Contribution to the Partnership in exchange for such issuance. The making of the IDR Reset Election in the manner specified in </w:t>
      </w:r>
      <w:r>
        <w:rPr>
          <w:rFonts w:ascii="Arial" w:cs="Arial" w:eastAsia="Arial" w:hAnsi="Arial"/>
          <w:sz w:val="21"/>
          <w:szCs w:val="21"/>
          <w:u w:val="single" w:color="auto"/>
          <w:color w:val="auto"/>
        </w:rPr>
        <w:t>Section 5.9(b)</w:t>
      </w:r>
      <w:r>
        <w:rPr>
          <w:rFonts w:ascii="Arial" w:cs="Arial" w:eastAsia="Arial" w:hAnsi="Arial"/>
          <w:sz w:val="21"/>
          <w:szCs w:val="21"/>
          <w:color w:val="auto"/>
        </w:rPr>
        <w:t xml:space="preserve"> shall cause the Minimum Quarterly Distribution and the Target Distributions to be reset in accordance with the provisions of </w:t>
      </w:r>
      <w:r>
        <w:rPr>
          <w:rFonts w:ascii="Arial" w:cs="Arial" w:eastAsia="Arial" w:hAnsi="Arial"/>
          <w:sz w:val="21"/>
          <w:szCs w:val="21"/>
          <w:u w:val="single" w:color="auto"/>
          <w:color w:val="auto"/>
        </w:rPr>
        <w:t>Section 5.9(c)</w:t>
      </w:r>
      <w:r>
        <w:rPr>
          <w:rFonts w:ascii="Arial" w:cs="Arial" w:eastAsia="Arial" w:hAnsi="Arial"/>
          <w:sz w:val="21"/>
          <w:szCs w:val="21"/>
          <w:color w:val="auto"/>
        </w:rPr>
        <w:t xml:space="preserve"> and, in connection therewith, the holder or holders of the Incentive Distribution Rights will become entitled to receive IDR Reset Common Units and the General Partner will become entitled to receive General Partner Units on the basis specified above, without any further approval required by the General Partner or the Unitholders, at the time specified in </w:t>
      </w:r>
      <w:r>
        <w:rPr>
          <w:rFonts w:ascii="Arial" w:cs="Arial" w:eastAsia="Arial" w:hAnsi="Arial"/>
          <w:sz w:val="21"/>
          <w:szCs w:val="21"/>
          <w:u w:val="single" w:color="auto"/>
          <w:color w:val="auto"/>
        </w:rPr>
        <w:t>Section 5.9(c)</w:t>
      </w:r>
      <w:r>
        <w:rPr>
          <w:rFonts w:ascii="Arial" w:cs="Arial" w:eastAsia="Arial" w:hAnsi="Arial"/>
          <w:sz w:val="21"/>
          <w:szCs w:val="21"/>
          <w:color w:val="auto"/>
        </w:rPr>
        <w:t xml:space="preserve">, unless the IDR Reset Election is rescinded pursuant to </w:t>
      </w:r>
      <w:r>
        <w:rPr>
          <w:rFonts w:ascii="Arial" w:cs="Arial" w:eastAsia="Arial" w:hAnsi="Arial"/>
          <w:sz w:val="21"/>
          <w:szCs w:val="21"/>
          <w:u w:val="single" w:color="auto"/>
          <w:color w:val="auto"/>
        </w:rPr>
        <w:t>Section 5.9(d)</w:t>
      </w:r>
      <w:r>
        <w:rPr>
          <w:rFonts w:ascii="Arial" w:cs="Arial" w:eastAsia="Arial" w:hAnsi="Arial"/>
          <w:sz w:val="21"/>
          <w:szCs w:val="21"/>
          <w:color w:val="auto"/>
        </w:rPr>
        <w:t>.</w:t>
      </w:r>
    </w:p>
    <w:p>
      <w:pPr>
        <w:spacing w:after="0" w:line="185" w:lineRule="exact"/>
        <w:rPr>
          <w:sz w:val="20"/>
          <w:szCs w:val="20"/>
          <w:color w:val="auto"/>
        </w:rPr>
      </w:pPr>
    </w:p>
    <w:p>
      <w:pPr>
        <w:ind w:right="40" w:firstLine="1305"/>
        <w:spacing w:after="0" w:line="235" w:lineRule="auto"/>
        <w:tabs>
          <w:tab w:leader="none" w:pos="195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To exercise the right specified in </w:t>
      </w:r>
      <w:r>
        <w:rPr>
          <w:rFonts w:ascii="Arial" w:cs="Arial" w:eastAsia="Arial" w:hAnsi="Arial"/>
          <w:sz w:val="22"/>
          <w:szCs w:val="22"/>
          <w:u w:val="single" w:color="auto"/>
          <w:color w:val="auto"/>
        </w:rPr>
        <w:t>Section 5.9(a)</w:t>
      </w:r>
      <w:r>
        <w:rPr>
          <w:rFonts w:ascii="Arial" w:cs="Arial" w:eastAsia="Arial" w:hAnsi="Arial"/>
          <w:sz w:val="22"/>
          <w:szCs w:val="22"/>
          <w:color w:val="auto"/>
        </w:rPr>
        <w:t>, the holder of the Incentive Distribution Rights (or, if there is more than one holder of the Incentive Distribution Rights, the holders of a majority in interest of the Incentive Distribution Rights) shall deliver a written notice (the “</w:t>
      </w:r>
      <w:r>
        <w:rPr>
          <w:rFonts w:ascii="Arial" w:cs="Arial" w:eastAsia="Arial" w:hAnsi="Arial"/>
          <w:sz w:val="22"/>
          <w:szCs w:val="22"/>
          <w:b w:val="1"/>
          <w:bCs w:val="1"/>
          <w:i w:val="1"/>
          <w:iCs w:val="1"/>
          <w:color w:val="auto"/>
        </w:rPr>
        <w:t>Reset Notice</w:t>
      </w:r>
      <w:r>
        <w:rPr>
          <w:rFonts w:ascii="Arial" w:cs="Arial" w:eastAsia="Arial" w:hAnsi="Arial"/>
          <w:sz w:val="22"/>
          <w:szCs w:val="22"/>
          <w:color w:val="auto"/>
        </w:rPr>
        <w:t>”) to the Partnership. Within 10 Business Days after the receipt by the Partnership of such Reset Notice, the Partnership shall deliver a written notice to the holder or holders of the Incentive Distribution Rights of the Partnership’s determination of the aggregate number of Common Units that each holder of Incentive Distribution Rights will be entitled to receive.</w:t>
      </w:r>
    </w:p>
    <w:p>
      <w:pPr>
        <w:spacing w:after="0" w:line="188" w:lineRule="exact"/>
        <w:rPr>
          <w:rFonts w:ascii="Arial" w:cs="Arial" w:eastAsia="Arial" w:hAnsi="Arial"/>
          <w:sz w:val="22"/>
          <w:szCs w:val="22"/>
          <w:color w:val="auto"/>
        </w:rPr>
      </w:pPr>
    </w:p>
    <w:p>
      <w:pPr>
        <w:ind w:right="140" w:firstLine="1305"/>
        <w:spacing w:after="0" w:line="287" w:lineRule="auto"/>
        <w:tabs>
          <w:tab w:leader="none" w:pos="1955"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holder or holders of the Incentive Distribution Rights will be entitled to receive the Aggregate Quantity of IDR Reset Common Units and the General Partner will become entitled to receive the related additional General Partner Units on the 15th Business Day after receipt by the Partnership of the Reset Notice, and the Partnership may issue Certificates for the Common Units or uncertificated Partnership Interests to the holder or holders of the Incentive Distribution Rights.</w:t>
      </w:r>
    </w:p>
    <w:p>
      <w:pPr>
        <w:spacing w:after="0" w:line="143" w:lineRule="exact"/>
        <w:rPr>
          <w:rFonts w:ascii="Arial" w:cs="Arial" w:eastAsia="Arial" w:hAnsi="Arial"/>
          <w:sz w:val="19"/>
          <w:szCs w:val="19"/>
          <w:color w:val="auto"/>
        </w:rPr>
      </w:pPr>
    </w:p>
    <w:p>
      <w:pPr>
        <w:ind w:right="80" w:firstLine="1305"/>
        <w:spacing w:after="0" w:line="272" w:lineRule="auto"/>
        <w:tabs>
          <w:tab w:leader="none" w:pos="19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If the principal National Securities Exchange upon which the Common Units are then traded has not approved the listing or admission for trading of the Common Units to be issued pursuant to this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on or before the 30th calendar day following the Partnership’s receipt of the Reset Notice and such approval is required by the rules and regulations of such National Securities Exchange, then the holder of the Incentive Distribution Rights (or, if there is more than one holder of the Incentive Distribution Rights, the holders of a majority in interest of the Incentive Distribution Rights) shall have the right to either rescind the IDR Reset Election or elect to receive other Partnership Interests having such terms as the General Partner may approve, with the approval of the Conflicts Committee, that will provide (i) the same economic value, in the aggregate, as the Aggregate Quantity of IDR Reset Common Units would have had at the time of the Partnership’s receipt of the Reset Notice, as determined by the General Partner, and (ii) for the subsequent conversion (on terms acceptable to the National Securities Exchange upon which the Common Units are then traded) of such Partnership Interests into Common Units within not more than 12 months following the Partnership’s receipt of the Reset Notice upon the satisfaction of one or more conditions that are reasonably acceptable to the holder of the Incentive Distribution Rights (or, if there is more than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7" w:name="page48"/>
    <w:bookmarkEnd w:id="47"/>
    <w:p>
      <w:pPr>
        <w:spacing w:after="0"/>
        <w:rPr>
          <w:sz w:val="20"/>
          <w:szCs w:val="20"/>
          <w:color w:val="auto"/>
        </w:rPr>
      </w:pPr>
      <w:r>
        <w:rPr>
          <w:rFonts w:ascii="Arial" w:cs="Arial" w:eastAsia="Arial" w:hAnsi="Arial"/>
          <w:sz w:val="21"/>
          <w:szCs w:val="21"/>
          <w:color w:val="auto"/>
        </w:rPr>
        <w:t>one holder of the Incentive Distribution Rights, the holders of a majority in interest of the Incentive Distribution Rights).</w:t>
      </w:r>
    </w:p>
    <w:p>
      <w:pPr>
        <w:spacing w:after="0" w:line="218" w:lineRule="exact"/>
        <w:rPr>
          <w:sz w:val="20"/>
          <w:szCs w:val="20"/>
          <w:color w:val="auto"/>
        </w:rPr>
      </w:pPr>
    </w:p>
    <w:p>
      <w:pPr>
        <w:ind w:right="80" w:firstLine="1305"/>
        <w:spacing w:after="0" w:line="279" w:lineRule="auto"/>
        <w:tabs>
          <w:tab w:leader="none" w:pos="1955"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The Minimum Quarterly Distribution, First Target Distribution, Second Target Distribution and Third Target Distribution shall be adjusted at the time of the issuance of Common Units or other Partnership Interests pursuant to this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such that (i) the Minimum Quarterly Distribution shall be reset to equal the average cash distribution amount per Common Unit for the two Quarters immediately prior to the Partnership’s receipt of the Reset Notice (the “</w:t>
      </w:r>
      <w:r>
        <w:rPr>
          <w:rFonts w:ascii="Arial" w:cs="Arial" w:eastAsia="Arial" w:hAnsi="Arial"/>
          <w:sz w:val="19"/>
          <w:szCs w:val="19"/>
          <w:b w:val="1"/>
          <w:bCs w:val="1"/>
          <w:i w:val="1"/>
          <w:iCs w:val="1"/>
          <w:color w:val="auto"/>
        </w:rPr>
        <w:t>Reset MQD</w:t>
      </w:r>
      <w:r>
        <w:rPr>
          <w:rFonts w:ascii="Arial" w:cs="Arial" w:eastAsia="Arial" w:hAnsi="Arial"/>
          <w:sz w:val="19"/>
          <w:szCs w:val="19"/>
          <w:color w:val="auto"/>
        </w:rPr>
        <w:t>”), (ii) the First Target Distribution shall be reset to equal 115% of the Reset MQD, (iii) the Second Target Distribution shall be reset to equal 125% of the Reset MQD and (iv) the Third Target Distribution shall be reset to equal 150% of the Reset MQD.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DISTRIBUTIONS</w:t>
      </w:r>
    </w:p>
    <w:p>
      <w:pPr>
        <w:spacing w:after="0" w:line="188"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i w:val="1"/>
          <w:iCs w:val="1"/>
          <w:color w:val="auto"/>
        </w:rPr>
        <w:t>Allocations</w:t>
      </w:r>
      <w:r>
        <w:rPr>
          <w:rFonts w:ascii="Arial" w:cs="Arial" w:eastAsia="Arial" w:hAnsi="Arial"/>
          <w:sz w:val="19"/>
          <w:szCs w:val="19"/>
          <w:color w:val="auto"/>
        </w:rPr>
        <w:t xml:space="preserve">. The Partnership shall determine its profit or loss and allocate such profit or loss among the Partners in a manner determined appropriate so as to cause, to the extent possible, a capital account maintained with respect to each Partnership Interest to equal the excess of (a) the hypothetical distribution that would be paid with respect to such Partnership Interest in the event the Partnership sold all of its assets for their respective book values (as determined for such purpose), satisfied all outstanding liabilities (limited, with respect to nonrecourse liabilities, to the book value of the assets securing such liabilities) and distributed the remaining proceeds in accordance with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over (b) the sum of the outstanding balance of any nonrecourse liabilities not required to be repaid in the event of such a hypothetical liquidation that are properly allocable to losses or distributions with respect to such Partnership Interest and the amount (if any) that would be required to be contributed to the Partnership with respect to such Partnership Interest upon such a hypothetical liquidation;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may deviate from the foregoing, as determined necessary or appropriate, for proper administration of the Partnership or otherwise to preserve or achieve uniformity of the Limited Partner Interests (or any class or classes thereof). For the avoidance of doubt, the allocations described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not apply for U.S. federal income tax purposes.</w:t>
      </w:r>
    </w:p>
    <w:p>
      <w:pPr>
        <w:spacing w:after="0" w:line="162"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i w:val="1"/>
          <w:iCs w:val="1"/>
          <w:color w:val="auto"/>
        </w:rPr>
        <w:t>Requirement and Characterization of Distributions; Distributions to Record Holders</w:t>
      </w:r>
      <w:r>
        <w:rPr>
          <w:rFonts w:ascii="Arial" w:cs="Arial" w:eastAsia="Arial" w:hAnsi="Arial"/>
          <w:sz w:val="19"/>
          <w:szCs w:val="19"/>
          <w:color w:val="auto"/>
        </w:rPr>
        <w:t xml:space="preserve">. (a) Within 45 days following the end of each Quarter commencing with the Quarter ending on June 30, 2014, an amount equal to 100% of Available Cash with respect to such Quarter shall, subject to Section 51 of the Marshall Islands Act, be distributed in accordance with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by the Partnership to the Partners as of the Record Date selected by the Board of Directors. All amounts of Available Cash distributed by the Partnership on any date following the Closing Date from any source shall be deemed to be Operating Surplus until the sum of all amounts of Available Cash theretofore distributed by the Partnership to the Partners following the Closing Date pursuant to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equals the Operating Surplus from the Closing Date through the close of the immediately preceding Quarter. Any remaining amounts of Available Cash distributed by the Partnership on such date shall, except as otherwise provided in </w:t>
      </w:r>
      <w:r>
        <w:rPr>
          <w:rFonts w:ascii="Arial" w:cs="Arial" w:eastAsia="Arial" w:hAnsi="Arial"/>
          <w:sz w:val="19"/>
          <w:szCs w:val="19"/>
          <w:u w:val="single" w:color="auto"/>
          <w:color w:val="auto"/>
        </w:rPr>
        <w:t>Section 6.4</w:t>
      </w:r>
      <w:r>
        <w:rPr>
          <w:rFonts w:ascii="Arial" w:cs="Arial" w:eastAsia="Arial" w:hAnsi="Arial"/>
          <w:sz w:val="19"/>
          <w:szCs w:val="19"/>
          <w:color w:val="auto"/>
        </w:rPr>
        <w:t>, be deemed to be “</w:t>
      </w:r>
      <w:r>
        <w:rPr>
          <w:rFonts w:ascii="Arial" w:cs="Arial" w:eastAsia="Arial" w:hAnsi="Arial"/>
          <w:sz w:val="19"/>
          <w:szCs w:val="19"/>
          <w:b w:val="1"/>
          <w:bCs w:val="1"/>
          <w:i w:val="1"/>
          <w:iCs w:val="1"/>
          <w:color w:val="auto"/>
        </w:rPr>
        <w:t>Capital Surplus</w:t>
      </w:r>
      <w:r>
        <w:rPr>
          <w:rFonts w:ascii="Arial" w:cs="Arial" w:eastAsia="Arial" w:hAnsi="Arial"/>
          <w:sz w:val="19"/>
          <w:szCs w:val="19"/>
          <w:color w:val="auto"/>
        </w:rPr>
        <w:t>.” Notwithstanding any provision to the contrary contained in this Agreement, the Partnership shall not make a distribution to 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8" w:name="page49"/>
    <w:bookmarkEnd w:id="48"/>
    <w:p>
      <w:pPr>
        <w:ind w:right="820"/>
        <w:spacing w:after="0" w:line="251" w:lineRule="auto"/>
        <w:rPr>
          <w:sz w:val="20"/>
          <w:szCs w:val="20"/>
          <w:color w:val="auto"/>
        </w:rPr>
      </w:pPr>
      <w:r>
        <w:rPr>
          <w:rFonts w:ascii="Arial" w:cs="Arial" w:eastAsia="Arial" w:hAnsi="Arial"/>
          <w:sz w:val="22"/>
          <w:szCs w:val="22"/>
          <w:color w:val="auto"/>
        </w:rPr>
        <w:t xml:space="preserve">Partner on account of its interest in the Partnership if such distribution would violate the Marshall Islands Act or any other applicable law. This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shall not apply to Preference Units.</w:t>
      </w:r>
    </w:p>
    <w:p>
      <w:pPr>
        <w:spacing w:after="0" w:line="173" w:lineRule="exact"/>
        <w:rPr>
          <w:sz w:val="20"/>
          <w:szCs w:val="20"/>
          <w:color w:val="auto"/>
        </w:rPr>
      </w:pPr>
    </w:p>
    <w:p>
      <w:pPr>
        <w:jc w:val="both"/>
        <w:ind w:right="40" w:firstLine="1305"/>
        <w:spacing w:after="0" w:line="238" w:lineRule="auto"/>
        <w:tabs>
          <w:tab w:leader="none" w:pos="1954"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Notwithstanding the first three sentences of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in the event of the dissolution and liquidation of the Partnership, all receipts received during or after the Quarter in which the Liquidation Date occurs, other than from borrowings described in </w:t>
      </w:r>
      <w:r>
        <w:rPr>
          <w:rFonts w:ascii="Arial" w:cs="Arial" w:eastAsia="Arial" w:hAnsi="Arial"/>
          <w:sz w:val="22"/>
          <w:szCs w:val="22"/>
          <w:u w:val="single" w:color="auto"/>
          <w:color w:val="auto"/>
        </w:rPr>
        <w:t>(a)(ii)</w:t>
      </w:r>
      <w:r>
        <w:rPr>
          <w:rFonts w:ascii="Arial" w:cs="Arial" w:eastAsia="Arial" w:hAnsi="Arial"/>
          <w:sz w:val="22"/>
          <w:szCs w:val="22"/>
          <w:color w:val="auto"/>
        </w:rPr>
        <w:t xml:space="preserve"> of the definition of Available Cash, shall be applied and distributed solely in accordance with, and subject to the terms and conditions of,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1305"/>
        <w:spacing w:after="0" w:line="236" w:lineRule="auto"/>
        <w:tabs>
          <w:tab w:leader="none" w:pos="1955" w:val="left"/>
        </w:tabs>
        <w:numPr>
          <w:ilvl w:val="0"/>
          <w:numId w:val="37"/>
        </w:numPr>
        <w:rPr>
          <w:rFonts w:ascii="Arial" w:cs="Arial" w:eastAsia="Arial" w:hAnsi="Arial"/>
          <w:sz w:val="22"/>
          <w:szCs w:val="22"/>
          <w:color w:val="auto"/>
        </w:rPr>
      </w:pPr>
      <w:r>
        <w:rPr>
          <w:rFonts w:ascii="Arial" w:cs="Arial" w:eastAsia="Arial" w:hAnsi="Arial"/>
          <w:sz w:val="22"/>
          <w:szCs w:val="22"/>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8" w:lineRule="exact"/>
        <w:rPr>
          <w:sz w:val="20"/>
          <w:szCs w:val="20"/>
          <w:color w:val="auto"/>
        </w:rPr>
      </w:pPr>
    </w:p>
    <w:p>
      <w:pPr>
        <w:ind w:right="80" w:firstLine="1297"/>
        <w:spacing w:after="0" w:line="235"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i w:val="1"/>
          <w:iCs w:val="1"/>
          <w:color w:val="auto"/>
        </w:rPr>
        <w:t>Distributions of Available Cash from Operating Surplus</w:t>
      </w:r>
      <w:r>
        <w:rPr>
          <w:rFonts w:ascii="Arial" w:cs="Arial" w:eastAsia="Arial" w:hAnsi="Arial"/>
          <w:sz w:val="22"/>
          <w:szCs w:val="22"/>
          <w:color w:val="auto"/>
        </w:rPr>
        <w:t xml:space="preserve">. Available Cash with respect to any Quarter that is deemed to be Operating Surplus pursuant to the provisions of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shall, subject to Section 51 of the Marshall Islands Act, be distributed as follows (subject to </w:t>
      </w:r>
      <w:r>
        <w:rPr>
          <w:rFonts w:ascii="Arial" w:cs="Arial" w:eastAsia="Arial" w:hAnsi="Arial"/>
          <w:sz w:val="22"/>
          <w:szCs w:val="22"/>
          <w:u w:val="single" w:color="auto"/>
          <w:color w:val="auto"/>
        </w:rPr>
        <w:t>Section 16.3</w:t>
      </w:r>
      <w:r>
        <w:rPr>
          <w:rFonts w:ascii="Arial" w:cs="Arial" w:eastAsia="Arial" w:hAnsi="Arial"/>
          <w:sz w:val="22"/>
          <w:szCs w:val="22"/>
          <w:color w:val="auto"/>
        </w:rPr>
        <w:t xml:space="preserve"> in respect of Series A Preference Units described therein, subject to </w:t>
      </w:r>
      <w:r>
        <w:rPr>
          <w:rFonts w:ascii="Arial" w:cs="Arial" w:eastAsia="Arial" w:hAnsi="Arial"/>
          <w:sz w:val="22"/>
          <w:szCs w:val="22"/>
          <w:u w:val="single" w:color="auto"/>
          <w:color w:val="auto"/>
        </w:rPr>
        <w:t>Section 17.3</w:t>
      </w:r>
      <w:r>
        <w:rPr>
          <w:rFonts w:ascii="Arial" w:cs="Arial" w:eastAsia="Arial" w:hAnsi="Arial"/>
          <w:sz w:val="22"/>
          <w:szCs w:val="22"/>
          <w:color w:val="auto"/>
        </w:rPr>
        <w:t xml:space="preserve"> in respect of Series B Preference Units described therein and subject to </w:t>
      </w:r>
      <w:r>
        <w:rPr>
          <w:rFonts w:ascii="Arial" w:cs="Arial" w:eastAsia="Arial" w:hAnsi="Arial"/>
          <w:sz w:val="22"/>
          <w:szCs w:val="22"/>
          <w:u w:val="single" w:color="auto"/>
          <w:color w:val="auto"/>
        </w:rPr>
        <w:t>Section 18.3</w:t>
      </w:r>
      <w:r>
        <w:rPr>
          <w:rFonts w:ascii="Arial" w:cs="Arial" w:eastAsia="Arial" w:hAnsi="Arial"/>
          <w:sz w:val="22"/>
          <w:szCs w:val="22"/>
          <w:color w:val="auto"/>
        </w:rPr>
        <w:t xml:space="preserve"> in respect of Series C Preference Units described therein and except as otherwise required by </w:t>
      </w:r>
      <w:r>
        <w:rPr>
          <w:rFonts w:ascii="Arial" w:cs="Arial" w:eastAsia="Arial" w:hAnsi="Arial"/>
          <w:sz w:val="22"/>
          <w:szCs w:val="22"/>
          <w:u w:val="single" w:color="auto"/>
          <w:color w:val="auto"/>
        </w:rPr>
        <w:t>Section 5.4(b)</w:t>
      </w:r>
      <w:r>
        <w:rPr>
          <w:rFonts w:ascii="Arial" w:cs="Arial" w:eastAsia="Arial" w:hAnsi="Arial"/>
          <w:sz w:val="22"/>
          <w:szCs w:val="22"/>
          <w:color w:val="auto"/>
        </w:rPr>
        <w:t xml:space="preserve"> in respect of additional Partnership Interests issued pursuant thereto):</w:t>
      </w:r>
    </w:p>
    <w:p>
      <w:pPr>
        <w:spacing w:after="0" w:line="188" w:lineRule="exact"/>
        <w:rPr>
          <w:sz w:val="20"/>
          <w:szCs w:val="20"/>
          <w:color w:val="auto"/>
        </w:rPr>
      </w:pPr>
    </w:p>
    <w:p>
      <w:pPr>
        <w:ind w:firstLine="1305"/>
        <w:spacing w:after="0" w:line="251" w:lineRule="auto"/>
        <w:tabs>
          <w:tab w:leader="none" w:pos="1955"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100% to the General Partner and the Unitholders Pro Rata, until there has been distributed in respect of</w:t>
      </w:r>
      <w:r>
        <w:rPr>
          <w:rFonts w:ascii="Arial" w:cs="Arial" w:eastAsia="Arial" w:hAnsi="Arial"/>
          <w:sz w:val="22"/>
          <w:szCs w:val="22"/>
          <w:i w:val="1"/>
          <w:iCs w:val="1"/>
          <w:color w:val="auto"/>
        </w:rPr>
        <w:t xml:space="preserve"> </w:t>
      </w:r>
      <w:r>
        <w:rPr>
          <w:rFonts w:ascii="Arial" w:cs="Arial" w:eastAsia="Arial" w:hAnsi="Arial"/>
          <w:sz w:val="22"/>
          <w:szCs w:val="22"/>
          <w:color w:val="auto"/>
        </w:rPr>
        <w:t>each Unit then Outstanding an amount equal to the Minimum Quarterly Distribution for such Quarter;</w:t>
      </w:r>
    </w:p>
    <w:p>
      <w:pPr>
        <w:spacing w:after="0" w:line="173" w:lineRule="exact"/>
        <w:rPr>
          <w:rFonts w:ascii="Arial" w:cs="Arial" w:eastAsia="Arial" w:hAnsi="Arial"/>
          <w:sz w:val="22"/>
          <w:szCs w:val="22"/>
          <w:color w:val="auto"/>
        </w:rPr>
      </w:pPr>
    </w:p>
    <w:p>
      <w:pPr>
        <w:ind w:right="20" w:firstLine="1305"/>
        <w:spacing w:after="0"/>
        <w:tabs>
          <w:tab w:leader="none" w:pos="1954"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Second, 100% to the General Partner and the Unitholders Pro Rata, until there has been distributed in respect of each Unit then Outstanding an amount equal to the excess of the First Target Distribution over the Minimum Quarterly Distribution for such Quarter;</w:t>
      </w:r>
    </w:p>
    <w:p>
      <w:pPr>
        <w:spacing w:after="0" w:line="186" w:lineRule="exact"/>
        <w:rPr>
          <w:rFonts w:ascii="Arial" w:cs="Arial" w:eastAsia="Arial" w:hAnsi="Arial"/>
          <w:sz w:val="22"/>
          <w:szCs w:val="22"/>
          <w:color w:val="auto"/>
        </w:rPr>
      </w:pPr>
    </w:p>
    <w:p>
      <w:pPr>
        <w:ind w:right="320" w:firstLine="1305"/>
        <w:spacing w:after="0" w:line="287" w:lineRule="auto"/>
        <w:tabs>
          <w:tab w:leader="none" w:pos="1955"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Third, (i) to the General Partner in accordance with its Percentage Interest; (ii) 13% to the holders of the Incentive Distribution Rights, Pro Rata; and (iii) to all Unitholders, Pro Rata, a percentage equal to 100% less the sum of the percentages applicable to </w:t>
      </w:r>
      <w:r>
        <w:rPr>
          <w:rFonts w:ascii="Arial" w:cs="Arial" w:eastAsia="Arial" w:hAnsi="Arial"/>
          <w:sz w:val="19"/>
          <w:szCs w:val="19"/>
          <w:u w:val="single" w:color="auto"/>
          <w:color w:val="auto"/>
        </w:rPr>
        <w:t>subclauses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(c)</w:t>
      </w:r>
      <w:r>
        <w:rPr>
          <w:rFonts w:ascii="Arial" w:cs="Arial" w:eastAsia="Arial" w:hAnsi="Arial"/>
          <w:sz w:val="19"/>
          <w:szCs w:val="19"/>
          <w:color w:val="auto"/>
        </w:rPr>
        <w:t>, until there has been distributed in respect of each Unit then Outstanding an amount equal to the excess of the Second Target Distribution over the First Target Distribution for such Quarter;</w:t>
      </w:r>
    </w:p>
    <w:p>
      <w:pPr>
        <w:spacing w:after="0" w:line="143" w:lineRule="exact"/>
        <w:rPr>
          <w:rFonts w:ascii="Arial" w:cs="Arial" w:eastAsia="Arial" w:hAnsi="Arial"/>
          <w:sz w:val="19"/>
          <w:szCs w:val="19"/>
          <w:color w:val="auto"/>
        </w:rPr>
      </w:pPr>
    </w:p>
    <w:p>
      <w:pPr>
        <w:ind w:right="340" w:firstLine="1305"/>
        <w:spacing w:after="0" w:line="297" w:lineRule="auto"/>
        <w:tabs>
          <w:tab w:leader="none" w:pos="19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Fourth, (i) to the General Partner in accordance with its Percentage Interest; (ii) 23% to the holders of the Incentive Distribution Rights, Pro Rata; and (iii) to all Unitholders, Pro Rata, a percentage equal to 100% less the sum of the percentages applicable to </w:t>
      </w:r>
      <w:r>
        <w:rPr>
          <w:rFonts w:ascii="Arial" w:cs="Arial" w:eastAsia="Arial" w:hAnsi="Arial"/>
          <w:sz w:val="19"/>
          <w:szCs w:val="19"/>
          <w:u w:val="single" w:color="auto"/>
          <w:color w:val="auto"/>
        </w:rPr>
        <w:t>subclauses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(d)</w:t>
      </w:r>
      <w:r>
        <w:rPr>
          <w:rFonts w:ascii="Arial" w:cs="Arial" w:eastAsia="Arial" w:hAnsi="Arial"/>
          <w:sz w:val="19"/>
          <w:szCs w:val="19"/>
          <w:color w:val="auto"/>
        </w:rPr>
        <w:t>, until there has been distributed in respect of each Unit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9" w:name="page50"/>
    <w:bookmarkEnd w:id="49"/>
    <w:p>
      <w:pPr>
        <w:ind w:right="560"/>
        <w:spacing w:after="0" w:line="251" w:lineRule="auto"/>
        <w:rPr>
          <w:sz w:val="20"/>
          <w:szCs w:val="20"/>
          <w:color w:val="auto"/>
        </w:rPr>
      </w:pPr>
      <w:r>
        <w:rPr>
          <w:rFonts w:ascii="Arial" w:cs="Arial" w:eastAsia="Arial" w:hAnsi="Arial"/>
          <w:sz w:val="22"/>
          <w:szCs w:val="22"/>
          <w:color w:val="auto"/>
        </w:rPr>
        <w:t>then Outstanding an amount equal to the excess of the Third Target Distribution over the Second Target Distribution for such Quarter; and</w:t>
      </w:r>
    </w:p>
    <w:p>
      <w:pPr>
        <w:spacing w:after="0" w:line="173" w:lineRule="exact"/>
        <w:rPr>
          <w:sz w:val="20"/>
          <w:szCs w:val="20"/>
          <w:color w:val="auto"/>
        </w:rPr>
      </w:pPr>
    </w:p>
    <w:p>
      <w:pPr>
        <w:ind w:firstLine="1305"/>
        <w:spacing w:after="0" w:line="248" w:lineRule="auto"/>
        <w:tabs>
          <w:tab w:leader="none" w:pos="1955"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Thereafter, (i) to the General Partner in accordance with its Percentage Interest; (ii) 48% to the holders of the Incentive Distribution Rights, Pro Rata; and (iii) to all Unitholders, Pro Rata, a percentage equal to 100% less the sum of the percentages applicable to </w:t>
      </w:r>
      <w:r>
        <w:rPr>
          <w:rFonts w:ascii="Arial" w:cs="Arial" w:eastAsia="Arial" w:hAnsi="Arial"/>
          <w:sz w:val="21"/>
          <w:szCs w:val="21"/>
          <w:u w:val="single" w:color="auto"/>
          <w:color w:val="auto"/>
        </w:rPr>
        <w:t>subclauses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the Minimum Quarterly Distribution, the First Target Distribution, the Second Target Distribution and the Third Target Distribution have been reduced to zero pursuant to the second sentence of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the distribution of Available Cash that is deemed to be Operating Surplus with respect to any Quarter will be made solely in accordance with </w:t>
      </w:r>
      <w:r>
        <w:rPr>
          <w:rFonts w:ascii="Arial" w:cs="Arial" w:eastAsia="Arial" w:hAnsi="Arial"/>
          <w:sz w:val="21"/>
          <w:szCs w:val="21"/>
          <w:u w:val="single" w:color="auto"/>
          <w:color w:val="auto"/>
        </w:rPr>
        <w:t>Section 6.3(e)</w:t>
      </w:r>
      <w:r>
        <w:rPr>
          <w:rFonts w:ascii="Arial" w:cs="Arial" w:eastAsia="Arial" w:hAnsi="Arial"/>
          <w:sz w:val="21"/>
          <w:szCs w:val="21"/>
          <w:color w:val="auto"/>
        </w:rPr>
        <w: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No distributions shall be made with respect to Preference Units pursuant to this </w:t>
      </w:r>
      <w:r>
        <w:rPr>
          <w:rFonts w:ascii="Arial" w:cs="Arial" w:eastAsia="Arial" w:hAnsi="Arial"/>
          <w:sz w:val="22"/>
          <w:szCs w:val="22"/>
          <w:u w:val="single" w:color="auto"/>
          <w:color w:val="auto"/>
        </w:rPr>
        <w:t>Section 6.3</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47"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i w:val="1"/>
          <w:iCs w:val="1"/>
          <w:color w:val="auto"/>
        </w:rPr>
        <w:t>Distributions of Available Cash from Capital Surplus</w:t>
      </w:r>
      <w:r>
        <w:rPr>
          <w:rFonts w:ascii="Arial" w:cs="Arial" w:eastAsia="Arial" w:hAnsi="Arial"/>
          <w:sz w:val="21"/>
          <w:szCs w:val="21"/>
          <w:color w:val="auto"/>
        </w:rPr>
        <w:t xml:space="preserve">. Available Cash that is deemed to be Capital Surplus pursuant to the provisions of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shall, subject to Section 51 of the Marshall Islands Act, </w:t>
      </w:r>
      <w:r>
        <w:rPr>
          <w:rFonts w:ascii="Arial" w:cs="Arial" w:eastAsia="Arial" w:hAnsi="Arial"/>
          <w:sz w:val="21"/>
          <w:szCs w:val="21"/>
          <w:u w:val="single" w:color="auto"/>
          <w:color w:val="auto"/>
        </w:rPr>
        <w:t>Section 16.3</w:t>
      </w:r>
      <w:r>
        <w:rPr>
          <w:rFonts w:ascii="Arial" w:cs="Arial" w:eastAsia="Arial" w:hAnsi="Arial"/>
          <w:sz w:val="21"/>
          <w:szCs w:val="21"/>
          <w:color w:val="auto"/>
        </w:rPr>
        <w:t xml:space="preserve"> in respect of Series A Preference Units, </w:t>
      </w:r>
      <w:r>
        <w:rPr>
          <w:rFonts w:ascii="Arial" w:cs="Arial" w:eastAsia="Arial" w:hAnsi="Arial"/>
          <w:sz w:val="21"/>
          <w:szCs w:val="21"/>
          <w:u w:val="single" w:color="auto"/>
          <w:color w:val="auto"/>
        </w:rPr>
        <w:t>Section 17.3</w:t>
      </w:r>
      <w:r>
        <w:rPr>
          <w:rFonts w:ascii="Arial" w:cs="Arial" w:eastAsia="Arial" w:hAnsi="Arial"/>
          <w:sz w:val="21"/>
          <w:szCs w:val="21"/>
          <w:color w:val="auto"/>
        </w:rPr>
        <w:t xml:space="preserve"> in respect of Series B Preference Units and </w:t>
      </w:r>
      <w:r>
        <w:rPr>
          <w:rFonts w:ascii="Arial" w:cs="Arial" w:eastAsia="Arial" w:hAnsi="Arial"/>
          <w:sz w:val="21"/>
          <w:szCs w:val="21"/>
          <w:u w:val="single" w:color="auto"/>
          <w:color w:val="auto"/>
        </w:rPr>
        <w:t>Section 18.3</w:t>
      </w:r>
      <w:r>
        <w:rPr>
          <w:rFonts w:ascii="Arial" w:cs="Arial" w:eastAsia="Arial" w:hAnsi="Arial"/>
          <w:sz w:val="21"/>
          <w:szCs w:val="21"/>
          <w:color w:val="auto"/>
        </w:rPr>
        <w:t xml:space="preserve"> in respect of Series C Preference Units, be distributed, unless the provisions of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require otherwise, 100% to the General Partner and the Unitholders (other than the Preference Unitholders) Pro Rata, until the Minimum Quarterly Distribution is reduced to zero pursuant to the second sentence of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Thereafter, all Available Cash shall be distributed as if it were Operating Surplus and shall be distributed in accordance with </w:t>
      </w:r>
      <w:r>
        <w:rPr>
          <w:rFonts w:ascii="Arial" w:cs="Arial" w:eastAsia="Arial" w:hAnsi="Arial"/>
          <w:sz w:val="21"/>
          <w:szCs w:val="21"/>
          <w:u w:val="single" w:color="auto"/>
          <w:color w:val="auto"/>
        </w:rPr>
        <w:t>Section 6.3</w:t>
      </w:r>
      <w:r>
        <w:rPr>
          <w:rFonts w:ascii="Arial" w:cs="Arial" w:eastAsia="Arial" w:hAnsi="Arial"/>
          <w:sz w:val="21"/>
          <w:szCs w:val="21"/>
          <w:color w:val="auto"/>
        </w:rPr>
        <w:t>.</w:t>
      </w:r>
    </w:p>
    <w:p>
      <w:pPr>
        <w:spacing w:after="0" w:line="178" w:lineRule="exact"/>
        <w:rPr>
          <w:sz w:val="20"/>
          <w:szCs w:val="20"/>
          <w:color w:val="auto"/>
        </w:rPr>
      </w:pPr>
    </w:p>
    <w:p>
      <w:pPr>
        <w:ind w:right="100" w:firstLine="1297"/>
        <w:spacing w:after="0" w:line="274"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i w:val="1"/>
          <w:iCs w:val="1"/>
          <w:color w:val="auto"/>
        </w:rPr>
        <w:t>Adjustment of Minimum Quarterly Distribution and Target Distribution Levels</w:t>
      </w:r>
      <w:r>
        <w:rPr>
          <w:rFonts w:ascii="Arial" w:cs="Arial" w:eastAsia="Arial" w:hAnsi="Arial"/>
          <w:sz w:val="19"/>
          <w:szCs w:val="19"/>
          <w:color w:val="auto"/>
        </w:rPr>
        <w:t xml:space="preserve">. The Minimum Quarterly Distribution, First Target Distribution, Second Target Distribution and Third Target Distribution shall be proportionately adjusted in the event of any distribution, combination or subdivision (whether effected by a distribution payable in Units or otherwise) of Units or other Partnership Interests in accordance with </w:t>
      </w:r>
      <w:r>
        <w:rPr>
          <w:rFonts w:ascii="Arial" w:cs="Arial" w:eastAsia="Arial" w:hAnsi="Arial"/>
          <w:sz w:val="19"/>
          <w:szCs w:val="19"/>
          <w:u w:val="single" w:color="auto"/>
          <w:color w:val="auto"/>
        </w:rPr>
        <w:t>Section 5.7</w:t>
      </w:r>
      <w:r>
        <w:rPr>
          <w:rFonts w:ascii="Arial" w:cs="Arial" w:eastAsia="Arial" w:hAnsi="Arial"/>
          <w:sz w:val="19"/>
          <w:szCs w:val="19"/>
          <w:color w:val="auto"/>
        </w:rPr>
        <w:t>. In the event of a distribution of Available Cash that is deemed to be from Capital Surplus, the then applicable Minimum Quarterly Distribution, First Target Distribution, Second Target Distribution and Third Target Distribution, shall be reduced in the same proportion that the distribution had to the fair market value of the Common Units prior to the announcement of the distribution. If the Common Units are publicly traded on a National Securities Exchange, the fair market value will be the Current Market Price before the announcement of the distribution. If the Common Units are not publicly traded, the fair market value will be determined by the Board of Directors.</w:t>
      </w:r>
    </w:p>
    <w:p>
      <w:pPr>
        <w:spacing w:after="0" w:line="159" w:lineRule="exact"/>
        <w:rPr>
          <w:sz w:val="20"/>
          <w:szCs w:val="20"/>
          <w:color w:val="auto"/>
        </w:rPr>
      </w:pPr>
    </w:p>
    <w:p>
      <w:pPr>
        <w:ind w:right="60" w:firstLine="1297"/>
        <w:spacing w:after="0" w:line="271"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i w:val="1"/>
          <w:iCs w:val="1"/>
          <w:color w:val="auto"/>
        </w:rPr>
        <w:t>Special Provisions Relating to the Holders of Incentive Distribution Rights</w:t>
      </w:r>
      <w:r>
        <w:rPr>
          <w:rFonts w:ascii="Arial" w:cs="Arial" w:eastAsia="Arial" w:hAnsi="Arial"/>
          <w:sz w:val="19"/>
          <w:szCs w:val="19"/>
          <w:color w:val="auto"/>
        </w:rPr>
        <w:t xml:space="preserve">. Notwithstanding anything to the contrary set forth in this Agreement, the holders of the Incentive Distribution Rights (a) shall possess the rights and obligations provided in this Agreement with respect to a Limited Partner pursuant to </w:t>
      </w:r>
      <w:r>
        <w:rPr>
          <w:rFonts w:ascii="Arial" w:cs="Arial" w:eastAsia="Arial" w:hAnsi="Arial"/>
          <w:sz w:val="19"/>
          <w:szCs w:val="19"/>
          <w:u w:val="single" w:color="auto"/>
          <w:color w:val="auto"/>
        </w:rPr>
        <w:t>Articles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and (b) shall not (i) be entitled to vote on any matters requiring the approval or vote of the holders of Outstanding Units, except as provided by law, or</w:t>
      </w:r>
    </w:p>
    <w:p>
      <w:pPr>
        <w:spacing w:after="0" w:line="4" w:lineRule="exact"/>
        <w:rPr>
          <w:sz w:val="20"/>
          <w:szCs w:val="20"/>
          <w:color w:val="auto"/>
        </w:rPr>
      </w:pPr>
    </w:p>
    <w:p>
      <w:pPr>
        <w:ind w:left="5600" w:right="2080" w:hanging="5592"/>
        <w:spacing w:after="0" w:line="439" w:lineRule="auto"/>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be entitled to any distributions other than as provided in </w:t>
      </w:r>
      <w:r>
        <w:rPr>
          <w:rFonts w:ascii="Arial" w:cs="Arial" w:eastAsia="Arial" w:hAnsi="Arial"/>
          <w:sz w:val="22"/>
          <w:szCs w:val="22"/>
          <w:u w:val="single" w:color="auto"/>
          <w:color w:val="auto"/>
        </w:rPr>
        <w:t>Sections 6.3(c)</w:t>
      </w:r>
      <w:r>
        <w:rPr>
          <w:rFonts w:ascii="Arial" w:cs="Arial" w:eastAsia="Arial" w:hAnsi="Arial"/>
          <w:sz w:val="22"/>
          <w:szCs w:val="22"/>
          <w:color w:val="auto"/>
        </w:rPr>
        <w:t xml:space="preserve">, </w:t>
      </w:r>
      <w:r>
        <w:rPr>
          <w:rFonts w:ascii="Arial" w:cs="Arial" w:eastAsia="Arial" w:hAnsi="Arial"/>
          <w:sz w:val="22"/>
          <w:szCs w:val="22"/>
          <w:u w:val="single" w:color="auto"/>
          <w:color w:val="auto"/>
        </w:rPr>
        <w:t>6.3(d)</w:t>
      </w:r>
      <w:r>
        <w:rPr>
          <w:rFonts w:ascii="Arial" w:cs="Arial" w:eastAsia="Arial" w:hAnsi="Arial"/>
          <w:sz w:val="22"/>
          <w:szCs w:val="22"/>
          <w:color w:val="auto"/>
        </w:rPr>
        <w:t xml:space="preserve">, </w:t>
      </w:r>
      <w:r>
        <w:rPr>
          <w:rFonts w:ascii="Arial" w:cs="Arial" w:eastAsia="Arial" w:hAnsi="Arial"/>
          <w:sz w:val="22"/>
          <w:szCs w:val="22"/>
          <w:u w:val="single" w:color="auto"/>
          <w:color w:val="auto"/>
        </w:rPr>
        <w:t>6.3(e)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12.4</w:t>
      </w:r>
      <w:r>
        <w:rPr>
          <w:rFonts w:ascii="Arial" w:cs="Arial" w:eastAsia="Arial" w:hAnsi="Arial"/>
          <w:sz w:val="22"/>
          <w:szCs w:val="22"/>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 AND OPERATION OF BUSINESS</w:t>
      </w:r>
    </w:p>
    <w:p>
      <w:pPr>
        <w:spacing w:after="0" w:line="188"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i w:val="1"/>
          <w:iCs w:val="1"/>
          <w:color w:val="auto"/>
        </w:rPr>
        <w:t>Management</w:t>
      </w:r>
      <w:r>
        <w:rPr>
          <w:rFonts w:ascii="Arial" w:cs="Arial" w:eastAsia="Arial" w:hAnsi="Arial"/>
          <w:sz w:val="19"/>
          <w:szCs w:val="19"/>
          <w:color w:val="auto"/>
        </w:rPr>
        <w:t xml:space="preserve">. (a) Except as otherwise expressly provided in this Agreement, all management powers over the business and affairs of the Partnership shall be vested exclusively in the Board of Directors and, subject to the direction of the Board of Directors and in accordance with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the Officers. No Limited Partner shall have any management power or control over the business and affairs of the Partnership. Thus, except as expressly provided in this Agreement, the business and affairs of the Partnership shall be managed by or under the direction of the Board of Directors, and the day-to-day activities of the Partnership shall be conducted on the Partnership’s behalf by the Officers. In order to enable the Board of Directors to manage the business and affairs of the Partnership, the General Partner, except as otherwise expressly provided in this Agreement, hereby irrevocably delegates to the Board of Directors all management powers over the business and affairs of the Partnership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w:t>
      </w:r>
      <w:r>
        <w:rPr>
          <w:rFonts w:ascii="Arial" w:cs="Arial" w:eastAsia="Arial" w:hAnsi="Arial"/>
          <w:sz w:val="19"/>
          <w:szCs w:val="19"/>
          <w:u w:val="single" w:color="auto"/>
          <w:color w:val="auto"/>
        </w:rPr>
        <w:t>Section 7.1(a)</w:t>
      </w:r>
      <w:r>
        <w:rPr>
          <w:rFonts w:ascii="Arial" w:cs="Arial" w:eastAsia="Arial" w:hAnsi="Arial"/>
          <w:sz w:val="19"/>
          <w:szCs w:val="19"/>
          <w:color w:val="auto"/>
        </w:rPr>
        <w:t>.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 cease to be a general partner of the Partnership nor shall it cause the Board of Directors or any member thereof to be a general partner of the Partnership or to have or be subject to the liabilities of a general partner of the Partnership.</w:t>
      </w:r>
    </w:p>
    <w:p>
      <w:pPr>
        <w:spacing w:after="0" w:line="200" w:lineRule="exact"/>
        <w:rPr>
          <w:sz w:val="20"/>
          <w:szCs w:val="20"/>
          <w:color w:val="auto"/>
        </w:rPr>
      </w:pPr>
    </w:p>
    <w:p>
      <w:pPr>
        <w:spacing w:after="0" w:line="213" w:lineRule="exact"/>
        <w:rPr>
          <w:sz w:val="20"/>
          <w:szCs w:val="20"/>
          <w:color w:val="auto"/>
        </w:rPr>
      </w:pPr>
    </w:p>
    <w:p>
      <w:pPr>
        <w:ind w:firstLine="1305"/>
        <w:spacing w:after="0" w:line="269" w:lineRule="auto"/>
        <w:tabs>
          <w:tab w:leader="none" w:pos="1981"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any Group Member Agreement, the Marshall Islands Act or any applicable law, rule or regulation, each of the Partners and each other Person who may acquire an interest in Partnership Interests hereby (i) approves, consents to, ratifies and confirms the General Partner’s delegation of management powers to the Board of Directors pursuant to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(ii) approves, ratifies and confirms the execution, delivery and performance by the parties thereto of this Agreement, the Underwriting Agreement, the Omnibus Agreement, the Contribution Agreement, any Group Member Agreement of any other Group Member and the other agreements described in or filed as exhibits to the Registration Statement that are related to the transactions contemplated by the Registration Statement; (iii) agrees that the General Partner (on behalf of the Partnership) is authorized to execute, deliver and perform the agreements referred to in </w:t>
      </w:r>
      <w:r>
        <w:rPr>
          <w:rFonts w:ascii="Arial" w:cs="Arial" w:eastAsia="Arial" w:hAnsi="Arial"/>
          <w:sz w:val="19"/>
          <w:szCs w:val="19"/>
          <w:u w:val="single" w:color="auto"/>
          <w:color w:val="auto"/>
        </w:rPr>
        <w:t>clause</w:t>
      </w:r>
    </w:p>
    <w:p>
      <w:pPr>
        <w:spacing w:after="0" w:line="3" w:lineRule="exact"/>
        <w:rPr>
          <w:rFonts w:ascii="Arial" w:cs="Arial" w:eastAsia="Arial" w:hAnsi="Arial"/>
          <w:sz w:val="19"/>
          <w:szCs w:val="19"/>
          <w:color w:val="auto"/>
        </w:rPr>
      </w:pPr>
    </w:p>
    <w:p>
      <w:pPr>
        <w:ind w:right="120" w:firstLine="8"/>
        <w:spacing w:after="0" w:line="267" w:lineRule="auto"/>
        <w:tabs>
          <w:tab w:leader="none" w:pos="318" w:val="left"/>
        </w:tabs>
        <w:numPr>
          <w:ilvl w:val="0"/>
          <w:numId w:val="42"/>
        </w:numPr>
        <w:rPr>
          <w:rFonts w:ascii="Arial" w:cs="Arial" w:eastAsia="Arial" w:hAnsi="Arial"/>
          <w:sz w:val="19"/>
          <w:szCs w:val="19"/>
          <w:u w:val="single" w:color="auto"/>
          <w:color w:val="auto"/>
        </w:rPr>
      </w:pPr>
      <w:r>
        <w:rPr>
          <w:rFonts w:ascii="Arial" w:cs="Arial" w:eastAsia="Arial" w:hAnsi="Arial"/>
          <w:sz w:val="19"/>
          <w:szCs w:val="19"/>
          <w:color w:val="auto"/>
        </w:rPr>
        <w:t>of this sentence and the other agreements, acts, transactions and matters described in or contemplated by the Underwriting Agreement or described in or filed as exhibits to the Registration Statement, in each case, on behalf of the Partnership without any further act, approval or vote of the Partners or the other Persons who may acquire an interest in Partnership Interests; and</w:t>
      </w:r>
    </w:p>
    <w:p>
      <w:pPr>
        <w:ind w:right="140" w:firstLine="8"/>
        <w:spacing w:after="0" w:line="234" w:lineRule="auto"/>
        <w:tabs>
          <w:tab w:leader="none" w:pos="366" w:val="left"/>
        </w:tabs>
        <w:numPr>
          <w:ilvl w:val="0"/>
          <w:numId w:val="43"/>
        </w:numPr>
        <w:rPr>
          <w:rFonts w:ascii="Arial" w:cs="Arial" w:eastAsia="Arial" w:hAnsi="Arial"/>
          <w:sz w:val="22"/>
          <w:szCs w:val="22"/>
          <w:color w:val="auto"/>
        </w:rPr>
      </w:pPr>
      <w:r>
        <w:rPr>
          <w:rFonts w:ascii="Arial" w:cs="Arial" w:eastAsia="Arial" w:hAnsi="Arial"/>
          <w:sz w:val="22"/>
          <w:szCs w:val="22"/>
          <w:color w:val="auto"/>
        </w:rPr>
        <w:t>agrees that the execution, delivery or performance by the Board of Directors, the General Partner, any Group Member or any Affiliate of any of them of this Agreement or any agreement authorized or permitted under this Agreement (including the exercise by the General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51" w:name="page52"/>
    <w:bookmarkEnd w:id="51"/>
    <w:p>
      <w:pPr>
        <w:spacing w:after="0" w:line="238" w:lineRule="auto"/>
        <w:rPr>
          <w:sz w:val="20"/>
          <w:szCs w:val="20"/>
          <w:color w:val="auto"/>
        </w:rPr>
      </w:pPr>
      <w:r>
        <w:rPr>
          <w:rFonts w:ascii="Arial" w:cs="Arial" w:eastAsia="Arial" w:hAnsi="Arial"/>
          <w:sz w:val="22"/>
          <w:szCs w:val="22"/>
          <w:color w:val="auto"/>
        </w:rPr>
        <w:t xml:space="preserve">Partner or any Affiliate of the General Partner of the rights accorded pursuant to </w:t>
      </w:r>
      <w:r>
        <w:rPr>
          <w:rFonts w:ascii="Arial" w:cs="Arial" w:eastAsia="Arial" w:hAnsi="Arial"/>
          <w:sz w:val="22"/>
          <w:szCs w:val="22"/>
          <w:u w:val="single" w:color="auto"/>
          <w:color w:val="auto"/>
        </w:rPr>
        <w:t>Article XV</w:t>
      </w:r>
      <w:r>
        <w:rPr>
          <w:rFonts w:ascii="Arial" w:cs="Arial" w:eastAsia="Arial" w:hAnsi="Arial"/>
          <w:sz w:val="22"/>
          <w:szCs w:val="22"/>
          <w:color w:val="auto"/>
        </w:rPr>
        <w:t>)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185"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i w:val="1"/>
          <w:iCs w:val="1"/>
          <w:color w:val="auto"/>
        </w:rPr>
        <w:t>Election and Appointment; Term; Manner of Acting</w:t>
      </w:r>
      <w:r>
        <w:rPr>
          <w:rFonts w:ascii="Arial" w:cs="Arial" w:eastAsia="Arial" w:hAnsi="Arial"/>
          <w:sz w:val="21"/>
          <w:szCs w:val="21"/>
          <w:color w:val="auto"/>
        </w:rPr>
        <w:t xml:space="preserve">. (a) Subject to </w:t>
      </w:r>
      <w:r>
        <w:rPr>
          <w:rFonts w:ascii="Arial" w:cs="Arial" w:eastAsia="Arial" w:hAnsi="Arial"/>
          <w:sz w:val="21"/>
          <w:szCs w:val="21"/>
          <w:u w:val="single" w:color="auto"/>
          <w:color w:val="auto"/>
        </w:rPr>
        <w:t>Section 7.2(d)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following the 2015 Annual Meeting, the Board of Directors shall consist of seven individuals, four of whom shall be Appointed Directors and three of whom shall be Elected Directors. The Elected Directors shall be divided into three classes: Class I, comprising one Elected Director, Class II, comprising one Elected Director and Class III, comprising one Elected Director;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following the addition of one additional Elected Director resulting from a Surrender Election pursuant to </w:t>
      </w:r>
      <w:r>
        <w:rPr>
          <w:rFonts w:ascii="Arial" w:cs="Arial" w:eastAsia="Arial" w:hAnsi="Arial"/>
          <w:sz w:val="21"/>
          <w:szCs w:val="21"/>
          <w:u w:val="single" w:color="auto"/>
          <w:color w:val="auto"/>
        </w:rPr>
        <w:t>Section 7.2(d)</w:t>
      </w:r>
      <w:r>
        <w:rPr>
          <w:rFonts w:ascii="Arial" w:cs="Arial" w:eastAsia="Arial" w:hAnsi="Arial"/>
          <w:sz w:val="21"/>
          <w:szCs w:val="21"/>
          <w:color w:val="auto"/>
        </w:rPr>
        <w:t xml:space="preserve">, Class III shall comprise two Elected Directors.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any vacancy among the Appointed Directors shall be filled as if an Appointed Director had resigned, in accordance with </w:t>
      </w:r>
      <w:r>
        <w:rPr>
          <w:rFonts w:ascii="Arial" w:cs="Arial" w:eastAsia="Arial" w:hAnsi="Arial"/>
          <w:sz w:val="21"/>
          <w:szCs w:val="21"/>
          <w:u w:val="single" w:color="auto"/>
          <w:color w:val="auto"/>
        </w:rPr>
        <w:t>Section 7.6</w:t>
      </w:r>
      <w:r>
        <w:rPr>
          <w:rFonts w:ascii="Arial" w:cs="Arial" w:eastAsia="Arial" w:hAnsi="Arial"/>
          <w:sz w:val="21"/>
          <w:szCs w:val="21"/>
          <w:color w:val="auto"/>
        </w:rPr>
        <w:t>. The successors of the initial members of the Board of Directors shall be appointed or elected, as the case may be, as follows:</w:t>
      </w:r>
    </w:p>
    <w:p>
      <w:pPr>
        <w:spacing w:after="0" w:line="185" w:lineRule="exact"/>
        <w:rPr>
          <w:sz w:val="20"/>
          <w:szCs w:val="20"/>
          <w:color w:val="auto"/>
        </w:rPr>
      </w:pPr>
    </w:p>
    <w:p>
      <w:pPr>
        <w:ind w:left="660" w:right="200" w:firstLine="645"/>
        <w:spacing w:after="0"/>
        <w:tabs>
          <w:tab w:leader="none" w:pos="1998"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Appointed Directors shall be appointed by the General Partner, and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each Appointed Director shall hold office until his successor is duly appointed by the General Partner and qualified or until his earlier death, resignation or removal; and</w:t>
      </w:r>
    </w:p>
    <w:p>
      <w:pPr>
        <w:spacing w:after="0" w:line="186" w:lineRule="exact"/>
        <w:rPr>
          <w:rFonts w:ascii="Arial" w:cs="Arial" w:eastAsia="Arial" w:hAnsi="Arial"/>
          <w:sz w:val="22"/>
          <w:szCs w:val="22"/>
          <w:color w:val="auto"/>
        </w:rPr>
      </w:pPr>
    </w:p>
    <w:p>
      <w:pPr>
        <w:ind w:left="660" w:firstLine="645"/>
        <w:spacing w:after="0" w:line="279" w:lineRule="auto"/>
        <w:tabs>
          <w:tab w:leader="none" w:pos="200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Class I Elected Director shall be elected at the 2015 Annual Meeting for a one-year term expiring on the date of the first succeeding Annual Meeting, the Class II Elected Director shall be elected at the 2015 Annual Meeting for a two-year term expiring on the second succeeding Annual Meeting and the Class III Elected Director (or, if a Surrender Election has been made, the Class III Elected Directors) shall be elected at the 2015 Annual Meeting for a three-year term expiring on the third succeeding Annual Meeting, in each case by a plurality of the votes of the Outstanding Common Units present in person or represented by proxy at the Annual Meeting with each Outstanding Common Unit having one vote.</w:t>
      </w:r>
    </w:p>
    <w:p>
      <w:pPr>
        <w:spacing w:after="0" w:line="151" w:lineRule="exact"/>
        <w:rPr>
          <w:sz w:val="20"/>
          <w:szCs w:val="20"/>
          <w:color w:val="auto"/>
        </w:rPr>
      </w:pPr>
    </w:p>
    <w:p>
      <w:pPr>
        <w:ind w:firstLine="1305"/>
        <w:spacing w:after="0" w:line="287" w:lineRule="auto"/>
        <w:tabs>
          <w:tab w:leader="none" w:pos="1981"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paragraph (a)(ii)</w:t>
      </w:r>
      <w:r>
        <w:rPr>
          <w:rFonts w:ascii="Arial" w:cs="Arial" w:eastAsia="Arial" w:hAnsi="Arial"/>
          <w:sz w:val="19"/>
          <w:szCs w:val="19"/>
          <w:color w:val="auto"/>
        </w:rPr>
        <w:t xml:space="preserve"> above with respect to the Elected Directors elected at the 2015 Annual Meeting or as provided in </w:t>
      </w:r>
      <w:r>
        <w:rPr>
          <w:rFonts w:ascii="Arial" w:cs="Arial" w:eastAsia="Arial" w:hAnsi="Arial"/>
          <w:sz w:val="19"/>
          <w:szCs w:val="19"/>
          <w:u w:val="single" w:color="auto"/>
          <w:color w:val="auto"/>
        </w:rPr>
        <w:t>paragraphs (d)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each member of the Board of Directors appointed or elected, as the case may be, at an Annual Meeting shall hold office until the third succeeding Annual Meeting and until his successor is duly elected or appointed, as the case may be, and qualified, or until his earlier death, resignation or removal.</w:t>
      </w:r>
    </w:p>
    <w:p>
      <w:pPr>
        <w:spacing w:after="0" w:line="143" w:lineRule="exact"/>
        <w:rPr>
          <w:rFonts w:ascii="Arial" w:cs="Arial" w:eastAsia="Arial" w:hAnsi="Arial"/>
          <w:sz w:val="19"/>
          <w:szCs w:val="19"/>
          <w:color w:val="auto"/>
        </w:rPr>
      </w:pPr>
    </w:p>
    <w:p>
      <w:pPr>
        <w:ind w:right="20" w:firstLine="1305"/>
        <w:spacing w:after="0" w:line="252" w:lineRule="auto"/>
        <w:tabs>
          <w:tab w:leader="none" w:pos="1968"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 Board of Directors then in office shall constitute a quorum for the transaction of business at any meeting of the Board of Directors, but if less than a quorum is present at a meeting, a majority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2" w:name="page53"/>
    <w:bookmarkEnd w:id="52"/>
    <w:p>
      <w:pPr>
        <w:ind w:right="360"/>
        <w:spacing w:after="0" w:line="251" w:lineRule="auto"/>
        <w:rPr>
          <w:sz w:val="20"/>
          <w:szCs w:val="20"/>
          <w:color w:val="auto"/>
        </w:rPr>
      </w:pPr>
      <w:r>
        <w:rPr>
          <w:rFonts w:ascii="Arial" w:cs="Arial" w:eastAsia="Arial" w:hAnsi="Arial"/>
          <w:sz w:val="22"/>
          <w:szCs w:val="22"/>
          <w:color w:val="auto"/>
        </w:rPr>
        <w:t>the members of the Board of Directors present at such meeting may adjourn the meeting from time to time, without notice other than announcement at the meeting, until a quorum shall be present.</w:t>
      </w:r>
    </w:p>
    <w:p>
      <w:pPr>
        <w:spacing w:after="0" w:line="173" w:lineRule="exact"/>
        <w:rPr>
          <w:sz w:val="20"/>
          <w:szCs w:val="20"/>
          <w:color w:val="auto"/>
        </w:rPr>
      </w:pPr>
    </w:p>
    <w:p>
      <w:pPr>
        <w:ind w:right="280" w:firstLine="1305"/>
        <w:spacing w:after="0" w:line="248" w:lineRule="auto"/>
        <w:tabs>
          <w:tab w:leader="none" w:pos="1927"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General Partner shall have the right, exercisable in its sole discretion at any time, to elect in writing to surrender its right to appoint one Appointed Director (such election, a “</w:t>
      </w:r>
      <w:r>
        <w:rPr>
          <w:rFonts w:ascii="Arial" w:cs="Arial" w:eastAsia="Arial" w:hAnsi="Arial"/>
          <w:sz w:val="21"/>
          <w:szCs w:val="21"/>
          <w:b w:val="1"/>
          <w:bCs w:val="1"/>
          <w:i w:val="1"/>
          <w:iCs w:val="1"/>
          <w:color w:val="auto"/>
        </w:rPr>
        <w:t>Surrender Election</w:t>
      </w:r>
      <w:r>
        <w:rPr>
          <w:rFonts w:ascii="Arial" w:cs="Arial" w:eastAsia="Arial" w:hAnsi="Arial"/>
          <w:sz w:val="21"/>
          <w:szCs w:val="21"/>
          <w:color w:val="auto"/>
        </w:rPr>
        <w:t xml:space="preserve">”). If the Surrender Election is made, then in accordance with and at the times specified in </w:t>
      </w:r>
      <w:r>
        <w:rPr>
          <w:rFonts w:ascii="Arial" w:cs="Arial" w:eastAsia="Arial" w:hAnsi="Arial"/>
          <w:sz w:val="21"/>
          <w:szCs w:val="21"/>
          <w:u w:val="single" w:color="auto"/>
          <w:color w:val="auto"/>
        </w:rPr>
        <w:t>Sections 7.2(e)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(f)</w:t>
      </w:r>
      <w:r>
        <w:rPr>
          <w:rFonts w:ascii="Arial" w:cs="Arial" w:eastAsia="Arial" w:hAnsi="Arial"/>
          <w:sz w:val="21"/>
          <w:szCs w:val="21"/>
          <w:color w:val="auto"/>
        </w:rPr>
        <w:t xml:space="preserve"> below, (i) the number of Appointed Directors shall decrease from four to three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and (ii) the number of Elected Directors shall increase from three to four. The Partnership shall inform the Limited Partners of the date on which the Surrender Election is made within 30 days following the Surrender Election.</w:t>
      </w:r>
    </w:p>
    <w:p>
      <w:pPr>
        <w:spacing w:after="0" w:line="177" w:lineRule="exact"/>
        <w:rPr>
          <w:rFonts w:ascii="Arial" w:cs="Arial" w:eastAsia="Arial" w:hAnsi="Arial"/>
          <w:sz w:val="21"/>
          <w:szCs w:val="21"/>
          <w:color w:val="auto"/>
        </w:rPr>
      </w:pPr>
    </w:p>
    <w:p>
      <w:pPr>
        <w:ind w:right="140" w:firstLine="1305"/>
        <w:spacing w:after="0" w:line="238" w:lineRule="auto"/>
        <w:tabs>
          <w:tab w:leader="none" w:pos="1968"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If a Surrender Election is made, then, unless </w:t>
      </w:r>
      <w:r>
        <w:rPr>
          <w:rFonts w:ascii="Arial" w:cs="Arial" w:eastAsia="Arial" w:hAnsi="Arial"/>
          <w:sz w:val="22"/>
          <w:szCs w:val="22"/>
          <w:u w:val="single" w:color="auto"/>
          <w:color w:val="auto"/>
        </w:rPr>
        <w:t>Section 7.2(f)</w:t>
      </w:r>
      <w:r>
        <w:rPr>
          <w:rFonts w:ascii="Arial" w:cs="Arial" w:eastAsia="Arial" w:hAnsi="Arial"/>
          <w:sz w:val="22"/>
          <w:szCs w:val="22"/>
          <w:color w:val="auto"/>
        </w:rPr>
        <w:t xml:space="preserve"> applies, the additional Elected Director resulting from the Surrender Election shall be elected at the Annual Meeting next following the Surrender Election. Such Elected Director shall be a Class III Elected Director and shall hold office until the Annual Meeting at which the Class III Elected Director seat would expire.</w:t>
      </w:r>
    </w:p>
    <w:p>
      <w:pPr>
        <w:spacing w:after="0" w:line="185" w:lineRule="exact"/>
        <w:rPr>
          <w:rFonts w:ascii="Arial" w:cs="Arial" w:eastAsia="Arial" w:hAnsi="Arial"/>
          <w:sz w:val="22"/>
          <w:szCs w:val="22"/>
          <w:color w:val="auto"/>
        </w:rPr>
      </w:pPr>
    </w:p>
    <w:p>
      <w:pPr>
        <w:ind w:right="20" w:firstLine="1305"/>
        <w:spacing w:after="0" w:line="249" w:lineRule="auto"/>
        <w:tabs>
          <w:tab w:leader="none" w:pos="1945"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If the Surrender Election is made after the 2015 Annual Meeting, within 90 days following the date of the Surrender Election, the General Partner, the Board of Directors or the Limited Partners may call a special meeting to be held prior to the next Annual Meeting, in accordance with the procedures in </w:t>
      </w:r>
      <w:r>
        <w:rPr>
          <w:rFonts w:ascii="Arial" w:cs="Arial" w:eastAsia="Arial" w:hAnsi="Arial"/>
          <w:sz w:val="21"/>
          <w:szCs w:val="21"/>
          <w:u w:val="single" w:color="auto"/>
          <w:color w:val="auto"/>
        </w:rPr>
        <w:t>Section 13.4</w:t>
      </w:r>
      <w:r>
        <w:rPr>
          <w:rFonts w:ascii="Arial" w:cs="Arial" w:eastAsia="Arial" w:hAnsi="Arial"/>
          <w:sz w:val="21"/>
          <w:szCs w:val="21"/>
          <w:color w:val="auto"/>
        </w:rPr>
        <w:t>, for the sole purpose of the Limited Partners electing an additional Elected Director. Such Elected Director shall be a Class III Elected Director and shall hold office until the Annual Meeting at which the Class III Elected Director seat would expire.</w:t>
      </w:r>
    </w:p>
    <w:p>
      <w:pPr>
        <w:spacing w:after="0" w:line="178" w:lineRule="exact"/>
        <w:rPr>
          <w:rFonts w:ascii="Arial" w:cs="Arial" w:eastAsia="Arial" w:hAnsi="Arial"/>
          <w:sz w:val="21"/>
          <w:szCs w:val="21"/>
          <w:color w:val="auto"/>
        </w:rPr>
      </w:pPr>
    </w:p>
    <w:p>
      <w:pPr>
        <w:ind w:right="220" w:firstLine="1305"/>
        <w:spacing w:after="0" w:line="276" w:lineRule="auto"/>
        <w:tabs>
          <w:tab w:leader="none" w:pos="1981"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On and after the date that an additional Elected Director is elected in accordance with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only three (or four, if an additional Appointed Director has been appointed under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or</w:t>
      </w:r>
    </w:p>
    <w:p>
      <w:pPr>
        <w:spacing w:after="0" w:line="1" w:lineRule="exact"/>
        <w:rPr>
          <w:rFonts w:ascii="Arial" w:cs="Arial" w:eastAsia="Arial" w:hAnsi="Arial"/>
          <w:sz w:val="19"/>
          <w:szCs w:val="19"/>
          <w:color w:val="auto"/>
        </w:rPr>
      </w:pPr>
    </w:p>
    <w:p>
      <w:pPr>
        <w:ind w:right="120"/>
        <w:spacing w:after="0" w:line="234" w:lineRule="auto"/>
        <w:rPr>
          <w:rFonts w:ascii="Arial" w:cs="Arial" w:eastAsia="Arial" w:hAnsi="Arial"/>
          <w:sz w:val="19"/>
          <w:szCs w:val="19"/>
          <w:color w:val="auto"/>
        </w:rPr>
      </w:pPr>
      <w:r>
        <w:rPr>
          <w:rFonts w:ascii="Arial" w:cs="Arial" w:eastAsia="Arial" w:hAnsi="Arial"/>
          <w:sz w:val="22"/>
          <w:szCs w:val="22"/>
          <w:u w:val="single" w:color="auto"/>
          <w:color w:val="auto"/>
        </w:rPr>
        <w:t>Section 18.5(b)</w:t>
      </w:r>
      <w:r>
        <w:rPr>
          <w:rFonts w:ascii="Arial" w:cs="Arial" w:eastAsia="Arial" w:hAnsi="Arial"/>
          <w:sz w:val="22"/>
          <w:szCs w:val="22"/>
          <w:color w:val="auto"/>
        </w:rPr>
        <w:t xml:space="preserve">) Appointed Directors may be in office at any time. If necessary to satisfy this condition, the General Partner shall, immediately prior to the election of the additional Elected Director and in accordance with </w:t>
      </w:r>
      <w:r>
        <w:rPr>
          <w:rFonts w:ascii="Arial" w:cs="Arial" w:eastAsia="Arial" w:hAnsi="Arial"/>
          <w:sz w:val="22"/>
          <w:szCs w:val="22"/>
          <w:u w:val="single" w:color="auto"/>
          <w:color w:val="auto"/>
        </w:rPr>
        <w:t>Section 7.4(a)(i)</w:t>
      </w:r>
      <w:r>
        <w:rPr>
          <w:rFonts w:ascii="Arial" w:cs="Arial" w:eastAsia="Arial" w:hAnsi="Arial"/>
          <w:sz w:val="22"/>
          <w:szCs w:val="22"/>
          <w:color w:val="auto"/>
        </w:rPr>
        <w:t>, designate the Appointed Director whose term shall terminate upon such election.</w:t>
      </w:r>
    </w:p>
    <w:p>
      <w:pPr>
        <w:spacing w:after="0" w:line="187" w:lineRule="exact"/>
        <w:rPr>
          <w:sz w:val="20"/>
          <w:szCs w:val="20"/>
          <w:color w:val="auto"/>
        </w:rPr>
      </w:pPr>
    </w:p>
    <w:p>
      <w:pPr>
        <w:ind w:firstLine="1297"/>
        <w:spacing w:after="0" w:line="245"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i w:val="1"/>
          <w:iCs w:val="1"/>
          <w:color w:val="auto"/>
        </w:rPr>
        <w:t>Nominations of Elected Directors</w:t>
      </w:r>
      <w:r>
        <w:rPr>
          <w:rFonts w:ascii="Arial" w:cs="Arial" w:eastAsia="Arial" w:hAnsi="Arial"/>
          <w:sz w:val="21"/>
          <w:szCs w:val="21"/>
          <w:color w:val="auto"/>
        </w:rPr>
        <w:t xml:space="preserve">. The Board of Directors shall be entitled to nominate individuals to stand for election as Elected Directors at an Annual Meeting. In addition, any Limited Partner or Group of Limited Partners that beneficially owns 10% or more of the Outstanding Common Units shall be entitled to nominate one or more individuals to stand for election as Elected Directors at an Annual Meeting by providing written notice thereof to the Board of Directors not more than 120 days and not less than 90 days prior to the date of such Annual Meeting;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event that the date of the Annual Meeting was not publicly announced by the Partnership by mail, press release or otherwise more than 100 days prior to the date of such meeting, such notice, to be timely, must be delivered to the Board of Directors not later than the close of business on the 10th day following the date on which the date of the Annual Meeting was announced. Such notice shall set forth (a) the name and address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 w:name="page54"/>
    <w:bookmarkEnd w:id="53"/>
    <w:p>
      <w:pPr>
        <w:spacing w:after="0" w:line="248" w:lineRule="auto"/>
        <w:rPr>
          <w:sz w:val="20"/>
          <w:szCs w:val="20"/>
          <w:color w:val="auto"/>
        </w:rPr>
      </w:pPr>
      <w:r>
        <w:rPr>
          <w:rFonts w:ascii="Arial" w:cs="Arial" w:eastAsia="Arial" w:hAnsi="Arial"/>
          <w:sz w:val="21"/>
          <w:szCs w:val="21"/>
          <w:color w:val="auto"/>
        </w:rPr>
        <w:t>of the Limited Partner or Limited Partners making the nomination or nominations, (b) the number of Common Units beneficially owned by such Limited Partner or Limited Partners, (c) such information regarding the nominee(s) proposed by the Limited Partner or Limited Partners as would be required to be included in a proxy statement relating to the solicitation of proxies for the election of directors filed pursuant to the proxy rules of the Commission had the nominee(s) been nominated or intended to be nominated to the Board of Directors, (d) the written consent of each nominee to serve as a member of the Board of Directors if so elected and (e) a certification that such nominee(s) qualify as Elected Directors.</w:t>
      </w:r>
    </w:p>
    <w:p>
      <w:pPr>
        <w:spacing w:after="0" w:line="204" w:lineRule="exact"/>
        <w:rPr>
          <w:sz w:val="20"/>
          <w:szCs w:val="20"/>
          <w:color w:val="auto"/>
        </w:rPr>
      </w:pPr>
    </w:p>
    <w:p>
      <w:pPr>
        <w:ind w:right="740" w:firstLine="1297"/>
        <w:spacing w:after="0" w:line="251"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i w:val="1"/>
          <w:iCs w:val="1"/>
          <w:color w:val="auto"/>
        </w:rPr>
        <w:t>Removal of Members of Board of Directors</w:t>
      </w:r>
      <w:r>
        <w:rPr>
          <w:rFonts w:ascii="Arial" w:cs="Arial" w:eastAsia="Arial" w:hAnsi="Arial"/>
          <w:sz w:val="22"/>
          <w:szCs w:val="22"/>
          <w:color w:val="auto"/>
        </w:rPr>
        <w:t>. Members of the Board of Directors may only be removed as follows:</w:t>
      </w:r>
    </w:p>
    <w:p>
      <w:pPr>
        <w:spacing w:after="0" w:line="173" w:lineRule="exact"/>
        <w:rPr>
          <w:sz w:val="20"/>
          <w:szCs w:val="20"/>
          <w:color w:val="auto"/>
        </w:rPr>
      </w:pPr>
    </w:p>
    <w:p>
      <w:pPr>
        <w:ind w:left="1980" w:hanging="675"/>
        <w:spacing w:after="0"/>
        <w:tabs>
          <w:tab w:leader="none" w:pos="198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Any Appointed Director may be removed at any time, (i) without Cause, only by the General Partner and,</w:t>
      </w:r>
    </w:p>
    <w:p>
      <w:pPr>
        <w:spacing w:after="0" w:line="42" w:lineRule="exact"/>
        <w:rPr>
          <w:rFonts w:ascii="Arial" w:cs="Arial" w:eastAsia="Arial" w:hAnsi="Arial"/>
          <w:sz w:val="19"/>
          <w:szCs w:val="19"/>
          <w:color w:val="auto"/>
        </w:rPr>
      </w:pPr>
    </w:p>
    <w:p>
      <w:pPr>
        <w:ind w:right="300" w:firstLine="8"/>
        <w:spacing w:after="0" w:line="234" w:lineRule="auto"/>
        <w:tabs>
          <w:tab w:leader="none" w:pos="318" w:val="left"/>
        </w:tabs>
        <w:numPr>
          <w:ilvl w:val="0"/>
          <w:numId w:val="48"/>
        </w:numPr>
        <w:rPr>
          <w:rFonts w:ascii="Arial" w:cs="Arial" w:eastAsia="Arial" w:hAnsi="Arial"/>
          <w:sz w:val="22"/>
          <w:szCs w:val="22"/>
          <w:color w:val="auto"/>
        </w:rPr>
      </w:pPr>
      <w:r>
        <w:rPr>
          <w:rFonts w:ascii="Arial" w:cs="Arial" w:eastAsia="Arial" w:hAnsi="Arial"/>
          <w:sz w:val="22"/>
          <w:szCs w:val="22"/>
          <w:color w:val="auto"/>
        </w:rPr>
        <w:t>with Cause, by (x) the General Partner, (y) by the affirmative vote of the holders of a majority of the Outstanding Units at a properly called meeting of the Limited Partners or (z) by the affirmative vote of a majority of the other members of the Board of Directors.</w:t>
      </w:r>
    </w:p>
    <w:p>
      <w:pPr>
        <w:spacing w:after="0" w:line="187" w:lineRule="exact"/>
        <w:rPr>
          <w:rFonts w:ascii="Arial" w:cs="Arial" w:eastAsia="Arial" w:hAnsi="Arial"/>
          <w:sz w:val="22"/>
          <w:szCs w:val="22"/>
          <w:color w:val="auto"/>
        </w:rPr>
      </w:pPr>
    </w:p>
    <w:p>
      <w:pPr>
        <w:jc w:val="both"/>
        <w:ind w:right="60" w:firstLine="1305"/>
        <w:spacing w:after="0"/>
        <w:tabs>
          <w:tab w:leader="none" w:pos="1981" w:val="left"/>
        </w:tabs>
        <w:numPr>
          <w:ilvl w:val="1"/>
          <w:numId w:val="48"/>
        </w:numPr>
        <w:rPr>
          <w:rFonts w:ascii="Arial" w:cs="Arial" w:eastAsia="Arial" w:hAnsi="Arial"/>
          <w:sz w:val="22"/>
          <w:szCs w:val="22"/>
          <w:color w:val="auto"/>
        </w:rPr>
      </w:pPr>
      <w:r>
        <w:rPr>
          <w:rFonts w:ascii="Arial" w:cs="Arial" w:eastAsia="Arial" w:hAnsi="Arial"/>
          <w:sz w:val="22"/>
          <w:szCs w:val="22"/>
          <w:color w:val="auto"/>
        </w:rPr>
        <w:t>Any Elected Director may be removed at any time, with Cause, only by the affirmative vote of a majority of the other members of the Board of Directors or at a properly called meeting of the Limited Partners only by the affirmative vote of the holders of a majority of the Outstanding Common Units.</w:t>
      </w:r>
    </w:p>
    <w:p>
      <w:pPr>
        <w:spacing w:after="0" w:line="186" w:lineRule="exact"/>
        <w:rPr>
          <w:sz w:val="20"/>
          <w:szCs w:val="20"/>
          <w:color w:val="auto"/>
        </w:rPr>
      </w:pPr>
    </w:p>
    <w:p>
      <w:pPr>
        <w:ind w:right="440" w:firstLine="1297"/>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i w:val="1"/>
          <w:iCs w:val="1"/>
          <w:color w:val="auto"/>
        </w:rPr>
        <w:t>Resignations of Members of the Board of Directors</w:t>
      </w:r>
      <w:r>
        <w:rPr>
          <w:rFonts w:ascii="Arial" w:cs="Arial" w:eastAsia="Arial" w:hAnsi="Arial"/>
          <w:sz w:val="22"/>
          <w:szCs w:val="22"/>
          <w:color w:val="auto"/>
        </w:rPr>
        <w:t>. Any member of the Board of Directors may resign at any time by giving written notice to the Board of Directors. Such resignation shall take effect at the time specified therein.</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i w:val="1"/>
          <w:iCs w:val="1"/>
          <w:color w:val="auto"/>
        </w:rPr>
        <w:t>Vacancies on the Board of Directors</w:t>
      </w:r>
      <w:r>
        <w:rPr>
          <w:rFonts w:ascii="Arial" w:cs="Arial" w:eastAsia="Arial" w:hAnsi="Arial"/>
          <w:sz w:val="19"/>
          <w:szCs w:val="19"/>
          <w:color w:val="auto"/>
        </w:rPr>
        <w:t>. Vacancies on the Board of Directors may be filled only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200" w:firstLine="1305"/>
        <w:spacing w:after="0"/>
        <w:tabs>
          <w:tab w:leader="none" w:pos="19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if any Appointed Director is removed, resigns or is otherwise unable to serve as a member of the Board of Directors, the General Partner shall, in its individual capacity, appoint an individual to fill the vacancy.</w:t>
      </w:r>
    </w:p>
    <w:p>
      <w:pPr>
        <w:spacing w:after="0" w:line="186" w:lineRule="exact"/>
        <w:rPr>
          <w:rFonts w:ascii="Arial" w:cs="Arial" w:eastAsia="Arial" w:hAnsi="Arial"/>
          <w:sz w:val="22"/>
          <w:szCs w:val="22"/>
          <w:color w:val="auto"/>
        </w:rPr>
      </w:pPr>
    </w:p>
    <w:p>
      <w:pPr>
        <w:ind w:right="160" w:firstLine="1305"/>
        <w:spacing w:after="0" w:line="251" w:lineRule="auto"/>
        <w:tabs>
          <w:tab w:leader="none" w:pos="1981"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any Elected Director is removed, resigns or is unable to serve as a member of the Board of Directors, the vacancy shall be filled by a majority of the other Elected Directors then serving.</w:t>
      </w:r>
    </w:p>
    <w:p>
      <w:pPr>
        <w:spacing w:after="0" w:line="173" w:lineRule="exact"/>
        <w:rPr>
          <w:rFonts w:ascii="Arial" w:cs="Arial" w:eastAsia="Arial" w:hAnsi="Arial"/>
          <w:sz w:val="22"/>
          <w:szCs w:val="22"/>
          <w:color w:val="auto"/>
        </w:rPr>
      </w:pPr>
    </w:p>
    <w:p>
      <w:pPr>
        <w:ind w:right="60" w:firstLine="1305"/>
        <w:spacing w:after="0" w:line="251" w:lineRule="auto"/>
        <w:tabs>
          <w:tab w:leader="none" w:pos="1968"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A director appointed or elected pursuant to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to fill a vacancy shall be appointed or elected, as the case may be, for no more than the unexpired term of his predecessor in office.</w:t>
      </w:r>
    </w:p>
    <w:p>
      <w:pPr>
        <w:spacing w:after="0" w:line="173" w:lineRule="exact"/>
        <w:rPr>
          <w:sz w:val="20"/>
          <w:szCs w:val="20"/>
          <w:color w:val="auto"/>
        </w:rPr>
      </w:pPr>
    </w:p>
    <w:p>
      <w:pPr>
        <w:ind w:right="240" w:firstLine="1297"/>
        <w:spacing w:after="0" w:line="297"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i w:val="1"/>
          <w:iCs w:val="1"/>
          <w:color w:val="auto"/>
        </w:rPr>
        <w:t>Meetings; Committees; Chairman</w:t>
      </w:r>
      <w:r>
        <w:rPr>
          <w:rFonts w:ascii="Arial" w:cs="Arial" w:eastAsia="Arial" w:hAnsi="Arial"/>
          <w:sz w:val="19"/>
          <w:szCs w:val="19"/>
          <w:color w:val="auto"/>
        </w:rPr>
        <w:t>. (a) Regular meetings of the Board of Directors shall be held at such times and places as shall be designated from time to time by resolution of the Board of Directors. Notice of such regular meetings shall not be required. Special meetings of the Board of Directors may be called by the Chairman of the Board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4" w:name="page55"/>
    <w:bookmarkEnd w:id="54"/>
    <w:p>
      <w:pPr>
        <w:spacing w:after="0" w:line="244" w:lineRule="auto"/>
        <w:rPr>
          <w:sz w:val="20"/>
          <w:szCs w:val="20"/>
          <w:color w:val="auto"/>
        </w:rPr>
      </w:pPr>
      <w:r>
        <w:rPr>
          <w:rFonts w:ascii="Arial" w:cs="Arial" w:eastAsia="Arial" w:hAnsi="Arial"/>
          <w:sz w:val="21"/>
          <w:szCs w:val="21"/>
          <w:color w:val="auto"/>
        </w:rPr>
        <w:t xml:space="preserve">Directors and shall be called by the Secretary upon the written request of two members of the 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w:t>
      </w:r>
      <w:r>
        <w:rPr>
          <w:rFonts w:ascii="Arial" w:cs="Arial" w:eastAsia="Arial" w:hAnsi="Arial"/>
          <w:sz w:val="21"/>
          <w:szCs w:val="21"/>
          <w:u w:val="single" w:color="auto"/>
          <w:color w:val="auto"/>
        </w:rPr>
        <w:t>Section 7.7(a)</w:t>
      </w:r>
      <w:r>
        <w:rPr>
          <w:rFonts w:ascii="Arial" w:cs="Arial" w:eastAsia="Arial" w:hAnsi="Arial"/>
          <w:sz w:val="21"/>
          <w:szCs w:val="21"/>
          <w:color w:val="auto"/>
        </w:rPr>
        <w:t>)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187" w:lineRule="exact"/>
        <w:rPr>
          <w:sz w:val="20"/>
          <w:szCs w:val="20"/>
          <w:color w:val="auto"/>
        </w:rPr>
      </w:pPr>
    </w:p>
    <w:p>
      <w:pPr>
        <w:ind w:right="20" w:firstLine="1305"/>
        <w:spacing w:after="0" w:line="270" w:lineRule="auto"/>
        <w:tabs>
          <w:tab w:leader="none" w:pos="1981"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Board of Directors shall appoint the members of the Audit Committee and the Conflicts Committee. The Audit Committee and the Conflicts Committee shall, in each case, perform the functions delegated to it pursuant to the terms of this Agreement and such other matters as may be delegated to it from time to time by resolution of the Board of Directors. The Board of Directors, by a majority of the whole Board of Directors, may appoint one or more additional committees of the Board of Directors to consist of one or more members of the Board of Directors, which committee(s) shall have and may exercise such of the powers and authority of the Board of Directors (including in respect of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 respect to the management of the business and affairs of the Partnership as may be provided in a resolution of the Board of Directors. Any committee designated pursuant to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Any action required or permitted to be taken at a meeting of a committee of the Board of Directors may be taken without a meeting, without prior notice and without a vote if a consent or consents in writing, setting forth the action so taken, is signed by all the members of the committee of the Board of Directors. Subject to the first sentence of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the Board of Directors may designate one or more members of the Board of Directors as alternate members of any committee who may replace any absent or disqualified member at any meeting of such committee. Subject to the first sentence of this </w:t>
      </w:r>
      <w:r>
        <w:rPr>
          <w:rFonts w:ascii="Arial" w:cs="Arial" w:eastAsia="Arial" w:hAnsi="Arial"/>
          <w:sz w:val="19"/>
          <w:szCs w:val="19"/>
          <w:u w:val="single" w:color="auto"/>
          <w:color w:val="auto"/>
        </w:rPr>
        <w:t>Section 7.7(b)</w:t>
      </w:r>
      <w:r>
        <w:rPr>
          <w:rFonts w:ascii="Arial" w:cs="Arial" w:eastAsia="Arial" w:hAnsi="Arial"/>
          <w:sz w:val="19"/>
          <w:szCs w:val="19"/>
          <w:color w:val="auto"/>
        </w:rPr>
        <w:t>,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5" w:name="page56"/>
    <w:bookmarkEnd w:id="55"/>
    <w:p>
      <w:pPr>
        <w:ind w:firstLine="1305"/>
        <w:spacing w:after="0" w:line="277" w:lineRule="auto"/>
        <w:tabs>
          <w:tab w:leader="none" w:pos="1968"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Appointed Directors may designate one of the members of the Board of Directors as Chairman of the Board of Directors. The initial Chairman of the Board of Directors shall be Curtis Anastasio. The Chairman of the Board of Directors, if any, and if present and acting, shall preside at all meetings of the Board of Directors. In the absence of the Chairman of the Board of Directors, another member of the Board of Directors chosen by the Appointed Directors shall preside. If, at any time, the Board of Directors consists solely of Elected Directors, the Board of Directors may designate one of its members as Chairman of the Board of Directors and shall, in the absence of the Chairman of the Board of Directors at a meeting of the Board of Directors, designate another member of the Board of Directors to preside at the meeting.</w:t>
      </w:r>
    </w:p>
    <w:p>
      <w:pPr>
        <w:spacing w:after="0" w:line="153"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7.8. </w:t>
      </w:r>
      <w:r>
        <w:rPr>
          <w:rFonts w:ascii="Arial" w:cs="Arial" w:eastAsia="Arial" w:hAnsi="Arial"/>
          <w:sz w:val="21"/>
          <w:szCs w:val="21"/>
          <w:i w:val="1"/>
          <w:iCs w:val="1"/>
          <w:color w:val="auto"/>
        </w:rPr>
        <w:t>Officers</w:t>
      </w:r>
      <w:r>
        <w:rPr>
          <w:rFonts w:ascii="Arial" w:cs="Arial" w:eastAsia="Arial" w:hAnsi="Arial"/>
          <w:sz w:val="21"/>
          <w:szCs w:val="21"/>
          <w:color w:val="auto"/>
        </w:rPr>
        <w:t>. (a) The Board of Directors, as set forth below, shall appoint or designate agents of the Partnership, referred to as “</w:t>
      </w:r>
      <w:r>
        <w:rPr>
          <w:rFonts w:ascii="Arial" w:cs="Arial" w:eastAsia="Arial" w:hAnsi="Arial"/>
          <w:sz w:val="21"/>
          <w:szCs w:val="21"/>
          <w:i w:val="1"/>
          <w:iCs w:val="1"/>
          <w:color w:val="auto"/>
        </w:rPr>
        <w:t>Officers</w:t>
      </w:r>
      <w:r>
        <w:rPr>
          <w:rFonts w:ascii="Arial" w:cs="Arial" w:eastAsia="Arial" w:hAnsi="Arial"/>
          <w:sz w:val="21"/>
          <w:szCs w:val="21"/>
          <w:color w:val="auto"/>
        </w:rPr>
        <w:t xml:space="preserve">” of the Partnership as described in this </w:t>
      </w:r>
      <w:r>
        <w:rPr>
          <w:rFonts w:ascii="Arial" w:cs="Arial" w:eastAsia="Arial" w:hAnsi="Arial"/>
          <w:sz w:val="21"/>
          <w:szCs w:val="21"/>
          <w:u w:val="single" w:color="auto"/>
          <w:color w:val="auto"/>
        </w:rPr>
        <w:t>Section 7.8</w:t>
      </w:r>
      <w:r>
        <w:rPr>
          <w:rFonts w:ascii="Arial" w:cs="Arial" w:eastAsia="Arial" w:hAnsi="Arial"/>
          <w:sz w:val="21"/>
          <w:szCs w:val="21"/>
          <w:color w:val="auto"/>
        </w:rPr>
        <w:t>. Such Officers may be employed by any Group Member directly or may be employed by one or more third parties, including GasLog and its Affiliates, and designated by the Board of Directors to perform officer functions for the benefit of the Partnership.</w:t>
      </w:r>
    </w:p>
    <w:p>
      <w:pPr>
        <w:spacing w:after="0" w:line="174" w:lineRule="exact"/>
        <w:rPr>
          <w:sz w:val="20"/>
          <w:szCs w:val="20"/>
          <w:color w:val="auto"/>
        </w:rPr>
      </w:pPr>
    </w:p>
    <w:p>
      <w:pPr>
        <w:ind w:right="100" w:firstLine="1305"/>
        <w:spacing w:after="0" w:line="247" w:lineRule="auto"/>
        <w:tabs>
          <w:tab w:leader="none" w:pos="1981"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The Board of Directors shall appoint or designate such Officers and agents as may from time to time appear to be necessary or advisable in the conduct of the affairs of the Partnership, who shall hold such titles, exercise such powers and authority and perform such duties as shall be determined from time to time by resolution of the Board of Directors. The Officers may include a Chairman of the Board of Directors, an Executive Vice Chairman or Vice Chairman of the Board of Directors, a Chief Executive Officer, a President, a Chief Financial Officer, any and all Vice Presidents, a Secretary, any and all Assistant Secretaries, a Treasurer, any and all Assistant Treasurers and any other Officers appointed or designated by the Board of Directors pursuant to this </w:t>
      </w:r>
      <w:r>
        <w:rPr>
          <w:rFonts w:ascii="Arial" w:cs="Arial" w:eastAsia="Arial" w:hAnsi="Arial"/>
          <w:sz w:val="21"/>
          <w:szCs w:val="21"/>
          <w:u w:val="single" w:color="auto"/>
          <w:color w:val="auto"/>
        </w:rPr>
        <w:t>Section 7.8</w:t>
      </w:r>
      <w:r>
        <w:rPr>
          <w:rFonts w:ascii="Arial" w:cs="Arial" w:eastAsia="Arial" w:hAnsi="Arial"/>
          <w:sz w:val="21"/>
          <w:szCs w:val="21"/>
          <w:color w:val="auto"/>
        </w:rPr>
        <w:t>. Any person may hold two or more offices.</w:t>
      </w:r>
    </w:p>
    <w:p>
      <w:pPr>
        <w:spacing w:after="0" w:line="178" w:lineRule="exact"/>
        <w:rPr>
          <w:rFonts w:ascii="Arial" w:cs="Arial" w:eastAsia="Arial" w:hAnsi="Arial"/>
          <w:sz w:val="21"/>
          <w:szCs w:val="21"/>
          <w:color w:val="auto"/>
        </w:rPr>
      </w:pPr>
    </w:p>
    <w:p>
      <w:pPr>
        <w:jc w:val="both"/>
        <w:ind w:right="260" w:firstLine="1305"/>
        <w:spacing w:after="0" w:line="238" w:lineRule="auto"/>
        <w:tabs>
          <w:tab w:leader="none" w:pos="1968"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Officers, including any Officer employed by a third party and designated by the Board of Directors to perform officer services for the benefit of the Partnership, shall be appointed by the Board of Directors at such time and for such terms as the Board of Directors shall determine. Any Officer may be removed, with or without Cause, only by the Board of Directors. Vacancies in any office may be filled only by the Board of Directors.</w:t>
      </w:r>
    </w:p>
    <w:p>
      <w:pPr>
        <w:spacing w:after="0" w:line="185" w:lineRule="exact"/>
        <w:rPr>
          <w:rFonts w:ascii="Arial" w:cs="Arial" w:eastAsia="Arial" w:hAnsi="Arial"/>
          <w:sz w:val="22"/>
          <w:szCs w:val="22"/>
          <w:color w:val="auto"/>
        </w:rPr>
      </w:pPr>
    </w:p>
    <w:p>
      <w:pPr>
        <w:ind w:right="640" w:firstLine="1305"/>
        <w:spacing w:after="0" w:line="251" w:lineRule="auto"/>
        <w:tabs>
          <w:tab w:leader="none" w:pos="192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Board of Directors may grant powers of attorney or other authority as appropriate to establish and evidence the authority of the Officers and other Persons.</w:t>
      </w:r>
    </w:p>
    <w:p>
      <w:pPr>
        <w:spacing w:after="0" w:line="173" w:lineRule="exact"/>
        <w:rPr>
          <w:rFonts w:ascii="Arial" w:cs="Arial" w:eastAsia="Arial" w:hAnsi="Arial"/>
          <w:sz w:val="22"/>
          <w:szCs w:val="22"/>
          <w:color w:val="auto"/>
        </w:rPr>
      </w:pPr>
    </w:p>
    <w:p>
      <w:pPr>
        <w:ind w:right="660" w:firstLine="1305"/>
        <w:spacing w:after="0"/>
        <w:tabs>
          <w:tab w:leader="none" w:pos="1968" w:val="left"/>
        </w:tabs>
        <w:numPr>
          <w:ilvl w:val="0"/>
          <w:numId w:val="52"/>
        </w:numPr>
        <w:rPr>
          <w:rFonts w:ascii="Arial" w:cs="Arial" w:eastAsia="Arial" w:hAnsi="Arial"/>
          <w:sz w:val="22"/>
          <w:szCs w:val="22"/>
          <w:color w:val="auto"/>
        </w:rPr>
      </w:pPr>
      <w:r>
        <w:rPr>
          <w:rFonts w:ascii="Arial" w:cs="Arial" w:eastAsia="Arial" w:hAnsi="Arial"/>
          <w:sz w:val="22"/>
          <w:szCs w:val="22"/>
          <w:color w:val="auto"/>
        </w:rPr>
        <w:t>Unless otherwise provided by resolution of the Board of Directors, no Officer shall have the power or authority to delegate to any Person such Officer’s rights and powers as an Officer to manage the business and affairs of the Partnership.</w:t>
      </w:r>
    </w:p>
    <w:p>
      <w:pPr>
        <w:spacing w:after="0" w:line="186" w:lineRule="exact"/>
        <w:rPr>
          <w:sz w:val="20"/>
          <w:szCs w:val="20"/>
          <w:color w:val="auto"/>
        </w:rPr>
      </w:pPr>
    </w:p>
    <w:p>
      <w:pPr>
        <w:ind w:right="300" w:firstLine="1297"/>
        <w:spacing w:after="0" w:line="297"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i w:val="1"/>
          <w:iCs w:val="1"/>
          <w:color w:val="auto"/>
        </w:rPr>
        <w:t>Compensation of Directors</w:t>
      </w:r>
      <w:r>
        <w:rPr>
          <w:rFonts w:ascii="Arial" w:cs="Arial" w:eastAsia="Arial" w:hAnsi="Arial"/>
          <w:sz w:val="19"/>
          <w:szCs w:val="19"/>
          <w:color w:val="auto"/>
        </w:rPr>
        <w:t>. The members of the Board of Directors who are not employees of the General Partner or its Affiliates shall receive such compensation for their services as members of the Board of Directors or members of a committee of the Board of Directors shall determine. In addition, the members of the Board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Directors shall be entitled to be reimbursed for out-of-pocket costs and expenses incurred in the course of their service hereunder.</w:t>
      </w:r>
    </w:p>
    <w:p>
      <w:pPr>
        <w:spacing w:after="0" w:line="241"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i w:val="1"/>
          <w:iCs w:val="1"/>
          <w:color w:val="auto"/>
        </w:rPr>
        <w:t>Certificate of Limited Partnership</w:t>
      </w:r>
      <w:r>
        <w:rPr>
          <w:rFonts w:ascii="Arial" w:cs="Arial" w:eastAsia="Arial" w:hAnsi="Arial"/>
          <w:sz w:val="21"/>
          <w:szCs w:val="21"/>
          <w:color w:val="auto"/>
        </w:rPr>
        <w:t xml:space="preserve">. The General Partner has caused the Certificate of Limited Partnership to be filed with the Registrar of Corporations of 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 Marshall Islands or any other jurisdiction in which the Partnership may elect to do business or own property. To the extent the Board of Directors determines such action to be necessary or appropriate, the General Partner shall file or cause to be filed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w:t>
      </w:r>
      <w:r>
        <w:rPr>
          <w:rFonts w:ascii="Arial" w:cs="Arial" w:eastAsia="Arial" w:hAnsi="Arial"/>
          <w:sz w:val="21"/>
          <w:szCs w:val="21"/>
          <w:u w:val="single" w:color="auto"/>
          <w:color w:val="auto"/>
        </w:rPr>
        <w:t>Section 3.4(a)</w:t>
      </w:r>
      <w:r>
        <w:rPr>
          <w:rFonts w:ascii="Arial" w:cs="Arial" w:eastAsia="Arial" w:hAnsi="Arial"/>
          <w:sz w:val="21"/>
          <w:szCs w:val="21"/>
          <w:color w:val="auto"/>
        </w:rPr>
        <w:t>, the General Partner shall not be required, before or after filing, to deliver or mail a copy of the Certificate of Limited Partnership, any qualification document or any amendment thereto to any Limited Partner.</w:t>
      </w:r>
    </w:p>
    <w:p>
      <w:pPr>
        <w:spacing w:after="0" w:line="187" w:lineRule="exact"/>
        <w:rPr>
          <w:sz w:val="20"/>
          <w:szCs w:val="20"/>
          <w:color w:val="auto"/>
        </w:rPr>
      </w:pPr>
    </w:p>
    <w:p>
      <w:pPr>
        <w:ind w:right="140" w:firstLine="1297"/>
        <w:spacing w:after="0" w:line="236"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Restrictions on the Authority of the Board of Directors and the General Partner</w:t>
      </w:r>
      <w:r>
        <w:rPr>
          <w:rFonts w:ascii="Arial" w:cs="Arial" w:eastAsia="Arial" w:hAnsi="Arial"/>
          <w:sz w:val="22"/>
          <w:szCs w:val="22"/>
          <w:color w:val="auto"/>
        </w:rPr>
        <w:t>. (a) Except as otherwise provided in this Agreement, neither the Board of Directors nor the General Partner may,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w:t>
      </w:r>
    </w:p>
    <w:p>
      <w:pPr>
        <w:spacing w:after="0" w:line="188" w:lineRule="exact"/>
        <w:rPr>
          <w:sz w:val="20"/>
          <w:szCs w:val="20"/>
          <w:color w:val="auto"/>
        </w:rPr>
      </w:pPr>
    </w:p>
    <w:p>
      <w:pPr>
        <w:ind w:right="40" w:firstLine="1305"/>
        <w:spacing w:after="0" w:line="245" w:lineRule="auto"/>
        <w:tabs>
          <w:tab w:leader="none" w:pos="1981"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Articles 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XIV</w:t>
      </w:r>
      <w:r>
        <w:rPr>
          <w:rFonts w:ascii="Arial" w:cs="Arial" w:eastAsia="Arial" w:hAnsi="Arial"/>
          <w:sz w:val="21"/>
          <w:szCs w:val="21"/>
          <w:color w:val="auto"/>
        </w:rPr>
        <w:t xml:space="preserve">, the Board of Directors may not sell, exchange or otherwise dispose of all or substantially all of the assets of the Partnership Group, taken as a whole, in a single transaction or a series of related transactions (including by way of merger, consolidation, other combination or sale of ownership interests in the Partnership’s Subsidiaries) without the approval of holders of a Unit Majority and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this provision shall not preclude or limit the ability of the Board of Directors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The transfer of the General Partner Interest to and the election of a successor general partner of the Partnership shall be made in accordance with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11.2</w:t>
      </w:r>
      <w:r>
        <w:rPr>
          <w:rFonts w:ascii="Arial" w:cs="Arial" w:eastAsia="Arial" w:hAnsi="Arial"/>
          <w:sz w:val="21"/>
          <w:szCs w:val="21"/>
          <w:color w:val="auto"/>
        </w:rPr>
        <w:t>.</w:t>
      </w:r>
    </w:p>
    <w:p>
      <w:pPr>
        <w:spacing w:after="0" w:line="185" w:lineRule="exact"/>
        <w:rPr>
          <w:sz w:val="20"/>
          <w:szCs w:val="20"/>
          <w:color w:val="auto"/>
        </w:rPr>
      </w:pPr>
    </w:p>
    <w:p>
      <w:pPr>
        <w:ind w:right="60" w:firstLine="1297"/>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Reimbursement of the General Partner</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and elsewhere in this Agreement, the General Partner shall not be compensated for its services as a general partner or managing member of any Group Member.</w:t>
      </w:r>
    </w:p>
    <w:p>
      <w:pPr>
        <w:spacing w:after="0" w:line="186" w:lineRule="exact"/>
        <w:rPr>
          <w:sz w:val="20"/>
          <w:szCs w:val="20"/>
          <w:color w:val="auto"/>
        </w:rPr>
      </w:pPr>
    </w:p>
    <w:p>
      <w:pPr>
        <w:ind w:right="300" w:firstLine="1305"/>
        <w:spacing w:after="0" w:line="251" w:lineRule="auto"/>
        <w:tabs>
          <w:tab w:leader="none" w:pos="1981"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General Partner shall be reimbursed on a monthly basis, or such other basis as the Board of Directors may determine, for any direct and indirect expenses it incurs that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7" w:name="page58"/>
    <w:bookmarkEnd w:id="57"/>
    <w:p>
      <w:pPr>
        <w:ind w:right="120"/>
        <w:spacing w:after="0" w:line="234" w:lineRule="auto"/>
        <w:rPr>
          <w:sz w:val="20"/>
          <w:szCs w:val="20"/>
          <w:color w:val="auto"/>
        </w:rPr>
      </w:pPr>
      <w:r>
        <w:rPr>
          <w:rFonts w:ascii="Arial" w:cs="Arial" w:eastAsia="Arial" w:hAnsi="Arial"/>
          <w:sz w:val="22"/>
          <w:szCs w:val="22"/>
          <w:color w:val="auto"/>
        </w:rPr>
        <w:t xml:space="preserve">are allocable to the Partnership Group or payments it makes on behalf of the Partnership Group (including salary, bonus, incentive compensation and other amounts paid to any Person, including Affiliates of the General Partner, to perform services for the Partnership Group or for the General Partner in the discharge of its duties to the Partnership Group, which amounts shall also include reimbursement for any Common Units purchased to satisfy obligations of the Partnership under any of its equity compensation plans). The Board of Directors shall determine the expenses that are allocable to the Partnership Group. Reimbursements pursuant to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shall be in addition to any reimbursement to the General Partner as a result of indemnification pursuant to </w:t>
      </w:r>
      <w:r>
        <w:rPr>
          <w:rFonts w:ascii="Arial" w:cs="Arial" w:eastAsia="Arial" w:hAnsi="Arial"/>
          <w:sz w:val="22"/>
          <w:szCs w:val="22"/>
          <w:u w:val="single" w:color="auto"/>
          <w:color w:val="auto"/>
        </w:rPr>
        <w:t>Section 7.15</w:t>
      </w:r>
      <w:r>
        <w:rPr>
          <w:rFonts w:ascii="Arial" w:cs="Arial" w:eastAsia="Arial" w:hAnsi="Arial"/>
          <w:sz w:val="22"/>
          <w:szCs w:val="22"/>
          <w:color w:val="auto"/>
        </w:rPr>
        <w:t>.</w:t>
      </w:r>
    </w:p>
    <w:p>
      <w:pPr>
        <w:spacing w:after="0" w:line="191" w:lineRule="exact"/>
        <w:rPr>
          <w:sz w:val="20"/>
          <w:szCs w:val="20"/>
          <w:color w:val="auto"/>
        </w:rPr>
      </w:pPr>
    </w:p>
    <w:p>
      <w:pPr>
        <w:ind w:firstLine="1305"/>
        <w:spacing w:after="0" w:line="270" w:lineRule="auto"/>
        <w:tabs>
          <w:tab w:leader="none" w:pos="1968"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Subject to the applicable rules and regulations of the National Securities Exchange on which the Common Units are listed, the Board of Directors, without the approval of the Partners (who shall have no right to vote in respect thereof), may propose and adopt on behalf of the Partnership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Partnership, the General Partner or any of its Affiliates, in each case for the benefit of employees and directors of the Partnership,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or otherwise to fulfill options or awards under such plans, programs and practices) shall be reimbursed in accordance with </w:t>
      </w:r>
      <w:r>
        <w:rPr>
          <w:rFonts w:ascii="Arial" w:cs="Arial" w:eastAsia="Arial" w:hAnsi="Arial"/>
          <w:sz w:val="19"/>
          <w:szCs w:val="19"/>
          <w:u w:val="single" w:color="auto"/>
          <w:color w:val="auto"/>
        </w:rPr>
        <w:t>Section 7.12(b)</w:t>
      </w:r>
      <w:r>
        <w:rPr>
          <w:rFonts w:ascii="Arial" w:cs="Arial" w:eastAsia="Arial" w:hAnsi="Arial"/>
          <w:sz w:val="19"/>
          <w:szCs w:val="19"/>
          <w:color w:val="auto"/>
        </w:rPr>
        <w:t xml:space="preserve">. Any and all obligations of the General Partner under any employee benefit plans, employee programs or employee practices adopted by the General Partner as permitted by this </w:t>
      </w:r>
      <w:r>
        <w:rPr>
          <w:rFonts w:ascii="Arial" w:cs="Arial" w:eastAsia="Arial" w:hAnsi="Arial"/>
          <w:sz w:val="19"/>
          <w:szCs w:val="19"/>
          <w:u w:val="single" w:color="auto"/>
          <w:color w:val="auto"/>
        </w:rPr>
        <w:t>Section 7.12(c)</w:t>
      </w:r>
      <w:r>
        <w:rPr>
          <w:rFonts w:ascii="Arial" w:cs="Arial" w:eastAsia="Arial" w:hAnsi="Arial"/>
          <w:sz w:val="19"/>
          <w:szCs w:val="19"/>
          <w:color w:val="auto"/>
        </w:rPr>
        <w:t xml:space="preserve"> shall constitute obligations of the General Partner hereunder and shall be assumed by any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of the General Partner’s General Partner Interest pursuant to </w:t>
      </w:r>
      <w:r>
        <w:rPr>
          <w:rFonts w:ascii="Arial" w:cs="Arial" w:eastAsia="Arial" w:hAnsi="Arial"/>
          <w:sz w:val="19"/>
          <w:szCs w:val="19"/>
          <w:u w:val="single" w:color="auto"/>
          <w:color w:val="auto"/>
        </w:rPr>
        <w:t>Section 4.6.</w:t>
      </w:r>
    </w:p>
    <w:p>
      <w:pPr>
        <w:spacing w:after="0" w:line="167" w:lineRule="exact"/>
        <w:rPr>
          <w:sz w:val="20"/>
          <w:szCs w:val="20"/>
          <w:color w:val="auto"/>
        </w:rPr>
      </w:pPr>
    </w:p>
    <w:p>
      <w:pPr>
        <w:ind w:right="60" w:firstLine="1297"/>
        <w:spacing w:after="0" w:line="234"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i w:val="1"/>
          <w:iCs w:val="1"/>
          <w:color w:val="auto"/>
        </w:rPr>
        <w:t>Outside Activities</w:t>
      </w:r>
      <w:r>
        <w:rPr>
          <w:rFonts w:ascii="Arial" w:cs="Arial" w:eastAsia="Arial" w:hAnsi="Arial"/>
          <w:sz w:val="22"/>
          <w:szCs w:val="22"/>
          <w:color w:val="auto"/>
        </w:rPr>
        <w:t>. (a) After the Closing Date,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or managing member, if any, of one or more Group Members or as described in or contemplated by the Registration Statement or (B) the acquiring, owning or disposing of debt or equity securities in any Group Member and (iii) except to the extent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8" w:name="page59"/>
    <w:bookmarkEnd w:id="58"/>
    <w:p>
      <w:pPr>
        <w:ind w:right="500"/>
        <w:spacing w:after="0" w:line="251" w:lineRule="auto"/>
        <w:rPr>
          <w:sz w:val="20"/>
          <w:szCs w:val="20"/>
          <w:color w:val="auto"/>
        </w:rPr>
      </w:pPr>
      <w:r>
        <w:rPr>
          <w:rFonts w:ascii="Arial" w:cs="Arial" w:eastAsia="Arial" w:hAnsi="Arial"/>
          <w:sz w:val="22"/>
          <w:szCs w:val="22"/>
          <w:color w:val="auto"/>
        </w:rPr>
        <w:t>permitted in the Omnibus Agreement, shall not acquire or own any Five-Year Vessels (as such term is defined in the Omnibus Agreement).</w:t>
      </w:r>
    </w:p>
    <w:p>
      <w:pPr>
        <w:spacing w:after="0" w:line="173" w:lineRule="exact"/>
        <w:rPr>
          <w:sz w:val="20"/>
          <w:szCs w:val="20"/>
          <w:color w:val="auto"/>
        </w:rPr>
      </w:pPr>
    </w:p>
    <w:p>
      <w:pPr>
        <w:ind w:right="180" w:firstLine="1305"/>
        <w:spacing w:after="0"/>
        <w:tabs>
          <w:tab w:leader="none" w:pos="1981" w:val="left"/>
        </w:tabs>
        <w:numPr>
          <w:ilvl w:val="0"/>
          <w:numId w:val="56"/>
        </w:numPr>
        <w:rPr>
          <w:rFonts w:ascii="Arial" w:cs="Arial" w:eastAsia="Arial" w:hAnsi="Arial"/>
          <w:sz w:val="22"/>
          <w:szCs w:val="22"/>
          <w:color w:val="auto"/>
        </w:rPr>
      </w:pPr>
      <w:r>
        <w:rPr>
          <w:rFonts w:ascii="Arial" w:cs="Arial" w:eastAsia="Arial" w:hAnsi="Arial"/>
          <w:sz w:val="22"/>
          <w:szCs w:val="22"/>
          <w:color w:val="auto"/>
        </w:rPr>
        <w:t>GasLog, the Partnership, the General Partner and the Operating Company have entered into the Omnibus Agreement, which agreement sets forth certain restrictions on the ability of GasLog and certain of its Affiliates to acquire, own or operate any Five-Year Vessels (as such term is defined in the Omnibus Agreement).</w:t>
      </w:r>
    </w:p>
    <w:p>
      <w:pPr>
        <w:spacing w:after="0" w:line="186" w:lineRule="exact"/>
        <w:rPr>
          <w:rFonts w:ascii="Arial" w:cs="Arial" w:eastAsia="Arial" w:hAnsi="Arial"/>
          <w:sz w:val="22"/>
          <w:szCs w:val="22"/>
          <w:color w:val="auto"/>
        </w:rPr>
      </w:pPr>
    </w:p>
    <w:p>
      <w:pPr>
        <w:ind w:firstLine="1305"/>
        <w:spacing w:after="0" w:line="273" w:lineRule="auto"/>
        <w:tabs>
          <w:tab w:leader="none" w:pos="1968"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Except as specifically restricted by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or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 anything to the contrary in this Agreement, (i) the possessing of competitive interests and engaging in competitive activities by any Indemnitees (other than the General Partner) in accordance with the provisions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is hereby approved by the Partnership and all Partners and (ii) it shall be deemed not to be a breach of any duty (including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156" w:lineRule="exact"/>
        <w:rPr>
          <w:rFonts w:ascii="Arial" w:cs="Arial" w:eastAsia="Arial" w:hAnsi="Arial"/>
          <w:sz w:val="19"/>
          <w:szCs w:val="19"/>
          <w:color w:val="auto"/>
        </w:rPr>
      </w:pPr>
    </w:p>
    <w:p>
      <w:pPr>
        <w:ind w:right="200" w:firstLine="1305"/>
        <w:spacing w:after="0" w:line="270" w:lineRule="auto"/>
        <w:tabs>
          <w:tab w:leader="none" w:pos="1927"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doctrine of corporate opportunity, or any analogous doctrine, shall not apply to an Indemnitee (including the General Partner)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no Indemnitee (including the General Partner) who acquires knowledge of a potential transaction, agreement, arrangement or other matter that may be an opportunity for the Partnership shall have any duty to communicate or offer such opportunity to the Partnership,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such Indemnitee (including the General Partner) shall not be liable to the Partnership, to any Limited Partner or any other Person for breach of any fiduciary or other duty by reason of the fact that such Indemnitee (including the General Partner) pursues or acquires such opportunity for itself, directs such opportunity to another Person or does not communicate such opportunity or information to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Indemnitee (including the General Partner) does not engage in such business or activity as a result of using confidential or proprietary information provided by or on behalf of the Partnership to such Indemnitee (including the General Partner).</w:t>
      </w:r>
    </w:p>
    <w:p>
      <w:pPr>
        <w:spacing w:after="0" w:line="154" w:lineRule="exact"/>
        <w:rPr>
          <w:rFonts w:ascii="Arial" w:cs="Arial" w:eastAsia="Arial" w:hAnsi="Arial"/>
          <w:sz w:val="19"/>
          <w:szCs w:val="19"/>
          <w:color w:val="auto"/>
        </w:rPr>
      </w:pPr>
    </w:p>
    <w:p>
      <w:pPr>
        <w:ind w:right="60" w:firstLine="1305"/>
        <w:spacing w:after="0" w:line="252" w:lineRule="auto"/>
        <w:tabs>
          <w:tab w:leader="none" w:pos="1968"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General Partner and each of its Affiliates may own and acquire Units or other Partnership Interests in addition to those acquired on the Closing Date and, except as otherwise provided in this Agreement, shall be entitled to exercise, at their option, all rights relating to all Units or other Partnership Interests acquired by them. The term “</w:t>
      </w:r>
      <w:r>
        <w:rPr>
          <w:rFonts w:ascii="Arial" w:cs="Arial" w:eastAsia="Arial" w:hAnsi="Arial"/>
          <w:sz w:val="21"/>
          <w:szCs w:val="21"/>
          <w:i w:val="1"/>
          <w:iCs w:val="1"/>
          <w:color w:val="auto"/>
        </w:rPr>
        <w:t>Affiliates</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Section 7.13(e)</w:t>
      </w:r>
      <w:r>
        <w:rPr>
          <w:rFonts w:ascii="Arial" w:cs="Arial" w:eastAsia="Arial" w:hAnsi="Arial"/>
          <w:sz w:val="21"/>
          <w:szCs w:val="21"/>
          <w:color w:val="auto"/>
        </w:rPr>
        <w:t xml:space="preserve"> with respect to the General Partner shall not include any Group Member.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9" w:name="page60"/>
    <w:bookmarkEnd w:id="59"/>
    <w:p>
      <w:pPr>
        <w:ind w:left="1300"/>
        <w:spacing w:after="0"/>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i w:val="1"/>
          <w:iCs w:val="1"/>
          <w:color w:val="auto"/>
        </w:rPr>
        <w:t>Loans from the General Partner; Loans or Contributions from the Partnership or Group Members</w:t>
      </w:r>
      <w:r>
        <w:rPr>
          <w:rFonts w:ascii="Arial" w:cs="Arial" w:eastAsia="Arial" w:hAnsi="Arial"/>
          <w:sz w:val="19"/>
          <w:szCs w:val="19"/>
          <w:color w:val="auto"/>
        </w:rPr>
        <w:t>.</w:t>
      </w:r>
    </w:p>
    <w:p>
      <w:pPr>
        <w:spacing w:after="0" w:line="43" w:lineRule="exact"/>
        <w:rPr>
          <w:sz w:val="20"/>
          <w:szCs w:val="20"/>
          <w:color w:val="auto"/>
        </w:rPr>
      </w:pPr>
    </w:p>
    <w:p>
      <w:pPr>
        <w:ind w:firstLine="8"/>
        <w:spacing w:after="0" w:line="243" w:lineRule="auto"/>
        <w:tabs>
          <w:tab w:leader="none" w:pos="348"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The General Partner or any of its Affiliates may lend to any Group Member, and any Group Member may borrow from the General Partner or any of its Affiliates, funds needed or desired by the Group Member for such periods of time and in such amounts as the General Partner and the Board of Directors may determine;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 length basis (without reference to the lending party’s financial abilities or guarantees), all as determined by the General Partner and the Board of Directors. The borrowing party shall reimburse the lending party for any costs (other than any additional interest costs) incurred by the lending party in connection with the borrowing of such funds. For purposes of this </w:t>
      </w:r>
      <w:r>
        <w:rPr>
          <w:rFonts w:ascii="Arial" w:cs="Arial" w:eastAsia="Arial" w:hAnsi="Arial"/>
          <w:sz w:val="21"/>
          <w:szCs w:val="21"/>
          <w:u w:val="single" w:color="auto"/>
          <w:color w:val="auto"/>
        </w:rPr>
        <w:t>Section 7.14(a)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7.14(b)</w:t>
      </w:r>
      <w:r>
        <w:rPr>
          <w:rFonts w:ascii="Arial" w:cs="Arial" w:eastAsia="Arial" w:hAnsi="Arial"/>
          <w:sz w:val="21"/>
          <w:szCs w:val="21"/>
          <w:color w:val="auto"/>
        </w:rPr>
        <w:t>, the term “</w:t>
      </w:r>
      <w:r>
        <w:rPr>
          <w:rFonts w:ascii="Arial" w:cs="Arial" w:eastAsia="Arial" w:hAnsi="Arial"/>
          <w:sz w:val="21"/>
          <w:szCs w:val="21"/>
          <w:b w:val="1"/>
          <w:bCs w:val="1"/>
          <w:i w:val="1"/>
          <w:iCs w:val="1"/>
          <w:color w:val="auto"/>
        </w:rPr>
        <w:t>Group Member</w:t>
      </w:r>
      <w:r>
        <w:rPr>
          <w:rFonts w:ascii="Arial" w:cs="Arial" w:eastAsia="Arial" w:hAnsi="Arial"/>
          <w:sz w:val="21"/>
          <w:szCs w:val="21"/>
          <w:color w:val="auto"/>
        </w:rPr>
        <w:t>” shall include any Affiliate of a Group Member that is controlled by the Group Member.</w:t>
      </w:r>
    </w:p>
    <w:p>
      <w:pPr>
        <w:spacing w:after="0" w:line="184" w:lineRule="exact"/>
        <w:rPr>
          <w:rFonts w:ascii="Arial" w:cs="Arial" w:eastAsia="Arial" w:hAnsi="Arial"/>
          <w:sz w:val="21"/>
          <w:szCs w:val="21"/>
          <w:color w:val="auto"/>
        </w:rPr>
      </w:pPr>
    </w:p>
    <w:p>
      <w:pPr>
        <w:jc w:val="both"/>
        <w:ind w:right="320" w:firstLine="1305"/>
        <w:spacing w:after="0"/>
        <w:tabs>
          <w:tab w:leader="none" w:pos="1981"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Partnership may lend or contribute to any Group Member, and any Group Member may borrow from the Partnership, funds on terms and conditions determined by the Board of Directors. No Group Member may lend funds to the General Partner or any of its Affiliates (other than another Group Member).</w:t>
      </w:r>
    </w:p>
    <w:p>
      <w:pPr>
        <w:spacing w:after="0" w:line="186" w:lineRule="exact"/>
        <w:rPr>
          <w:rFonts w:ascii="Arial" w:cs="Arial" w:eastAsia="Arial" w:hAnsi="Arial"/>
          <w:sz w:val="22"/>
          <w:szCs w:val="22"/>
          <w:color w:val="auto"/>
        </w:rPr>
      </w:pPr>
    </w:p>
    <w:p>
      <w:pPr>
        <w:ind w:right="140" w:firstLine="1305"/>
        <w:spacing w:after="0" w:line="249" w:lineRule="auto"/>
        <w:tabs>
          <w:tab w:leader="none" w:pos="1968" w:val="left"/>
        </w:tabs>
        <w:numPr>
          <w:ilvl w:val="1"/>
          <w:numId w:val="57"/>
        </w:numPr>
        <w:rPr>
          <w:rFonts w:ascii="Arial" w:cs="Arial" w:eastAsia="Arial" w:hAnsi="Arial"/>
          <w:sz w:val="21"/>
          <w:szCs w:val="21"/>
          <w:color w:val="auto"/>
        </w:rPr>
      </w:pPr>
      <w:r>
        <w:rPr>
          <w:rFonts w:ascii="Arial" w:cs="Arial" w:eastAsia="Arial" w:hAnsi="Arial"/>
          <w:sz w:val="21"/>
          <w:szCs w:val="21"/>
          <w:color w:val="auto"/>
        </w:rPr>
        <w:t>No borrowing by any Group Member or the approval thereof by the General Partner or the Board of Directors shall be deemed to constitute a breach of any duty, expressed or implied, of the General Partner or its Affiliates or the Board of Directors to the Partnership or the Limited Partners if the purpose or effect of such borrowing is directly or indirectly to enable distributions to the General Partner or its Affiliates (including in their capacities as Limited Partners) to exceed the General Partner’s Percentage Interest of the total amount distributed to all partners.</w:t>
      </w:r>
    </w:p>
    <w:p>
      <w:pPr>
        <w:spacing w:after="0" w:line="179" w:lineRule="exact"/>
        <w:rPr>
          <w:sz w:val="20"/>
          <w:szCs w:val="20"/>
          <w:color w:val="auto"/>
        </w:rPr>
      </w:pPr>
    </w:p>
    <w:p>
      <w:pPr>
        <w:ind w:right="160" w:firstLine="1297"/>
        <w:spacing w:after="0" w:line="271"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(a) To the fullest extent permitted by the Marshall Islands Act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Indemnitee acted in bad faith or engaged in fraud or willful misconduct or, in the case of a criminal matter, acted with knowledge that the Indemnitee’s conduct was unlawful;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available to the General Partner or its Affiliates (other than a Group Member) with respect to its or their obligations incurred pursuant to the Underwriting Agreement, the Omnibus Agreement or the Contribution Agreement (other than obligations incurred by the General Partner on behalf of the Partnership). Any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made only out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0" w:name="page61"/>
    <w:bookmarkEnd w:id="60"/>
    <w:p>
      <w:pPr>
        <w:jc w:val="both"/>
        <w:ind w:right="240"/>
        <w:spacing w:after="0" w:line="328" w:lineRule="auto"/>
        <w:rPr>
          <w:sz w:val="20"/>
          <w:szCs w:val="20"/>
          <w:color w:val="auto"/>
        </w:rPr>
      </w:pPr>
      <w:r>
        <w:rPr>
          <w:rFonts w:ascii="Arial" w:cs="Arial" w:eastAsia="Arial" w:hAnsi="Arial"/>
          <w:sz w:val="19"/>
          <w:szCs w:val="19"/>
          <w:color w:val="auto"/>
        </w:rPr>
        <w:t>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05" w:lineRule="exact"/>
        <w:rPr>
          <w:sz w:val="20"/>
          <w:szCs w:val="20"/>
          <w:color w:val="auto"/>
        </w:rPr>
      </w:pPr>
    </w:p>
    <w:p>
      <w:pPr>
        <w:ind w:firstLine="1305"/>
        <w:spacing w:after="0" w:line="282" w:lineRule="auto"/>
        <w:tabs>
          <w:tab w:leader="none" w:pos="1981"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the Marshall Islands Act, expenses (including legal fees and expenses) incurred by an Indemnitee who is indemnified pursuant to </w:t>
      </w:r>
      <w:r>
        <w:rPr>
          <w:rFonts w:ascii="Arial" w:cs="Arial" w:eastAsia="Arial" w:hAnsi="Arial"/>
          <w:sz w:val="19"/>
          <w:szCs w:val="19"/>
          <w:u w:val="single" w:color="auto"/>
          <w:color w:val="auto"/>
        </w:rPr>
        <w:t>Section 7.15(a)</w:t>
      </w:r>
      <w:r>
        <w:rPr>
          <w:rFonts w:ascii="Arial" w:cs="Arial" w:eastAsia="Arial" w:hAnsi="Arial"/>
          <w:sz w:val="19"/>
          <w:szCs w:val="19"/>
          <w:color w:val="auto"/>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80" w:firstLine="1305"/>
        <w:spacing w:after="0" w:line="282" w:lineRule="auto"/>
        <w:tabs>
          <w:tab w:leader="none" w:pos="196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indemnification provided by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47" w:lineRule="exact"/>
        <w:rPr>
          <w:rFonts w:ascii="Arial" w:cs="Arial" w:eastAsia="Arial" w:hAnsi="Arial"/>
          <w:sz w:val="19"/>
          <w:szCs w:val="19"/>
          <w:color w:val="auto"/>
        </w:rPr>
      </w:pPr>
    </w:p>
    <w:p>
      <w:pPr>
        <w:ind w:right="20" w:firstLine="1305"/>
        <w:spacing w:after="0" w:line="282" w:lineRule="auto"/>
        <w:tabs>
          <w:tab w:leader="none" w:pos="192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Partnership may purchase and maintain (or reimburse the General Partner or its Affiliates for the cost of) insurance, on behalf of the Board of Directors and the General Partner, its Affiliates and such other Persons as the Board of Directors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or law.</w:t>
      </w:r>
    </w:p>
    <w:p>
      <w:pPr>
        <w:spacing w:after="0" w:line="147" w:lineRule="exact"/>
        <w:rPr>
          <w:rFonts w:ascii="Arial" w:cs="Arial" w:eastAsia="Arial" w:hAnsi="Arial"/>
          <w:sz w:val="19"/>
          <w:szCs w:val="19"/>
          <w:color w:val="auto"/>
        </w:rPr>
      </w:pPr>
    </w:p>
    <w:p>
      <w:pPr>
        <w:ind w:right="120" w:firstLine="1305"/>
        <w:spacing w:after="0" w:line="277" w:lineRule="auto"/>
        <w:tabs>
          <w:tab w:leader="none" w:pos="196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9"/>
          <w:szCs w:val="19"/>
          <w:u w:val="single" w:color="auto"/>
          <w:color w:val="auto"/>
        </w:rPr>
        <w:t>Section 7.15(a)</w:t>
      </w:r>
      <w:r>
        <w:rPr>
          <w:rFonts w:ascii="Arial" w:cs="Arial" w:eastAsia="Arial" w:hAnsi="Arial"/>
          <w:sz w:val="19"/>
          <w:szCs w:val="19"/>
          <w:color w:val="auto"/>
        </w:rPr>
        <w:t>; and action taken or omitted by 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52" w:lineRule="exact"/>
        <w:rPr>
          <w:rFonts w:ascii="Arial" w:cs="Arial" w:eastAsia="Arial" w:hAnsi="Arial"/>
          <w:sz w:val="19"/>
          <w:szCs w:val="19"/>
          <w:color w:val="auto"/>
        </w:rPr>
      </w:pPr>
    </w:p>
    <w:p>
      <w:pPr>
        <w:ind w:right="1100" w:firstLine="1305"/>
        <w:spacing w:after="0" w:line="251" w:lineRule="auto"/>
        <w:tabs>
          <w:tab w:leader="none" w:pos="19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no event may an Indemnitee subject the Limited Partners to personal liability by reason of the indemnification provisions set forth in this Agreement.</w:t>
      </w:r>
    </w:p>
    <w:p>
      <w:pPr>
        <w:spacing w:after="0" w:line="173" w:lineRule="exact"/>
        <w:rPr>
          <w:rFonts w:ascii="Arial" w:cs="Arial" w:eastAsia="Arial" w:hAnsi="Arial"/>
          <w:sz w:val="22"/>
          <w:szCs w:val="22"/>
          <w:color w:val="auto"/>
        </w:rPr>
      </w:pPr>
    </w:p>
    <w:p>
      <w:pPr>
        <w:ind w:right="260" w:firstLine="1305"/>
        <w:spacing w:after="0"/>
        <w:tabs>
          <w:tab w:leader="none" w:pos="1981"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An Indemnitee shall not be denied indemnification in whole or in part under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because the Indemnitee had an interest in the transaction with respect to which the indemnification applies if the transaction was otherwise permitted by the terms of this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1" w:name="page62"/>
    <w:bookmarkEnd w:id="61"/>
    <w:p>
      <w:pPr>
        <w:ind w:right="60" w:firstLine="1305"/>
        <w:spacing w:after="0" w:line="274" w:lineRule="auto"/>
        <w:tabs>
          <w:tab w:leader="none" w:pos="1954"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are for the benefit of the Indemnitees, their heirs, successors, assigns and administrators and shall not be deemed to create any rights for the benefit of any other Persons.</w:t>
      </w:r>
    </w:p>
    <w:p>
      <w:pPr>
        <w:spacing w:after="0" w:line="150" w:lineRule="exact"/>
        <w:rPr>
          <w:rFonts w:ascii="Arial" w:cs="Arial" w:eastAsia="Arial" w:hAnsi="Arial"/>
          <w:sz w:val="21"/>
          <w:szCs w:val="21"/>
          <w:color w:val="auto"/>
        </w:rPr>
      </w:pPr>
    </w:p>
    <w:p>
      <w:pPr>
        <w:ind w:firstLine="1305"/>
        <w:spacing w:after="0" w:line="235" w:lineRule="auto"/>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No amendment, modification or repeal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right="240" w:firstLine="1297"/>
        <w:spacing w:after="0" w:line="279"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i w:val="1"/>
          <w:iCs w:val="1"/>
          <w:color w:val="auto"/>
        </w:rPr>
        <w:t>Liability of Indemnitees</w:t>
      </w:r>
      <w:r>
        <w:rPr>
          <w:rFonts w:ascii="Arial" w:cs="Arial" w:eastAsia="Arial" w:hAnsi="Arial"/>
          <w:sz w:val="19"/>
          <w:szCs w:val="19"/>
          <w:color w:val="auto"/>
        </w:rPr>
        <w:t>. (a) Notwithstanding anything to the contrary set forth in this Agreement, no Indemnitee shall be liable for monetary damages to the Partnership, the Limited Partners or any other Persons who have acquired Partnership Interests or are otherwise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committed (i) acts of active and deliberate dishonesty, (ii) with actual dishonest purpose and intent, and (iii) which acts were material to the cause of action so adjudicated.</w:t>
      </w:r>
    </w:p>
    <w:p>
      <w:pPr>
        <w:spacing w:after="0" w:line="151" w:lineRule="exact"/>
        <w:rPr>
          <w:sz w:val="20"/>
          <w:szCs w:val="20"/>
          <w:color w:val="auto"/>
        </w:rPr>
      </w:pPr>
    </w:p>
    <w:p>
      <w:pPr>
        <w:ind w:right="20" w:firstLine="1305"/>
        <w:spacing w:after="0" w:line="282" w:lineRule="auto"/>
        <w:tabs>
          <w:tab w:leader="none" w:pos="1954"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Subject to their obligations and duties as members of the Board of Directors or as the General Partner, respectively,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147" w:lineRule="exact"/>
        <w:rPr>
          <w:rFonts w:ascii="Arial" w:cs="Arial" w:eastAsia="Arial" w:hAnsi="Arial"/>
          <w:sz w:val="19"/>
          <w:szCs w:val="19"/>
          <w:color w:val="auto"/>
        </w:rPr>
      </w:pPr>
    </w:p>
    <w:p>
      <w:pPr>
        <w:jc w:val="both"/>
        <w:ind w:right="200" w:firstLine="1305"/>
        <w:spacing w:after="0" w:line="238" w:lineRule="auto"/>
        <w:tabs>
          <w:tab w:leader="none" w:pos="1955"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185" w:lineRule="exact"/>
        <w:rPr>
          <w:rFonts w:ascii="Arial" w:cs="Arial" w:eastAsia="Arial" w:hAnsi="Arial"/>
          <w:sz w:val="22"/>
          <w:szCs w:val="22"/>
          <w:color w:val="auto"/>
        </w:rPr>
      </w:pPr>
    </w:p>
    <w:p>
      <w:pPr>
        <w:ind w:firstLine="1305"/>
        <w:spacing w:after="0" w:line="287" w:lineRule="auto"/>
        <w:tabs>
          <w:tab w:leader="none" w:pos="19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Any amendment, modification or repeal of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or any provision hereof shall be prospective only and shall not in any way affect the limitations on the liability of the Indemnitees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43"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color w:val="auto"/>
        </w:rPr>
        <w:t xml:space="preserve">Section 7.17. </w:t>
      </w:r>
      <w:r>
        <w:rPr>
          <w:rFonts w:ascii="Arial" w:cs="Arial" w:eastAsia="Arial" w:hAnsi="Arial"/>
          <w:sz w:val="19"/>
          <w:szCs w:val="19"/>
          <w:i w:val="1"/>
          <w:iCs w:val="1"/>
          <w:color w:val="auto"/>
        </w:rPr>
        <w:t>Resolution of Conflicts of Interest; Standards of Conduct and Modification of Duties</w:t>
      </w:r>
      <w:r>
        <w:rPr>
          <w:rFonts w:ascii="Arial" w:cs="Arial" w:eastAsia="Arial" w:hAnsi="Arial"/>
          <w:sz w:val="19"/>
          <w:szCs w:val="19"/>
          <w:color w:val="auto"/>
        </w:rPr>
        <w:t>. (a) Unless otherwise expressly provided in this Agreement or any Group Member Agreement, whenever a potential conflict of interest exists or arises between the General Partner or any of its Affiliates, or any member of the Board of Directors, on the one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2" w:name="page63"/>
    <w:bookmarkEnd w:id="62"/>
    <w:p>
      <w:pPr>
        <w:ind w:right="20"/>
        <w:spacing w:after="0" w:line="270" w:lineRule="auto"/>
        <w:rPr>
          <w:sz w:val="20"/>
          <w:szCs w:val="20"/>
          <w:color w:val="auto"/>
        </w:rPr>
      </w:pPr>
      <w:r>
        <w:rPr>
          <w:rFonts w:ascii="Arial" w:cs="Arial" w:eastAsia="Arial" w:hAnsi="Arial"/>
          <w:sz w:val="19"/>
          <w:szCs w:val="19"/>
          <w:color w:val="auto"/>
        </w:rPr>
        <w:t>hand, and the Partnership, any Group Member or any Partner, on the other, any resolution or 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approved by the vote of a majority of the Outstanding Common Units (excluding Common Units owned by the General Partner and its Affiliates),</w:t>
      </w:r>
    </w:p>
    <w:p>
      <w:pPr>
        <w:spacing w:after="0" w:line="4"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on terms no less favorable to the Partnership than those generally being provided to or available from unrelated third parties or</w:t>
      </w:r>
    </w:p>
    <w:p>
      <w:pPr>
        <w:spacing w:after="0" w:line="24" w:lineRule="exact"/>
        <w:rPr>
          <w:rFonts w:ascii="Arial" w:cs="Arial" w:eastAsia="Arial" w:hAnsi="Arial"/>
          <w:sz w:val="19"/>
          <w:szCs w:val="19"/>
          <w:color w:val="auto"/>
        </w:rPr>
      </w:pPr>
    </w:p>
    <w:p>
      <w:pPr>
        <w:ind w:firstLine="8"/>
        <w:spacing w:after="0" w:line="269" w:lineRule="auto"/>
        <w:tabs>
          <w:tab w:leader="none" w:pos="36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fair and reasonable to the Partnership, taking into account the totality of the relationships between the parties involved (including other transactions that may be particularly favorable or 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sought, then, notwithstanding any other provision of this Agreement or law that would otherwise apply, (x) the Conflicts Committee will be authorized in connection with its determination of whether to provide Special Approval to consider any and all factors as it determines to be relevant or appropriate under the circumstances and (y) it will be presumed that, in making its decision, the Conflicts Committee acted in good faith, and if Special Approval is not sought and the Board of Directors determines that the resolution or course of action taken with respect to a conflict of interest satisfies either of the standards set forth in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then it shall be presumed that, in making its decision the Board of Directors, acted in good faith, and, in either case, in any proceeding brought by any Limited Partner or by or on behalf of such Limited Partner or any other Limited Partner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of any duty hereunder or existing at law, in equity or otherwise.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100" w:firstLine="1305"/>
        <w:spacing w:after="0" w:line="245" w:lineRule="auto"/>
        <w:tabs>
          <w:tab w:leader="none" w:pos="1954" w:val="left"/>
        </w:tabs>
        <w:numPr>
          <w:ilvl w:val="1"/>
          <w:numId w:val="61"/>
        </w:numPr>
        <w:rPr>
          <w:rFonts w:ascii="Arial" w:cs="Arial" w:eastAsia="Arial" w:hAnsi="Arial"/>
          <w:sz w:val="21"/>
          <w:szCs w:val="21"/>
          <w:color w:val="auto"/>
        </w:rPr>
      </w:pPr>
      <w:r>
        <w:rPr>
          <w:rFonts w:ascii="Arial" w:cs="Arial" w:eastAsia="Arial" w:hAnsi="Arial"/>
          <w:sz w:val="21"/>
          <w:szCs w:val="21"/>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3" w:name="page64"/>
    <w:bookmarkEnd w:id="63"/>
    <w:p>
      <w:pPr>
        <w:ind w:left="-20" w:firstLine="1305"/>
        <w:spacing w:after="0" w:line="270" w:lineRule="auto"/>
        <w:tabs>
          <w:tab w:leader="none" w:pos="1935"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make such determination or to take or decline to take such other action free of any duty (including any fiduciary duty) or obligation whatsoever to the Partnership or any Limited Partner, any Record Holder or any other Person bound by this Agreement, and, to the fullest extent permitted by law,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Units, General Partner Interest or Incentive Distribution Rights, if any, to the extent permitted under this Agreement, or refrains from voting or transferring its Units, General Partner Units or Incentive Distribution Rights,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20" w:right="80" w:firstLine="1305"/>
        <w:spacing w:after="0" w:line="275" w:lineRule="auto"/>
        <w:tabs>
          <w:tab w:leader="none" w:pos="19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58" w:lineRule="exact"/>
        <w:rPr>
          <w:rFonts w:ascii="Arial" w:cs="Arial" w:eastAsia="Arial" w:hAnsi="Arial"/>
          <w:sz w:val="19"/>
          <w:szCs w:val="19"/>
          <w:color w:val="auto"/>
        </w:rPr>
      </w:pPr>
    </w:p>
    <w:p>
      <w:pPr>
        <w:ind w:left="-20" w:right="80" w:firstLine="1305"/>
        <w:spacing w:after="0" w:line="282" w:lineRule="auto"/>
        <w:tabs>
          <w:tab w:leader="none" w:pos="1935"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General Partner and its Affiliates shall have no duty or obligation, express or implied, to (i) approve the sale or other disposition of any asset of the Partnership Group (if such approval is required pursuant to </w:t>
      </w:r>
      <w:r>
        <w:rPr>
          <w:rFonts w:ascii="Arial" w:cs="Arial" w:eastAsia="Arial" w:hAnsi="Arial"/>
          <w:sz w:val="19"/>
          <w:szCs w:val="19"/>
          <w:u w:val="single" w:color="auto"/>
          <w:color w:val="auto"/>
        </w:rPr>
        <w:t>Section 7.11(b)</w:t>
      </w:r>
      <w:r>
        <w:rPr>
          <w:rFonts w:ascii="Arial" w:cs="Arial" w:eastAsia="Arial" w:hAnsi="Arial"/>
          <w:sz w:val="19"/>
          <w:szCs w:val="19"/>
          <w:color w:val="auto"/>
        </w:rPr>
        <w:t>)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in each case, be at their option.</w:t>
      </w:r>
    </w:p>
    <w:p>
      <w:pPr>
        <w:spacing w:after="0" w:line="147" w:lineRule="exact"/>
        <w:rPr>
          <w:rFonts w:ascii="Arial" w:cs="Arial" w:eastAsia="Arial" w:hAnsi="Arial"/>
          <w:sz w:val="19"/>
          <w:szCs w:val="19"/>
          <w:color w:val="auto"/>
        </w:rPr>
      </w:pPr>
    </w:p>
    <w:p>
      <w:pPr>
        <w:ind w:left="-20" w:right="20" w:firstLine="1305"/>
        <w:spacing w:after="0" w:line="251" w:lineRule="auto"/>
        <w:tabs>
          <w:tab w:leader="none" w:pos="1925" w:val="left"/>
        </w:tabs>
        <w:numPr>
          <w:ilvl w:val="0"/>
          <w:numId w:val="62"/>
        </w:numPr>
        <w:rPr>
          <w:rFonts w:ascii="Arial" w:cs="Arial" w:eastAsia="Arial" w:hAnsi="Arial"/>
          <w:sz w:val="22"/>
          <w:szCs w:val="22"/>
          <w:color w:val="auto"/>
        </w:rPr>
      </w:pPr>
      <w:r>
        <w:rPr>
          <w:rFonts w:ascii="Arial" w:cs="Arial" w:eastAsia="Arial" w:hAnsi="Arial"/>
          <w:sz w:val="22"/>
          <w:szCs w:val="22"/>
          <w:color w:val="auto"/>
        </w:rPr>
        <w:t>Except as expressly set forth in this Agreement, neither the General Partner nor the Board of Directors or any other Indemnitee shall have any duties or liabilities,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64" w:name="page65"/>
    <w:bookmarkEnd w:id="64"/>
    <w:p>
      <w:pPr>
        <w:ind w:right="80"/>
        <w:spacing w:after="0" w:line="247" w:lineRule="auto"/>
        <w:rPr>
          <w:sz w:val="20"/>
          <w:szCs w:val="20"/>
          <w:color w:val="auto"/>
        </w:rPr>
      </w:pPr>
      <w:r>
        <w:rPr>
          <w:rFonts w:ascii="Arial" w:cs="Arial" w:eastAsia="Arial" w:hAnsi="Arial"/>
          <w:sz w:val="21"/>
          <w:szCs w:val="21"/>
          <w:color w:val="auto"/>
        </w:rPr>
        <w:t xml:space="preserve">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 such other duties and liabilities of the Board of Directors or the General Partner or such other Indemnitee. Notwithstanding anything to the contrary, but subject to </w:t>
      </w:r>
      <w:r>
        <w:rPr>
          <w:rFonts w:ascii="Arial" w:cs="Arial" w:eastAsia="Arial" w:hAnsi="Arial"/>
          <w:sz w:val="21"/>
          <w:szCs w:val="21"/>
          <w:u w:val="single" w:color="auto"/>
          <w:color w:val="auto"/>
        </w:rPr>
        <w:t>Section 7.17(c)</w:t>
      </w:r>
      <w:r>
        <w:rPr>
          <w:rFonts w:ascii="Arial" w:cs="Arial" w:eastAsia="Arial" w:hAnsi="Arial"/>
          <w:sz w:val="21"/>
          <w:szCs w:val="21"/>
          <w:color w:val="auto"/>
        </w:rPr>
        <w:t xml:space="preserve"> and without reference to the definition of “good faith” in </w:t>
      </w:r>
      <w:r>
        <w:rPr>
          <w:rFonts w:ascii="Arial" w:cs="Arial" w:eastAsia="Arial" w:hAnsi="Arial"/>
          <w:sz w:val="21"/>
          <w:szCs w:val="21"/>
          <w:u w:val="single" w:color="auto"/>
          <w:color w:val="auto"/>
        </w:rPr>
        <w:t>Section 7.17(b)</w:t>
      </w:r>
      <w:r>
        <w:rPr>
          <w:rFonts w:ascii="Arial" w:cs="Arial" w:eastAsia="Arial" w:hAnsi="Arial"/>
          <w:sz w:val="21"/>
          <w:szCs w:val="21"/>
          <w:color w:val="auto"/>
        </w:rPr>
        <w:t>, neither the General Partner nor the Board of Directors nor any other Indemnitee shall owe any fiduciary duties to Preference Unit Holders other than the implied duty of good faith and fair dealing.</w:t>
      </w:r>
    </w:p>
    <w:p>
      <w:pPr>
        <w:spacing w:after="0" w:line="178" w:lineRule="exact"/>
        <w:rPr>
          <w:sz w:val="20"/>
          <w:szCs w:val="20"/>
          <w:color w:val="auto"/>
        </w:rPr>
      </w:pPr>
    </w:p>
    <w:p>
      <w:pPr>
        <w:ind w:firstLine="1305"/>
        <w:spacing w:after="0"/>
        <w:tabs>
          <w:tab w:leader="none" w:pos="1954"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w:t>
      </w:r>
      <w:r>
        <w:rPr>
          <w:rFonts w:ascii="Arial" w:cs="Arial" w:eastAsia="Arial" w:hAnsi="Arial"/>
          <w:sz w:val="22"/>
          <w:szCs w:val="22"/>
          <w:u w:val="single" w:color="auto"/>
          <w:color w:val="auto"/>
        </w:rPr>
        <w:t>Section 7.17</w:t>
      </w:r>
      <w:r>
        <w:rPr>
          <w:rFonts w:ascii="Arial" w:cs="Arial" w:eastAsia="Arial" w:hAnsi="Arial"/>
          <w:sz w:val="22"/>
          <w:szCs w:val="22"/>
          <w:color w:val="auto"/>
        </w:rPr>
        <w:t>.</w:t>
      </w:r>
    </w:p>
    <w:p>
      <w:pPr>
        <w:spacing w:after="0" w:line="186"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color w:val="auto"/>
        </w:rPr>
        <w:t xml:space="preserve">Section 7.18. </w:t>
      </w:r>
      <w:r>
        <w:rPr>
          <w:rFonts w:ascii="Arial" w:cs="Arial" w:eastAsia="Arial" w:hAnsi="Arial"/>
          <w:sz w:val="21"/>
          <w:szCs w:val="21"/>
          <w:i w:val="1"/>
          <w:iCs w:val="1"/>
          <w:color w:val="auto"/>
        </w:rPr>
        <w:t>Other Matters Concerning the General Partner and the Board of Directors</w:t>
      </w:r>
      <w:r>
        <w:rPr>
          <w:rFonts w:ascii="Arial" w:cs="Arial" w:eastAsia="Arial" w:hAnsi="Arial"/>
          <w:sz w:val="21"/>
          <w:szCs w:val="21"/>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4" w:lineRule="exact"/>
        <w:rPr>
          <w:sz w:val="20"/>
          <w:szCs w:val="20"/>
          <w:color w:val="auto"/>
        </w:rPr>
      </w:pPr>
    </w:p>
    <w:p>
      <w:pPr>
        <w:ind w:firstLine="1305"/>
        <w:spacing w:after="0" w:line="282" w:lineRule="auto"/>
        <w:tabs>
          <w:tab w:leader="none" w:pos="195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 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147" w:lineRule="exact"/>
        <w:rPr>
          <w:rFonts w:ascii="Arial" w:cs="Arial" w:eastAsia="Arial" w:hAnsi="Arial"/>
          <w:sz w:val="19"/>
          <w:szCs w:val="19"/>
          <w:color w:val="auto"/>
        </w:rPr>
      </w:pPr>
    </w:p>
    <w:p>
      <w:pPr>
        <w:jc w:val="both"/>
        <w:ind w:right="520" w:firstLine="1305"/>
        <w:spacing w:after="0"/>
        <w:tabs>
          <w:tab w:leader="none" w:pos="1955"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86" w:lineRule="exact"/>
        <w:rPr>
          <w:sz w:val="20"/>
          <w:szCs w:val="20"/>
          <w:color w:val="auto"/>
        </w:rPr>
      </w:pPr>
    </w:p>
    <w:p>
      <w:pPr>
        <w:ind w:right="520" w:firstLine="1297"/>
        <w:spacing w:after="0" w:line="249" w:lineRule="auto"/>
        <w:rPr>
          <w:sz w:val="20"/>
          <w:szCs w:val="20"/>
          <w:color w:val="auto"/>
        </w:rPr>
      </w:pPr>
      <w:r>
        <w:rPr>
          <w:rFonts w:ascii="Arial" w:cs="Arial" w:eastAsia="Arial" w:hAnsi="Arial"/>
          <w:sz w:val="21"/>
          <w:szCs w:val="21"/>
          <w:color w:val="auto"/>
        </w:rPr>
        <w:t xml:space="preserve">Section 7.19. </w:t>
      </w:r>
      <w:r>
        <w:rPr>
          <w:rFonts w:ascii="Arial" w:cs="Arial" w:eastAsia="Arial" w:hAnsi="Arial"/>
          <w:sz w:val="21"/>
          <w:szCs w:val="21"/>
          <w:i w:val="1"/>
          <w:iCs w:val="1"/>
          <w:color w:val="auto"/>
        </w:rPr>
        <w:t>Purchase or Sale of Partnership Interests</w:t>
      </w:r>
      <w:r>
        <w:rPr>
          <w:rFonts w:ascii="Arial" w:cs="Arial" w:eastAsia="Arial" w:hAnsi="Arial"/>
          <w:sz w:val="21"/>
          <w:szCs w:val="21"/>
          <w:color w:val="auto"/>
        </w:rPr>
        <w:t xml:space="preserve">. The Board of Directors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purchase or otherwise acquire and sell or otherwise dispose of Partnership Interests for its own account, subject to the provisions of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w:t>
      </w:r>
    </w:p>
    <w:p>
      <w:pPr>
        <w:spacing w:after="0" w:line="179"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 xml:space="preserve">Section 7.20. </w:t>
      </w:r>
      <w:r>
        <w:rPr>
          <w:rFonts w:ascii="Arial" w:cs="Arial" w:eastAsia="Arial" w:hAnsi="Arial"/>
          <w:sz w:val="22"/>
          <w:szCs w:val="22"/>
          <w:i w:val="1"/>
          <w:iCs w:val="1"/>
          <w:color w:val="auto"/>
        </w:rPr>
        <w:t>Registration Rights of the General Partner and its Affiliates</w:t>
      </w:r>
      <w:r>
        <w:rPr>
          <w:rFonts w:ascii="Arial" w:cs="Arial" w:eastAsia="Arial" w:hAnsi="Arial"/>
          <w:sz w:val="22"/>
          <w:szCs w:val="22"/>
          <w:color w:val="auto"/>
        </w:rPr>
        <w:t xml:space="preserve">. (a) If (i) the General Partner or any Affiliate of the General Partner (including for purposes of this </w:t>
      </w:r>
      <w:r>
        <w:rPr>
          <w:rFonts w:ascii="Arial" w:cs="Arial" w:eastAsia="Arial" w:hAnsi="Arial"/>
          <w:sz w:val="22"/>
          <w:szCs w:val="22"/>
          <w:u w:val="single" w:color="auto"/>
          <w:color w:val="auto"/>
        </w:rPr>
        <w:t>Section 7.20</w:t>
      </w:r>
      <w:r>
        <w:rPr>
          <w:rFonts w:ascii="Arial" w:cs="Arial" w:eastAsia="Arial" w:hAnsi="Arial"/>
          <w:sz w:val="22"/>
          <w:szCs w:val="22"/>
          <w:color w:val="auto"/>
        </w:rPr>
        <w:t>, any Person that is an Affiliate of the General Partner at the date hereof notwithstanding that it may later cease to be an Affiliate of the General Partner) holds Partnership Interests that it desires to sell and (ii) Rule 144 of the Securities Act (or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5" w:name="page66"/>
    <w:bookmarkEnd w:id="65"/>
    <w:p>
      <w:pPr>
        <w:spacing w:after="0" w:line="267" w:lineRule="auto"/>
        <w:rPr>
          <w:sz w:val="20"/>
          <w:szCs w:val="20"/>
          <w:color w:val="auto"/>
        </w:rPr>
      </w:pPr>
      <w:r>
        <w:rPr>
          <w:rFonts w:ascii="Arial" w:cs="Arial" w:eastAsia="Arial" w:hAnsi="Arial"/>
          <w:sz w:val="19"/>
          <w:szCs w:val="19"/>
          <w:color w:val="auto"/>
        </w:rPr>
        <w:t>successor rule or regulation to Rule 144) or another exemption from registration is not available to enable such holder of Partnership Interests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xml:space="preserve">”) to dispose of the number of Partnership Interests it desires to sell at the time it desires to do so without registration under the Securities Act, then at the option and upon the request of the Holder, the Partnership shall file with the Commission as promptly as practicable after receiving such request, and use its commercially reasonable efforts to cause to become effective and remain effective for a period of not less than six months following its effective date or such shorter period as shall terminate when all Partnership Interests covered by such registration statement have been sold, a registration statement under the Securities Act registering the offering and sale of the number of Partnership Interests specified by the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shall not be required to effect more than three registrations in total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7.20(a)</w:t>
      </w:r>
      <w:r>
        <w:rPr>
          <w:rFonts w:ascii="Arial" w:cs="Arial" w:eastAsia="Arial" w:hAnsi="Arial"/>
          <w:sz w:val="19"/>
          <w:szCs w:val="19"/>
          <w:color w:val="auto"/>
        </w:rPr>
        <w:t>,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more than one of which shall be required to be made at any time that the Partnership is not eligible to use Form F-3 (or a comparable form) for the registration under the Securities Act of its securities;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if the Conflicts Committee determines in good faith that the requested registration would be materially detrimental to the Partnership and its Partners because such registration would (x) materially interfere with a significant acquisition, merger, disposition, corporate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postpone such requested registration for a period of not more than six months after receipt of the Holder’s request, such right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not to be utilized more than once in any 12-month period. The Partnership shall use its commercially reasonable efforts to resolve any deferral with respect to any such registration and/or filing. Except as provided in the first sentence of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the Partnership shall be deemed not to have used all its commercially reasonable efforts to keep the registration statement effective during the applicable period if it voluntarily takes any action that would result in Holders of Partnership Interests covered thereby not being able to offer and sell such Partnership Interests at any time during such period, unless such action is required by applicable law or regulations. In connection with any registration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the Partnership shall (i) promptly prepare and file (A) such documents as may be necessary to register or qualify the securities subject to such registration under the securities laws of such states as the Holder shall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w:t>
      </w:r>
    </w:p>
    <w:p>
      <w:pPr>
        <w:spacing w:after="0" w:line="19" w:lineRule="exact"/>
        <w:rPr>
          <w:sz w:val="20"/>
          <w:szCs w:val="20"/>
          <w:color w:val="auto"/>
        </w:rPr>
      </w:pPr>
    </w:p>
    <w:p>
      <w:pPr>
        <w:ind w:right="180" w:firstLine="8"/>
        <w:spacing w:after="0" w:line="277" w:lineRule="auto"/>
        <w:tabs>
          <w:tab w:leader="none" w:pos="342"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such documents as may be necessary to apply for listing or to list the Partnership Interests subject to such registration on such National Securities Exchange as the Holder shall reasonably request, and (ii) do any and all other acts and things that may be necessary or appropriate to enable the Holder to consummate a public sale of such Partnership Interests in such states.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152" w:lineRule="exact"/>
        <w:rPr>
          <w:rFonts w:ascii="Arial" w:cs="Arial" w:eastAsia="Arial" w:hAnsi="Arial"/>
          <w:sz w:val="19"/>
          <w:szCs w:val="19"/>
          <w:color w:val="auto"/>
        </w:rPr>
      </w:pPr>
    </w:p>
    <w:p>
      <w:pPr>
        <w:ind w:right="400" w:firstLine="1305"/>
        <w:spacing w:after="0"/>
        <w:tabs>
          <w:tab w:leader="none" w:pos="1954" w:val="left"/>
        </w:tabs>
        <w:numPr>
          <w:ilvl w:val="1"/>
          <w:numId w:val="65"/>
        </w:numPr>
        <w:rPr>
          <w:rFonts w:ascii="Arial" w:cs="Arial" w:eastAsia="Arial" w:hAnsi="Arial"/>
          <w:sz w:val="22"/>
          <w:szCs w:val="22"/>
          <w:color w:val="auto"/>
        </w:rPr>
      </w:pPr>
      <w:r>
        <w:rPr>
          <w:rFonts w:ascii="Arial" w:cs="Arial" w:eastAsia="Arial" w:hAnsi="Arial"/>
          <w:sz w:val="22"/>
          <w:szCs w:val="22"/>
          <w:color w:val="auto"/>
        </w:rPr>
        <w:t>If the Partnership shall at any time propose to file a registration statement under the Securities Act for an offering of equity interests of the Partnership for cash (other than an offering relating solely to an employee benefit plan), the Partnership shall use 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6" w:name="page67"/>
    <w:bookmarkEnd w:id="66"/>
    <w:p>
      <w:pPr>
        <w:ind w:right="20"/>
        <w:spacing w:after="0" w:line="273" w:lineRule="auto"/>
        <w:rPr>
          <w:sz w:val="20"/>
          <w:szCs w:val="20"/>
          <w:color w:val="auto"/>
        </w:rPr>
      </w:pPr>
      <w:r>
        <w:rPr>
          <w:rFonts w:ascii="Arial" w:cs="Arial" w:eastAsia="Arial" w:hAnsi="Arial"/>
          <w:sz w:val="19"/>
          <w:szCs w:val="19"/>
          <w:color w:val="auto"/>
        </w:rPr>
        <w:t xml:space="preserve">commercially reasonable efforts to include such number or amount of Partnership Interests held by any Holder in such registration statement as the Holder shall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is not required to make any effort or take any action to so include the Partnership Interests of the Holder once the registration statement becomes or is declared effective by the Commission, including any registration statement providing for the offering from time to time of Partnership Interests pursuant to Rule 415 of the Securities Act. If the proposed offering pursuant to this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be an underwritten offering, then, in the event that the managing underwriter or managing underwriters of such offering advise the Partnership and the Holder in writing that in their opinion the inclusion of all or some of the Holder’s Partnership Interests would adversely and materially affect the success of the offering, the Partnership shall include in such offering only that number or amount, if any, of Partnership Interests held by the Holder that, in the opinion of the managing underwriter or managing underwriters, will not so adversely and materially affect the offering.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156" w:lineRule="exact"/>
        <w:rPr>
          <w:sz w:val="20"/>
          <w:szCs w:val="20"/>
          <w:color w:val="auto"/>
        </w:rPr>
      </w:pPr>
    </w:p>
    <w:p>
      <w:pPr>
        <w:ind w:firstLine="1305"/>
        <w:spacing w:after="0" w:line="270" w:lineRule="auto"/>
        <w:tabs>
          <w:tab w:leader="none" w:pos="1955"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If underwriters are engaged in connection with any registration referred to in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Arial" w:cs="Arial" w:eastAsia="Arial" w:hAnsi="Arial"/>
          <w:sz w:val="19"/>
          <w:szCs w:val="19"/>
          <w:u w:val="single" w:color="auto"/>
          <w:color w:val="auto"/>
        </w:rPr>
        <w:t>Section 7.15</w:t>
      </w:r>
      <w:r>
        <w:rPr>
          <w:rFonts w:ascii="Arial" w:cs="Arial" w:eastAsia="Arial" w:hAnsi="Arial"/>
          <w:sz w:val="19"/>
          <w:szCs w:val="19"/>
          <w:color w:val="auto"/>
        </w:rPr>
        <w:t>,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9"/>
          <w:szCs w:val="19"/>
          <w:b w:val="1"/>
          <w:bCs w:val="1"/>
          <w:i w:val="1"/>
          <w:iCs w:val="1"/>
          <w:color w:val="auto"/>
        </w:rPr>
        <w:t>Indemnified Persons</w:t>
      </w:r>
      <w:r>
        <w:rPr>
          <w:rFonts w:ascii="Arial" w:cs="Arial" w:eastAsia="Arial" w:hAnsi="Arial"/>
          <w:sz w:val="19"/>
          <w:szCs w:val="19"/>
          <w:color w:val="auto"/>
        </w:rPr>
        <w:t xml:space="preserve">”)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as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in the plural as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based upon, arising out of or resulting from any untrue statement or alleged untrue statement of any material fact contained in any registration statement under which any Partnership Interests were registered under the Securities Act or any state securities or Blue Sky laws, in any preliminary prospectus or issuer free writing prospectus as defined in Rule 433 of the Securities Act (if used prior to the effective date of such registration statement), or in any summary, free writing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free writing or final prospectus or such amendment or supplement, in reliance upon and in conformity with written information furnished to the Partnership by or on behalf of such Indemnified Person specifically for use in the preparation thereof.</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right="480" w:firstLine="1305"/>
        <w:spacing w:after="0" w:line="251" w:lineRule="auto"/>
        <w:tabs>
          <w:tab w:leader="none" w:pos="19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 7.20(a)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7.20(b)</w:t>
      </w:r>
      <w:r>
        <w:rPr>
          <w:rFonts w:ascii="Arial" w:cs="Arial" w:eastAsia="Arial" w:hAnsi="Arial"/>
          <w:sz w:val="22"/>
          <w:szCs w:val="22"/>
          <w:color w:val="auto"/>
        </w:rPr>
        <w:t xml:space="preserve"> shall continue to be applicable with respect to the General Partner (and any of the General Partner’s Affiliates) after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7" w:name="page68"/>
    <w:bookmarkEnd w:id="67"/>
    <w:p>
      <w:pPr>
        <w:ind w:right="60"/>
        <w:spacing w:after="0" w:line="235" w:lineRule="auto"/>
        <w:rPr>
          <w:sz w:val="20"/>
          <w:szCs w:val="20"/>
          <w:color w:val="auto"/>
        </w:rPr>
      </w:pPr>
      <w:r>
        <w:rPr>
          <w:rFonts w:ascii="Arial" w:cs="Arial" w:eastAsia="Arial" w:hAnsi="Arial"/>
          <w:sz w:val="22"/>
          <w:szCs w:val="22"/>
          <w:color w:val="auto"/>
        </w:rPr>
        <w:t xml:space="preserve">it ceases to be a general partner of the Partnership, during a period of two years subsequent to the effective date of such cessation and for so long thereafter as is required for the Holder to sell all of the Partnership Interests with respect to which it has requested during such two-year period inclusion in a registration statement otherwise filed or that a registration statement be filed;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Partnership shall not be required to file successive registration statements covering the same Partnership Interests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 which registration was demanded during such two-year period. The provisions of </w:t>
      </w:r>
      <w:r>
        <w:rPr>
          <w:rFonts w:ascii="Arial" w:cs="Arial" w:eastAsia="Arial" w:hAnsi="Arial"/>
          <w:sz w:val="22"/>
          <w:szCs w:val="22"/>
          <w:u w:val="single" w:color="auto"/>
          <w:color w:val="auto"/>
        </w:rPr>
        <w:t>Section 7.20(c)</w:t>
      </w:r>
      <w:r>
        <w:rPr>
          <w:rFonts w:ascii="Arial" w:cs="Arial" w:eastAsia="Arial" w:hAnsi="Arial"/>
          <w:sz w:val="22"/>
          <w:szCs w:val="22"/>
          <w:color w:val="auto"/>
        </w:rPr>
        <w:t xml:space="preserve"> shall continue in effect thereafter.</w:t>
      </w:r>
    </w:p>
    <w:p>
      <w:pPr>
        <w:spacing w:after="0" w:line="188" w:lineRule="exact"/>
        <w:rPr>
          <w:sz w:val="20"/>
          <w:szCs w:val="20"/>
          <w:color w:val="auto"/>
        </w:rPr>
      </w:pPr>
    </w:p>
    <w:p>
      <w:pPr>
        <w:ind w:firstLine="1305"/>
        <w:spacing w:after="0" w:line="282" w:lineRule="auto"/>
        <w:tabs>
          <w:tab w:leader="none" w:pos="1955"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The rights to cause the Partnership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may be assigned (but only with all related obligations) by a Holder to a transferee or assignee of such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 the Partnership is, within a reasonable time after such transfer, furnished with written notice of the name and address of such transferee or assignee and the Partnership Interests with respect to which such registration rights are being assigned, and (ii) such transferee or assignee agrees in writing to be bound by and subject to the terms set forth in this </w:t>
      </w:r>
      <w:r>
        <w:rPr>
          <w:rFonts w:ascii="Arial" w:cs="Arial" w:eastAsia="Arial" w:hAnsi="Arial"/>
          <w:sz w:val="19"/>
          <w:szCs w:val="19"/>
          <w:u w:val="single" w:color="auto"/>
          <w:color w:val="auto"/>
        </w:rPr>
        <w:t>Section 7.20</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right="100" w:firstLine="1305"/>
        <w:spacing w:after="0" w:line="273" w:lineRule="auto"/>
        <w:tabs>
          <w:tab w:leader="none" w:pos="1945"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Any request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shall (i) specify the Partnership Interests intended to be offered and sold by the Person making the request, (ii) express such Person’s present intent to offer such Partnership Interests for distribution, (iii) describe the nature or method of the proposed offer and sale of Partnership Interests, and</w:t>
      </w:r>
    </w:p>
    <w:p>
      <w:pPr>
        <w:spacing w:after="0" w:line="1" w:lineRule="exact"/>
        <w:rPr>
          <w:rFonts w:ascii="Arial" w:cs="Arial" w:eastAsia="Arial" w:hAnsi="Arial"/>
          <w:sz w:val="19"/>
          <w:szCs w:val="19"/>
          <w:color w:val="auto"/>
        </w:rPr>
      </w:pPr>
    </w:p>
    <w:p>
      <w:pPr>
        <w:jc w:val="both"/>
        <w:ind w:right="160" w:firstLine="8"/>
        <w:spacing w:after="0" w:line="234" w:lineRule="auto"/>
        <w:tabs>
          <w:tab w:leader="none" w:pos="366"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contain the undertaking of such Person to provide all such information and materials and take all action as may be required in order to permit the Partnership to comply with all applicable requirements in connection with the registration of such Partnership Interests.</w:t>
      </w:r>
    </w:p>
    <w:p>
      <w:pPr>
        <w:spacing w:after="0" w:line="187"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7.21. </w:t>
      </w:r>
      <w:r>
        <w:rPr>
          <w:rFonts w:ascii="Arial" w:cs="Arial" w:eastAsia="Arial" w:hAnsi="Arial"/>
          <w:sz w:val="19"/>
          <w:szCs w:val="19"/>
          <w:i w:val="1"/>
          <w:iCs w:val="1"/>
          <w:color w:val="auto"/>
        </w:rPr>
        <w:t>Reliance by Third Parties</w:t>
      </w:r>
      <w:r>
        <w:rPr>
          <w:rFonts w:ascii="Arial" w:cs="Arial" w:eastAsia="Arial" w:hAnsi="Arial"/>
          <w:sz w:val="19"/>
          <w:szCs w:val="19"/>
          <w:color w:val="auto"/>
        </w:rPr>
        <w:t>. Notwithstanding anything to the contrary in this Agreement, any Person dealing with the Partnership shall be entitled to assume that the Board of Directors, the General Partner and any Officer authorized by the Board of Directors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duly executed and delivered in accordance with the terms and provisions of this Agreement and is binding upon the Partnership.</w:t>
      </w:r>
    </w:p>
    <w:p>
      <w:pPr>
        <w:spacing w:after="0" w:line="2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ACCOUNTING AND REPORTS</w:t>
      </w:r>
    </w:p>
    <w:p>
      <w:pPr>
        <w:spacing w:after="0" w:line="188"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i w:val="1"/>
          <w:iCs w:val="1"/>
          <w:color w:val="auto"/>
        </w:rPr>
        <w:t>Records and Accounting</w:t>
      </w:r>
      <w:r>
        <w:rPr>
          <w:rFonts w:ascii="Arial" w:cs="Arial" w:eastAsia="Arial" w:hAnsi="Arial"/>
          <w:sz w:val="19"/>
          <w:szCs w:val="19"/>
          <w:color w:val="auto"/>
        </w:rPr>
        <w:t xml:space="preserve">. The Partnership shall keep or cause to be kept at the principal office of the Partnership appropriate books and records with respect to the Partnership’s business, including all books and records necessary to provide to the Limited Partners any information required to be provided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and as otherwise required by the Marshall Islands Act. Any books and records maintained by or on behalf of the Partnership in the regular course of its business, including the record of the Record Holders of Units or other Partnership Interests, books of account and records of Partnership proceedings, may be kept on, or be in the form of, computer disks, hard drives, punch cards, magnetic tape, photographs, micrographics or any other information storage device;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books and records so maintained are convertible into clearly legible written form within a reasonable period of time. The books of the Partnership shall be maintained, for financial reporting purposes, on an accrual basis in accordance with IFRS.</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i w:val="1"/>
          <w:iCs w:val="1"/>
          <w:color w:val="auto"/>
        </w:rPr>
        <w:t>Fiscal Year</w:t>
      </w:r>
      <w:r>
        <w:rPr>
          <w:rFonts w:ascii="Arial" w:cs="Arial" w:eastAsia="Arial" w:hAnsi="Arial"/>
          <w:sz w:val="19"/>
          <w:szCs w:val="19"/>
          <w:color w:val="auto"/>
        </w:rPr>
        <w:t>. The fiscal year of the Partnership shall be a fiscal year ending December 31.</w:t>
      </w:r>
    </w:p>
    <w:p>
      <w:pPr>
        <w:spacing w:after="0" w:line="206"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i w:val="1"/>
          <w:iCs w:val="1"/>
          <w:color w:val="auto"/>
        </w:rPr>
        <w:t>Reports</w:t>
      </w:r>
      <w:r>
        <w:rPr>
          <w:rFonts w:ascii="Arial" w:cs="Arial" w:eastAsia="Arial" w:hAnsi="Arial"/>
          <w:sz w:val="19"/>
          <w:szCs w:val="19"/>
          <w:color w:val="auto"/>
        </w:rPr>
        <w:t>. (a) As soon as practicable, but in no event later than 120 days after the close of each fiscal year of the Partnership, the Partnership shall cause to be mailed or made available, by any reasonable means (including posting on or accessible through the Partnership’s or the Commission’s website), to each Record Holder of a Unit as of a date selected by the Board of Directors, an annual report containing financial statements of the Partnership for such fiscal year of the Partnership, presented in accordance with IFRS, including a balance sheet and statements of operations, Partnership equity and cash flows, such statements to be audited by a firm of independent public accountants selected by the Board of Directors.</w:t>
      </w:r>
    </w:p>
    <w:p>
      <w:pPr>
        <w:spacing w:after="0" w:line="151" w:lineRule="exact"/>
        <w:rPr>
          <w:sz w:val="20"/>
          <w:szCs w:val="20"/>
          <w:color w:val="auto"/>
        </w:rPr>
      </w:pPr>
    </w:p>
    <w:p>
      <w:pPr>
        <w:ind w:right="80" w:firstLine="1305"/>
        <w:spacing w:after="0" w:line="279" w:lineRule="auto"/>
        <w:tabs>
          <w:tab w:leader="none" w:pos="1954" w:val="left"/>
        </w:tabs>
        <w:numPr>
          <w:ilvl w:val="0"/>
          <w:numId w:val="69"/>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90 days after the close of each Quarter except the last Quarter of each fiscal year, the Partnership shall cause to be mailed or made available, by any reasonable means (including posting on or accessible through the Partnership’s or the Commission’s website), to each Record Holder of a Unit, as of a date selected by the Board of Directors, a report containing unaudited financial statements of the Partnership and such other information as may be required by applicable law, regulation or rule of any National Securities Exchange on which the Units are listed or admitted to trading, or as the Board of Directors determines to be necessary or appropriate.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TAX MATTERS</w:t>
      </w:r>
    </w:p>
    <w:p>
      <w:pPr>
        <w:spacing w:after="0" w:line="188"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i w:val="1"/>
          <w:iCs w:val="1"/>
          <w:color w:val="auto"/>
        </w:rPr>
        <w:t>Tax Elections and Information</w:t>
      </w:r>
      <w:r>
        <w:rPr>
          <w:rFonts w:ascii="Arial" w:cs="Arial" w:eastAsia="Arial" w:hAnsi="Arial"/>
          <w:sz w:val="22"/>
          <w:szCs w:val="22"/>
          <w:color w:val="auto"/>
        </w:rPr>
        <w:t>. (a) The Partnership is authorized and has elected, effective as of January 23, 2014, to be treated as an association taxable as a corporation for U.S. federal income tax purposes. Except as otherwise provided herein,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Board of Directors shall determine whether the Partnership should make any other elections permitted by any applicable tax law.</w:t>
      </w:r>
    </w:p>
    <w:p>
      <w:pPr>
        <w:spacing w:after="0" w:line="241" w:lineRule="exact"/>
        <w:rPr>
          <w:sz w:val="20"/>
          <w:szCs w:val="20"/>
          <w:color w:val="auto"/>
        </w:rPr>
      </w:pPr>
    </w:p>
    <w:p>
      <w:pPr>
        <w:ind w:right="180" w:firstLine="1305"/>
        <w:spacing w:after="0" w:line="328" w:lineRule="auto"/>
        <w:tabs>
          <w:tab w:leader="none" w:pos="195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tax information reasonably required by Record Holders for U.S. federal income tax reporting purposes with respect to a calendar taxable year shall be furnished to them within 90 days of the close of each calendar year.</w:t>
      </w:r>
    </w:p>
    <w:p>
      <w:pPr>
        <w:spacing w:after="0" w:line="105" w:lineRule="exact"/>
        <w:rPr>
          <w:sz w:val="20"/>
          <w:szCs w:val="20"/>
          <w:color w:val="auto"/>
        </w:rPr>
      </w:pPr>
    </w:p>
    <w:p>
      <w:pPr>
        <w:ind w:right="60" w:firstLine="1297"/>
        <w:spacing w:after="0" w:line="248"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i w:val="1"/>
          <w:iCs w:val="1"/>
          <w:color w:val="auto"/>
        </w:rPr>
        <w:t>Tax Withholding</w:t>
      </w:r>
      <w:r>
        <w:rPr>
          <w:rFonts w:ascii="Arial" w:cs="Arial" w:eastAsia="Arial" w:hAnsi="Arial"/>
          <w:sz w:val="21"/>
          <w:szCs w:val="21"/>
          <w:color w:val="auto"/>
        </w:rPr>
        <w:t>. Notwithstanding any other provision of this Agreement, the Board of Directors is authorized to take any action that may be required or advisable to cause the Partnership and other Group Members to comply with any withholding requirements with respect to any tax established under any U.S. federal, state or local or any non-U.S. law. To the extent that the Partnership is required or elects to withhold and pay over to any taxing authority any amount with respect to a distribution or payment to or for the benefit of any Partner, the Board of Directors may treat the amount withheld as a distribution of cash to such Partner in the amount of such withholding from such Partner.</w:t>
      </w:r>
    </w:p>
    <w:p>
      <w:pPr>
        <w:spacing w:after="0" w:line="177"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i w:val="1"/>
          <w:iCs w:val="1"/>
          <w:color w:val="auto"/>
        </w:rPr>
        <w:t>Conduct of Operations</w:t>
      </w:r>
      <w:r>
        <w:rPr>
          <w:rFonts w:ascii="Arial" w:cs="Arial" w:eastAsia="Arial" w:hAnsi="Arial"/>
          <w:sz w:val="22"/>
          <w:szCs w:val="22"/>
          <w:color w:val="auto"/>
        </w:rPr>
        <w:t>. The Board of Directors shall use commercially reasonable efforts to conduct the business of the Partnership and its Affiliates in a manner that does not require a holder of Common Units or Preference Units to file a tax return in any jurisdiction with which the holder has no contact other than through ownership of Common Units or Preference Units.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ADMISSION OF PARTNERS</w:t>
      </w:r>
    </w:p>
    <w:p>
      <w:pPr>
        <w:spacing w:after="0" w:line="188"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i w:val="1"/>
          <w:iCs w:val="1"/>
          <w:color w:val="auto"/>
        </w:rPr>
        <w:t>Admission of Initial Limited Partners</w:t>
      </w:r>
      <w:r>
        <w:rPr>
          <w:rFonts w:ascii="Arial" w:cs="Arial" w:eastAsia="Arial" w:hAnsi="Arial"/>
          <w:sz w:val="21"/>
          <w:szCs w:val="21"/>
          <w:color w:val="auto"/>
        </w:rPr>
        <w:t xml:space="preserve">. Upon the issuance by the Partnership of Common Units, Subordinated Units and Incentive Distribution Rights to the General Partner, GasLog and the Underwriters as described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w:t>
      </w:r>
      <w:r>
        <w:rPr>
          <w:rFonts w:ascii="Arial" w:cs="Arial" w:eastAsia="Arial" w:hAnsi="Arial"/>
          <w:sz w:val="21"/>
          <w:szCs w:val="21"/>
          <w:color w:val="auto"/>
        </w:rPr>
        <w:t>, the Board of Directors admitted such parties to the Partnership as Initial Limited Partners in respect of the Common Units, Subordinated Units or Incentive Distribution Rights issued to them.</w:t>
      </w:r>
    </w:p>
    <w:p>
      <w:pPr>
        <w:spacing w:after="0" w:line="174" w:lineRule="exact"/>
        <w:rPr>
          <w:sz w:val="20"/>
          <w:szCs w:val="20"/>
          <w:color w:val="auto"/>
        </w:rPr>
      </w:pPr>
    </w:p>
    <w:p>
      <w:pPr>
        <w:ind w:firstLine="1297"/>
        <w:spacing w:after="0" w:line="269"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Admission of Additional Limited Partners</w:t>
      </w:r>
      <w:r>
        <w:rPr>
          <w:rFonts w:ascii="Arial" w:cs="Arial" w:eastAsia="Arial" w:hAnsi="Arial"/>
          <w:sz w:val="19"/>
          <w:szCs w:val="19"/>
          <w:color w:val="auto"/>
        </w:rPr>
        <w:t xml:space="preserve">. (a) From and after the Closing Date, by acceptance of the transfer of any Limited Partner Interests in accordance with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the acceptance of any Limited Partner Interests issued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pursuant to a merger, consolidation or conversion pursuant to </w:t>
      </w:r>
      <w:r>
        <w:rPr>
          <w:rFonts w:ascii="Arial" w:cs="Arial" w:eastAsia="Arial" w:hAnsi="Arial"/>
          <w:sz w:val="19"/>
          <w:szCs w:val="19"/>
          <w:u w:val="single" w:color="auto"/>
          <w:color w:val="auto"/>
        </w:rPr>
        <w:t>Article XIV</w:t>
      </w:r>
      <w:r>
        <w:rPr>
          <w:rFonts w:ascii="Arial" w:cs="Arial" w:eastAsia="Arial" w:hAnsi="Arial"/>
          <w:sz w:val="19"/>
          <w:szCs w:val="19"/>
          <w:color w:val="auto"/>
        </w:rPr>
        <w:t>,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and shall be deemed to have agreed to be bound, by the terms of this Agreement,</w:t>
      </w:r>
    </w:p>
    <w:p>
      <w:pPr>
        <w:spacing w:after="0" w:line="4"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represents that the transferee or other recipient has the capacity, power and authority to enter into this Agreement and</w:t>
      </w:r>
    </w:p>
    <w:p>
      <w:pPr>
        <w:spacing w:after="0" w:line="1" w:lineRule="exact"/>
        <w:rPr>
          <w:rFonts w:ascii="Arial" w:cs="Arial" w:eastAsia="Arial" w:hAnsi="Arial"/>
          <w:sz w:val="21"/>
          <w:szCs w:val="21"/>
          <w:color w:val="auto"/>
        </w:rPr>
      </w:pPr>
    </w:p>
    <w:p>
      <w:pPr>
        <w:ind w:right="220" w:firstLine="8"/>
        <w:spacing w:after="0" w:line="234" w:lineRule="auto"/>
        <w:tabs>
          <w:tab w:leader="none" w:pos="366" w:val="left"/>
        </w:tabs>
        <w:numPr>
          <w:ilvl w:val="0"/>
          <w:numId w:val="71"/>
        </w:numPr>
        <w:rPr>
          <w:rFonts w:ascii="Arial" w:cs="Arial" w:eastAsia="Arial" w:hAnsi="Arial"/>
          <w:sz w:val="22"/>
          <w:szCs w:val="22"/>
          <w:color w:val="auto"/>
        </w:rPr>
      </w:pPr>
      <w:r>
        <w:rPr>
          <w:rFonts w:ascii="Arial" w:cs="Arial" w:eastAsia="Arial" w:hAnsi="Arial"/>
          <w:sz w:val="22"/>
          <w:szCs w:val="22"/>
          <w:color w:val="auto"/>
        </w:rPr>
        <w:t>makes the consents, acknowledgements and waivers contained in this Agreement, all with or without execution of this Agreement by such Person. The transfer of any Limited Partner Interests and the admission of any new Limited Partner shall not constitute an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0" w:name="page71"/>
    <w:bookmarkEnd w:id="70"/>
    <w:p>
      <w:pPr>
        <w:spacing w:after="0" w:line="238" w:lineRule="auto"/>
        <w:rPr>
          <w:sz w:val="20"/>
          <w:szCs w:val="20"/>
          <w:color w:val="auto"/>
        </w:rPr>
      </w:pPr>
      <w:r>
        <w:rPr>
          <w:rFonts w:ascii="Arial" w:cs="Arial" w:eastAsia="Arial" w:hAnsi="Arial"/>
          <w:sz w:val="22"/>
          <w:szCs w:val="22"/>
          <w:color w:val="auto"/>
        </w:rPr>
        <w:t>amendment to this Agreement. A Person may become a Limited Partner or Record Holder of a Limited Partner Interest without the consent or approval of any of the Partners. A Person may not become a Limited Partner until such Person acquires a Limited Partner Interest and until such Person is reflected in the books and records of the Partnership as the Record Holder of such Limited Partner Interest.</w:t>
      </w:r>
    </w:p>
    <w:p>
      <w:pPr>
        <w:spacing w:after="0" w:line="185" w:lineRule="exact"/>
        <w:rPr>
          <w:sz w:val="20"/>
          <w:szCs w:val="20"/>
          <w:color w:val="auto"/>
        </w:rPr>
      </w:pPr>
    </w:p>
    <w:p>
      <w:pPr>
        <w:ind w:right="100" w:firstLine="1305"/>
        <w:spacing w:after="0" w:line="287" w:lineRule="auto"/>
        <w:tabs>
          <w:tab w:leader="none" w:pos="1954"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ind w:right="380" w:firstLine="1305"/>
        <w:spacing w:after="0" w:line="328" w:lineRule="auto"/>
        <w:tabs>
          <w:tab w:leader="none" w:pos="1955"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Any transfer of a Limited Partner Interest shall not entitle the transferee to receive distributions or to any other rights to which the transferor was entitled until the transferee becomes a Limited Partner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w:t>
      </w:r>
    </w:p>
    <w:p>
      <w:pPr>
        <w:spacing w:after="0" w:line="105"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Admission of Successor General Partner</w:t>
      </w:r>
      <w:r>
        <w:rPr>
          <w:rFonts w:ascii="Arial" w:cs="Arial" w:eastAsia="Arial" w:hAnsi="Arial"/>
          <w:sz w:val="19"/>
          <w:szCs w:val="19"/>
          <w:color w:val="auto"/>
        </w:rPr>
        <w:t xml:space="preserve">. A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or part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Person shall be admitted to the Partnership as a successor or additional General Partner until compliance with the terms of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has occurred and such Person has executed and delivered such other documents or instruments as may be required to effect such admission.</w:t>
      </w:r>
    </w:p>
    <w:p>
      <w:pPr>
        <w:spacing w:after="0" w:line="158"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Any such successor or additional General Partner is hereby authorized to and shall, subject to the terms hereof, carry on the business of the members of the Partnership Group without dissolution.</w:t>
      </w:r>
    </w:p>
    <w:p>
      <w:pPr>
        <w:spacing w:after="0" w:line="173"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Amendment of Agreement and Certificate of Limited Partnership</w:t>
      </w:r>
      <w:r>
        <w:rPr>
          <w:rFonts w:ascii="Arial" w:cs="Arial" w:eastAsia="Arial" w:hAnsi="Arial"/>
          <w:sz w:val="22"/>
          <w:szCs w:val="22"/>
          <w:color w:val="auto"/>
        </w:rPr>
        <w:t>. To effect the admission to the Partnership of any Partner, the Board of Directors shall take all steps necessary or appropriate under the Marshall Islands Act to amend the records of the Partnership to reflect such admission and, if necessary, to prepare as soon as practicable an amendment to this Agreement and, if required by law, the Board of Directors shall prepare and file an amendment to the Certificate of Limited Partnership.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WITHDRAWAL OR REMOVAL OF PARTNERS</w:t>
      </w:r>
    </w:p>
    <w:p>
      <w:pPr>
        <w:spacing w:after="0" w:line="188" w:lineRule="exact"/>
        <w:rPr>
          <w:sz w:val="20"/>
          <w:szCs w:val="20"/>
          <w:color w:val="auto"/>
        </w:rPr>
      </w:pPr>
    </w:p>
    <w:p>
      <w:pPr>
        <w:jc w:val="both"/>
        <w:ind w:right="360" w:firstLine="1297"/>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Withdrawal of the General Partner</w:t>
      </w:r>
      <w:r>
        <w:rPr>
          <w:rFonts w:ascii="Arial" w:cs="Arial" w:eastAsia="Arial" w:hAnsi="Arial"/>
          <w:sz w:val="22"/>
          <w:szCs w:val="22"/>
          <w:color w:val="auto"/>
        </w:rPr>
        <w:t>. (a) The General Partner shall be deemed to have withdrawn from the Partnership upon the occurrence of any one of the following events (each such event herein referred to as an “</w:t>
      </w:r>
      <w:r>
        <w:rPr>
          <w:rFonts w:ascii="Arial" w:cs="Arial" w:eastAsia="Arial" w:hAnsi="Arial"/>
          <w:sz w:val="22"/>
          <w:szCs w:val="22"/>
          <w:b w:val="1"/>
          <w:bCs w:val="1"/>
          <w:i w:val="1"/>
          <w:iCs w:val="1"/>
          <w:color w:val="auto"/>
        </w:rPr>
        <w:t>Event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Withdrawal</w:t>
      </w:r>
      <w:r>
        <w:rPr>
          <w:rFonts w:ascii="Arial" w:cs="Arial" w:eastAsia="Arial" w:hAnsi="Arial"/>
          <w:sz w:val="22"/>
          <w:szCs w:val="22"/>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1" w:name="page72"/>
    <w:bookmarkEnd w:id="71"/>
    <w:p>
      <w:pPr>
        <w:ind w:left="1960" w:hanging="655"/>
        <w:spacing w:after="0"/>
        <w:tabs>
          <w:tab w:leader="none" w:pos="19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General Partner voluntarily withdraws from the Partnership by giving written notice to the other</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Partners;</w:t>
      </w:r>
    </w:p>
    <w:p>
      <w:pPr>
        <w:spacing w:after="0" w:line="188" w:lineRule="exact"/>
        <w:rPr>
          <w:rFonts w:ascii="Arial" w:cs="Arial" w:eastAsia="Arial" w:hAnsi="Arial"/>
          <w:sz w:val="21"/>
          <w:szCs w:val="21"/>
          <w:color w:val="auto"/>
        </w:rPr>
      </w:pPr>
    </w:p>
    <w:p>
      <w:pPr>
        <w:ind w:left="1980" w:hanging="675"/>
        <w:spacing w:after="0"/>
        <w:tabs>
          <w:tab w:leader="none" w:pos="19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The General Partner transfers all of its rights as General Partner pursuant to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The General Partner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160" w:firstLine="645"/>
        <w:spacing w:after="0" w:line="279" w:lineRule="auto"/>
        <w:tabs>
          <w:tab w:leader="none" w:pos="197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The General Partner (A) makes a general assignment for the benefit of creditors; (B) files a voluntary petition in bankruptcy; (C) files a voluntary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11.1(a)(iv)</w:t>
      </w:r>
      <w:r>
        <w:rPr>
          <w:rFonts w:ascii="Arial" w:cs="Arial" w:eastAsia="Arial" w:hAnsi="Arial"/>
          <w:sz w:val="19"/>
          <w:szCs w:val="19"/>
          <w:color w:val="auto"/>
        </w:rPr>
        <w:t>; or (E) seeks, consents to or acquiesces in the appointment of a trustee (but not a debtor in possession), receiver or liquidating trustee of the General Partner or of all or any substantial part of its properties;</w:t>
      </w:r>
    </w:p>
    <w:p>
      <w:pPr>
        <w:spacing w:after="0" w:line="150" w:lineRule="exact"/>
        <w:rPr>
          <w:rFonts w:ascii="Arial" w:cs="Arial" w:eastAsia="Arial" w:hAnsi="Arial"/>
          <w:sz w:val="19"/>
          <w:szCs w:val="19"/>
          <w:color w:val="auto"/>
        </w:rPr>
      </w:pPr>
    </w:p>
    <w:p>
      <w:pPr>
        <w:ind w:left="660" w:right="400" w:firstLine="645"/>
        <w:spacing w:after="0" w:line="251" w:lineRule="auto"/>
        <w:tabs>
          <w:tab w:leader="none" w:pos="196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General Partner is adjudged bankrupt or insolvent, or has entered against it an order for relief in any bankruptcy or insolvency proceeding;</w:t>
      </w:r>
    </w:p>
    <w:p>
      <w:pPr>
        <w:spacing w:after="0" w:line="173" w:lineRule="exact"/>
        <w:rPr>
          <w:rFonts w:ascii="Arial" w:cs="Arial" w:eastAsia="Arial" w:hAnsi="Arial"/>
          <w:sz w:val="22"/>
          <w:szCs w:val="22"/>
          <w:color w:val="auto"/>
        </w:rPr>
      </w:pPr>
    </w:p>
    <w:p>
      <w:pPr>
        <w:ind w:left="660" w:firstLine="645"/>
        <w:spacing w:after="0" w:line="234" w:lineRule="auto"/>
        <w:tabs>
          <w:tab w:leader="none" w:pos="1971"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in the event the General Partner is a corporation, the filing of a certificate of dissolution, or its equivalent, for the corporation or the revocation of its charter and the expiration of 90 days after the date of notice to the General Partner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If an Event of Withdrawal specified in </w:t>
      </w:r>
      <w:r>
        <w:rPr>
          <w:rFonts w:ascii="Arial" w:cs="Arial" w:eastAsia="Arial" w:hAnsi="Arial"/>
          <w:sz w:val="19"/>
          <w:szCs w:val="19"/>
          <w:u w:val="single" w:color="auto"/>
          <w:color w:val="auto"/>
        </w:rPr>
        <w:t>Section 11.1(a)(iv)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11.1(a)(vi)(A)</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11.1(a)(vi)(B)</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w:t>
      </w:r>
    </w:p>
    <w:p>
      <w:pPr>
        <w:spacing w:after="0" w:line="43"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9"/>
          <w:szCs w:val="19"/>
          <w:u w:val="single" w:color="auto"/>
          <w:color w:val="auto"/>
        </w:rPr>
      </w:pPr>
      <w:r>
        <w:rPr>
          <w:rFonts w:ascii="Arial" w:cs="Arial" w:eastAsia="Arial" w:hAnsi="Arial"/>
          <w:sz w:val="19"/>
          <w:szCs w:val="19"/>
          <w:color w:val="auto"/>
        </w:rPr>
        <w:t>occurs, the withdrawing General Partner shall give notice to the Limited Partners within 30 days after such occurrence. The</w:t>
      </w:r>
    </w:p>
    <w:p>
      <w:pPr>
        <w:spacing w:after="0" w:line="24" w:lineRule="exact"/>
        <w:rPr>
          <w:rFonts w:ascii="Arial" w:cs="Arial" w:eastAsia="Arial" w:hAnsi="Arial"/>
          <w:sz w:val="19"/>
          <w:szCs w:val="19"/>
          <w:u w:val="single" w:color="auto"/>
          <w:color w:val="auto"/>
        </w:rPr>
      </w:pPr>
    </w:p>
    <w:p>
      <w:pPr>
        <w:spacing w:after="0" w:line="237" w:lineRule="auto"/>
        <w:rPr>
          <w:rFonts w:ascii="Arial" w:cs="Arial" w:eastAsia="Arial" w:hAnsi="Arial"/>
          <w:sz w:val="19"/>
          <w:szCs w:val="19"/>
          <w:u w:val="single" w:color="auto"/>
          <w:color w:val="auto"/>
        </w:rPr>
      </w:pPr>
      <w:r>
        <w:rPr>
          <w:rFonts w:ascii="Arial" w:cs="Arial" w:eastAsia="Arial" w:hAnsi="Arial"/>
          <w:sz w:val="22"/>
          <w:szCs w:val="22"/>
          <w:color w:val="auto"/>
        </w:rPr>
        <w:t xml:space="preserve">Partners hereby agree that only the Events of Withdrawal described in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result in the withdrawal of the General Partner from the Partnership.</w:t>
      </w:r>
    </w:p>
    <w:p>
      <w:pPr>
        <w:spacing w:after="0" w:line="184" w:lineRule="exact"/>
        <w:rPr>
          <w:rFonts w:ascii="Arial" w:cs="Arial" w:eastAsia="Arial" w:hAnsi="Arial"/>
          <w:sz w:val="19"/>
          <w:szCs w:val="19"/>
          <w:u w:val="single" w:color="auto"/>
          <w:color w:val="auto"/>
        </w:rPr>
      </w:pPr>
    </w:p>
    <w:p>
      <w:pPr>
        <w:ind w:right="20" w:firstLine="1305"/>
        <w:spacing w:after="0" w:line="251" w:lineRule="auto"/>
        <w:tabs>
          <w:tab w:leader="none" w:pos="1954" w:val="left"/>
        </w:tabs>
        <w:numPr>
          <w:ilvl w:val="1"/>
          <w:numId w:val="74"/>
        </w:numPr>
        <w:rPr>
          <w:rFonts w:ascii="Arial" w:cs="Arial" w:eastAsia="Arial" w:hAnsi="Arial"/>
          <w:sz w:val="22"/>
          <w:szCs w:val="22"/>
          <w:color w:val="auto"/>
        </w:rPr>
      </w:pPr>
      <w:r>
        <w:rPr>
          <w:rFonts w:ascii="Arial" w:cs="Arial" w:eastAsia="Arial" w:hAnsi="Arial"/>
          <w:sz w:val="22"/>
          <w:szCs w:val="22"/>
          <w:color w:val="auto"/>
        </w:rPr>
        <w:t>Withdrawal of the General Partner from the Partnership upon the occurrence of an Event of Withdrawal shall not constitute a breach of this Agreement under the following circumstances:</w:t>
      </w:r>
    </w:p>
    <w:p>
      <w:pPr>
        <w:spacing w:after="0" w:line="173" w:lineRule="exact"/>
        <w:rPr>
          <w:sz w:val="20"/>
          <w:szCs w:val="20"/>
          <w:color w:val="auto"/>
        </w:rPr>
      </w:pPr>
    </w:p>
    <w:p>
      <w:pPr>
        <w:ind w:left="660" w:firstLine="645"/>
        <w:spacing w:after="0" w:line="236" w:lineRule="auto"/>
        <w:tabs>
          <w:tab w:leader="none" w:pos="1971"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at any time during the period beginning on the Closing Date and ending at 12:00 midnight, prevailing Eastern Time, on March 31, 2024, the General Partner voluntarily withdraws by giving at least 90 days’ advance notice of its intention to withdraw to the Limited Partners, such withdrawal to take effect on the date specified in the notice;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prior to the effective date of such withdrawal, the withdrawal is approved by Unitholders holding at least a</w:t>
      </w:r>
      <w:r>
        <w:rPr>
          <w:rFonts w:ascii="Arial" w:cs="Arial" w:eastAsia="Arial" w:hAnsi="Arial"/>
          <w:sz w:val="22"/>
          <w:szCs w:val="22"/>
          <w:i w:val="1"/>
          <w:iCs w:val="1"/>
          <w:color w:val="auto"/>
        </w:rPr>
        <w:t xml:space="preserve"> </w:t>
      </w:r>
      <w:r>
        <w:rPr>
          <w:rFonts w:ascii="Arial" w:cs="Arial" w:eastAsia="Arial" w:hAnsi="Arial"/>
          <w:sz w:val="22"/>
          <w:szCs w:val="22"/>
          <w:color w:val="auto"/>
        </w:rPr>
        <w:t>majority of the Outstanding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2" w:name="page73"/>
    <w:bookmarkEnd w:id="72"/>
    <w:p>
      <w:pPr>
        <w:ind w:left="660"/>
        <w:spacing w:after="0" w:line="238" w:lineRule="auto"/>
        <w:rPr>
          <w:sz w:val="20"/>
          <w:szCs w:val="20"/>
          <w:color w:val="auto"/>
        </w:rPr>
      </w:pPr>
      <w:r>
        <w:rPr>
          <w:rFonts w:ascii="Arial" w:cs="Arial" w:eastAsia="Arial" w:hAnsi="Arial"/>
          <w:sz w:val="22"/>
          <w:szCs w:val="22"/>
          <w:color w:val="auto"/>
        </w:rPr>
        <w:t>Common Units (excluding Common Units held by the General Partner and its Affiliates) and the General Partner delivers to the Partnership an Opinion of Counsel (“</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that such withdrawal (following the selection of the successor General Partner) would not result in the loss of the limited liability of any Limited Partner or any Group Member;</w:t>
      </w:r>
    </w:p>
    <w:p>
      <w:pPr>
        <w:spacing w:after="0" w:line="185" w:lineRule="exact"/>
        <w:rPr>
          <w:sz w:val="20"/>
          <w:szCs w:val="20"/>
          <w:color w:val="auto"/>
        </w:rPr>
      </w:pPr>
    </w:p>
    <w:p>
      <w:pPr>
        <w:ind w:left="660" w:right="240" w:firstLine="645"/>
        <w:spacing w:after="0" w:line="238" w:lineRule="auto"/>
        <w:tabs>
          <w:tab w:leader="none" w:pos="1977" w:val="left"/>
        </w:tabs>
        <w:numPr>
          <w:ilvl w:val="0"/>
          <w:numId w:val="76"/>
        </w:numPr>
        <w:rPr>
          <w:rFonts w:ascii="Arial" w:cs="Arial" w:eastAsia="Arial" w:hAnsi="Arial"/>
          <w:sz w:val="22"/>
          <w:szCs w:val="22"/>
          <w:color w:val="auto"/>
        </w:rPr>
      </w:pPr>
      <w:r>
        <w:rPr>
          <w:rFonts w:ascii="Arial" w:cs="Arial" w:eastAsia="Arial" w:hAnsi="Arial"/>
          <w:sz w:val="22"/>
          <w:szCs w:val="22"/>
          <w:color w:val="auto"/>
        </w:rPr>
        <w:t>at any time after 12:00 midnight, prevailing Eastern Time, on March 31, 2024, the General Partner voluntarily withdraws by giving at least 90 days’ advance notice to the Unitholders, such withdrawal to take effect on the date specified in such notice (</w:t>
      </w:r>
      <w:r>
        <w:rPr>
          <w:rFonts w:ascii="Arial" w:cs="Arial" w:eastAsia="Arial" w:hAnsi="Arial"/>
          <w:sz w:val="22"/>
          <w:szCs w:val="22"/>
          <w:i w:val="1"/>
          <w:iCs w:val="1"/>
          <w:color w:val="auto"/>
        </w:rPr>
        <w:t>provided</w:t>
      </w:r>
      <w:r>
        <w:rPr>
          <w:rFonts w:ascii="Arial" w:cs="Arial" w:eastAsia="Arial" w:hAnsi="Arial"/>
          <w:sz w:val="22"/>
          <w:szCs w:val="22"/>
          <w:color w:val="auto"/>
        </w:rPr>
        <w:t>, that, prior to the effective date of such withdrawal, the General Partner delivers to the Partnership a Withdrawal Opinion of Counsel);</w:t>
      </w:r>
    </w:p>
    <w:p>
      <w:pPr>
        <w:spacing w:after="0" w:line="185" w:lineRule="exact"/>
        <w:rPr>
          <w:rFonts w:ascii="Arial" w:cs="Arial" w:eastAsia="Arial" w:hAnsi="Arial"/>
          <w:sz w:val="22"/>
          <w:szCs w:val="22"/>
          <w:color w:val="auto"/>
        </w:rPr>
      </w:pPr>
    </w:p>
    <w:p>
      <w:pPr>
        <w:ind w:left="660" w:right="440" w:firstLine="645"/>
        <w:spacing w:after="0" w:line="251" w:lineRule="auto"/>
        <w:tabs>
          <w:tab w:leader="none" w:pos="1983"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at any time that the General Partner ceases to be the General Partner pursuant to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or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or</w:t>
      </w:r>
    </w:p>
    <w:p>
      <w:pPr>
        <w:spacing w:after="0" w:line="173" w:lineRule="exact"/>
        <w:rPr>
          <w:rFonts w:ascii="Arial" w:cs="Arial" w:eastAsia="Arial" w:hAnsi="Arial"/>
          <w:sz w:val="22"/>
          <w:szCs w:val="22"/>
          <w:color w:val="auto"/>
        </w:rPr>
      </w:pPr>
    </w:p>
    <w:p>
      <w:pPr>
        <w:ind w:left="660" w:right="60" w:firstLine="645"/>
        <w:spacing w:after="0" w:line="271" w:lineRule="auto"/>
        <w:tabs>
          <w:tab w:leader="none" w:pos="1971"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if any, to the extent applicable, of the other Group Members. If the General Partner gives a notice of withdrawal pursuant to </w:t>
      </w:r>
      <w:r>
        <w:rPr>
          <w:rFonts w:ascii="Arial" w:cs="Arial" w:eastAsia="Arial" w:hAnsi="Arial"/>
          <w:sz w:val="19"/>
          <w:szCs w:val="19"/>
          <w:u w:val="single" w:color="auto"/>
          <w:color w:val="auto"/>
        </w:rPr>
        <w:t>Section 11.1(a)(i)</w:t>
      </w:r>
      <w:r>
        <w:rPr>
          <w:rFonts w:ascii="Arial" w:cs="Arial" w:eastAsia="Arial" w:hAnsi="Arial"/>
          <w:sz w:val="19"/>
          <w:szCs w:val="19"/>
          <w:color w:val="auto"/>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Any successor General Partner elected in accordance with the terms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10.3.</w:t>
      </w:r>
    </w:p>
    <w:p>
      <w:pPr>
        <w:spacing w:after="0" w:line="165" w:lineRule="exact"/>
        <w:rPr>
          <w:sz w:val="20"/>
          <w:szCs w:val="20"/>
          <w:color w:val="auto"/>
        </w:rPr>
      </w:pPr>
    </w:p>
    <w:p>
      <w:pPr>
        <w:ind w:right="40" w:firstLine="1297"/>
        <w:spacing w:after="0" w:line="236"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i w:val="1"/>
          <w:iCs w:val="1"/>
          <w:color w:val="auto"/>
        </w:rPr>
        <w:t>Removal of the General Partner</w:t>
      </w:r>
      <w:r>
        <w:rPr>
          <w:rFonts w:ascii="Arial" w:cs="Arial" w:eastAsia="Arial" w:hAnsi="Arial"/>
          <w:sz w:val="22"/>
          <w:szCs w:val="22"/>
          <w:color w:val="auto"/>
        </w:rPr>
        <w:t>. The General Partner may be removed if such removal is approved by the Unitholders holding at least 66 2 /3 % of the Outstanding Common Units (including Common Units held by the General Partner and its Affiliates). Any such action by such holders or the Board of Directors for removal of the General Partner must also provide for the election of a successor General Partner by the majority vote of the Outstanding Common Units, voting together as a single class.</w:t>
      </w:r>
    </w:p>
    <w:p>
      <w:pPr>
        <w:spacing w:after="0" w:line="188"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9"/>
          <w:szCs w:val="19"/>
          <w:color w:val="auto"/>
        </w:rPr>
        <w:t xml:space="preserve">Such removal shall be effective immediately following the admission of a successor General Partner pursuant to </w:t>
      </w:r>
      <w:r>
        <w:rPr>
          <w:rFonts w:ascii="Arial" w:cs="Arial" w:eastAsia="Arial" w:hAnsi="Arial"/>
          <w:sz w:val="19"/>
          <w:szCs w:val="19"/>
          <w:u w:val="single" w:color="auto"/>
          <w:color w:val="auto"/>
        </w:rPr>
        <w:t>Section 10.3</w:t>
      </w:r>
      <w:r>
        <w:rPr>
          <w:rFonts w:ascii="Arial" w:cs="Arial" w:eastAsia="Arial" w:hAnsi="Arial"/>
          <w:sz w:val="19"/>
          <w:szCs w:val="19"/>
          <w:color w:val="auto"/>
        </w:rPr>
        <w:t>. The removal of the General Partner shall also automatically constitute the removal of the General Partner as general partner or managing member, to the extent applicable, of the other Group Members of which the General Partner is 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3" w:name="page74"/>
    <w:bookmarkEnd w:id="73"/>
    <w:p>
      <w:pPr>
        <w:ind w:right="80"/>
        <w:spacing w:after="0" w:line="234" w:lineRule="auto"/>
        <w:rPr>
          <w:sz w:val="20"/>
          <w:szCs w:val="20"/>
          <w:color w:val="auto"/>
        </w:rPr>
      </w:pPr>
      <w:r>
        <w:rPr>
          <w:rFonts w:ascii="Arial" w:cs="Arial" w:eastAsia="Arial" w:hAnsi="Arial"/>
          <w:sz w:val="22"/>
          <w:szCs w:val="22"/>
          <w:color w:val="auto"/>
        </w:rPr>
        <w:t xml:space="preserve">general partner or a managing member. If a Person is elected as a successor General Partner in accordance with the terms of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such Person shall, upon admission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automatically become a successor general partner or managing member, to the extent applicable, of the other Group Members of which the General Partner is a general partner or a managing member. The right of the holders of Outstanding Common Units to remove the General Partner shall not exist or be exercised unless the Partnership has received an Opinion of Counsel opining as to the matters covered by a Withdrawal Opinion of Counsel. Any successor General Partner elected in accordance with the terms of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shall be subject to the provisions of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i w:val="1"/>
          <w:iCs w:val="1"/>
          <w:color w:val="auto"/>
        </w:rPr>
        <w:t>Interest of Departing General Partner and Successor General Partner</w:t>
      </w:r>
      <w:r>
        <w:rPr>
          <w:rFonts w:ascii="Arial" w:cs="Arial" w:eastAsia="Arial" w:hAnsi="Arial"/>
          <w:sz w:val="22"/>
          <w:szCs w:val="22"/>
          <w:color w:val="auto"/>
        </w:rPr>
        <w:t>. (a) In the event of</w:t>
      </w:r>
    </w:p>
    <w:p>
      <w:pPr>
        <w:spacing w:after="0" w:line="8" w:lineRule="exact"/>
        <w:rPr>
          <w:sz w:val="20"/>
          <w:szCs w:val="20"/>
          <w:color w:val="auto"/>
        </w:rPr>
      </w:pPr>
    </w:p>
    <w:p>
      <w:pPr>
        <w:ind w:firstLine="8"/>
        <w:spacing w:after="0" w:line="269" w:lineRule="auto"/>
        <w:tabs>
          <w:tab w:leader="none" w:pos="258"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withdrawal of the General Partner under circumstances where such withdrawal does not violate this Agreement or (ii) removal of the General Partner by the holders of Outstanding Common Units under circumstances where Cause does not exist, if the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(A) the Departing General Partner shall have the option, exercisable prior to the effective date of the departure of such Departing General Partner, to require its successor to purchase its General Partner Interest (represented by General Partner Units) and its general partner interest (or equivalent interest), if any, in the other Group Members and its Incentive Distribution Rights, if any (collectively, the “</w:t>
      </w:r>
      <w:r>
        <w:rPr>
          <w:rFonts w:ascii="Arial" w:cs="Arial" w:eastAsia="Arial" w:hAnsi="Arial"/>
          <w:sz w:val="19"/>
          <w:szCs w:val="19"/>
          <w:b w:val="1"/>
          <w:bCs w:val="1"/>
          <w:i w:val="1"/>
          <w:iCs w:val="1"/>
          <w:color w:val="auto"/>
        </w:rPr>
        <w:t>Combined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Interest</w:t>
      </w:r>
      <w:r>
        <w:rPr>
          <w:rFonts w:ascii="Arial" w:cs="Arial" w:eastAsia="Arial" w:hAnsi="Arial"/>
          <w:sz w:val="19"/>
          <w:szCs w:val="19"/>
          <w:color w:val="auto"/>
        </w:rPr>
        <w:t>”), in exchange for an amount in cash equal to the fair market value of such Combined Interest, such amount to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determined and payable as of the effective date of its departure and (B) the other holders of the Incentive Distribution Rights shall have the option, exercisable prior to the effective date of the departure of such Departing General Partner, to require such successor to purchase such holders’ Incentive Distribution Rights in exchange for an amount in cash equal to the fair market value of such Incentive Distribution Rights, such amount to be determined and payable as of the effective date of the Departing General Partner’s departure. If the General Partner is removed by the holders of Outstanding Common Units under circumstances where Cause exists or if the General Partner withdraws under circumstances where such withdrawal violates this Agreement, and 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in exchange for an amount in cash equal to such fair market value of such Combined Interest of the Departing General Partner. In either event, the Departing General Partner shall be entitled to receive all reimbursements due such Departing General Partner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including any employee related liabilities (including severance liabilities), incurred in connection with the termination of any employees employed by the Departing General Partner or its Affiliates (other than any Group Member) for the benefit of the Partnership or the other Group Members.</w:t>
      </w:r>
    </w:p>
    <w:p>
      <w:pPr>
        <w:spacing w:after="0" w:line="200" w:lineRule="exact"/>
        <w:rPr>
          <w:sz w:val="20"/>
          <w:szCs w:val="20"/>
          <w:color w:val="auto"/>
        </w:rPr>
      </w:pPr>
    </w:p>
    <w:p>
      <w:pPr>
        <w:spacing w:after="0" w:line="204"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11.3(a)</w:t>
      </w:r>
      <w:r>
        <w:rPr>
          <w:rFonts w:ascii="Arial" w:cs="Arial" w:eastAsia="Arial" w:hAnsi="Arial"/>
          <w:sz w:val="19"/>
          <w:szCs w:val="19"/>
          <w:color w:val="auto"/>
        </w:rPr>
        <w:t>, the fair market value of the Departing General Partner’s Combined Interest and the value of the Incentive Distribution Rights held by holders other than the Departing General Partner shall be determined by agreement between the Departing General Partner and its successor or, failing agreement within 30 days after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4" w:name="page75"/>
    <w:bookmarkEnd w:id="74"/>
    <w:p>
      <w:pPr>
        <w:spacing w:after="0" w:line="272" w:lineRule="auto"/>
        <w:rPr>
          <w:sz w:val="20"/>
          <w:szCs w:val="20"/>
          <w:color w:val="auto"/>
        </w:rPr>
      </w:pPr>
      <w:r>
        <w:rPr>
          <w:rFonts w:ascii="Arial" w:cs="Arial" w:eastAsia="Arial" w:hAnsi="Arial"/>
          <w:sz w:val="19"/>
          <w:szCs w:val="19"/>
          <w:color w:val="auto"/>
        </w:rPr>
        <w:t>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and the value of the Incentive Distribution Rights held by holders other than the Departing General Partner. In making its determination, such third independent investment banking firm or other independent expert may consider the then current trading price of Common Units on any National Securities Exchange on which Common Units are then listed or admitted to trading, the value of the Partnership’s assets, the rights and obligations of the Departing General Partner and other factors it may deem relevant.</w:t>
      </w:r>
    </w:p>
    <w:p>
      <w:pPr>
        <w:spacing w:after="0" w:line="162" w:lineRule="exact"/>
        <w:rPr>
          <w:sz w:val="20"/>
          <w:szCs w:val="20"/>
          <w:color w:val="auto"/>
        </w:rPr>
      </w:pPr>
    </w:p>
    <w:p>
      <w:pPr>
        <w:ind w:right="20" w:firstLine="1305"/>
        <w:spacing w:after="0" w:line="245" w:lineRule="auto"/>
        <w:tabs>
          <w:tab w:leader="none" w:pos="1954"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If the Combined Interest is not purchased in the manner set forth in </w:t>
      </w:r>
      <w:r>
        <w:rPr>
          <w:rFonts w:ascii="Arial" w:cs="Arial" w:eastAsia="Arial" w:hAnsi="Arial"/>
          <w:sz w:val="21"/>
          <w:szCs w:val="21"/>
          <w:u w:val="single" w:color="auto"/>
          <w:color w:val="auto"/>
        </w:rPr>
        <w:t>Section 11.3(a)</w:t>
      </w:r>
      <w:r>
        <w:rPr>
          <w:rFonts w:ascii="Arial" w:cs="Arial" w:eastAsia="Arial" w:hAnsi="Arial"/>
          <w:sz w:val="21"/>
          <w:szCs w:val="21"/>
          <w:color w:val="auto"/>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Arial" w:cs="Arial" w:eastAsia="Arial" w:hAnsi="Arial"/>
          <w:sz w:val="21"/>
          <w:szCs w:val="21"/>
          <w:u w:val="single" w:color="auto"/>
          <w:color w:val="auto"/>
        </w:rPr>
        <w:t>Section 11.3(a)</w:t>
      </w:r>
      <w:r>
        <w:rPr>
          <w:rFonts w:ascii="Arial" w:cs="Arial" w:eastAsia="Arial" w:hAnsi="Arial"/>
          <w:sz w:val="21"/>
          <w:szCs w:val="21"/>
          <w:color w:val="auto"/>
        </w:rPr>
        <w:t>,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the Departing General Partner (or its transferee) contributed its Combined Interest to the Partnership in exchange for the newly issued Common Units.</w:t>
      </w:r>
    </w:p>
    <w:p>
      <w:pPr>
        <w:spacing w:after="0" w:line="185" w:lineRule="exact"/>
        <w:rPr>
          <w:rFonts w:ascii="Arial" w:cs="Arial" w:eastAsia="Arial" w:hAnsi="Arial"/>
          <w:sz w:val="21"/>
          <w:szCs w:val="21"/>
          <w:color w:val="auto"/>
        </w:rPr>
      </w:pPr>
    </w:p>
    <w:p>
      <w:pPr>
        <w:ind w:right="160" w:firstLine="1305"/>
        <w:spacing w:after="0" w:line="273" w:lineRule="auto"/>
        <w:tabs>
          <w:tab w:leader="none" w:pos="195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and the option described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is not exercised by the party entitled to do so, the successor General Partner shall, at the effective date of its admission to the Partnership, contribute to the Partnership cash in the amount equal to the product of (i) the quotient obtained by dividing (A) the Percentage Interest of the General Partner Interest of the Departing General Partner by (B) a percentage equal to 100% less the Percentage Interest of the General Partner Interest of the Departing General Partner and (ii) 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 General Partner’s interest in all Partnership distributions and allocations shall be its Percentage Interest.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5" w:name="page76"/>
    <w:bookmarkEnd w:id="75"/>
    <w:p>
      <w:pPr>
        <w:ind w:right="100" w:firstLine="1297"/>
        <w:spacing w:after="0" w:line="238" w:lineRule="auto"/>
        <w:rPr>
          <w:sz w:val="20"/>
          <w:szCs w:val="20"/>
          <w:color w:val="auto"/>
        </w:rPr>
      </w:pPr>
      <w:r>
        <w:rPr>
          <w:rFonts w:ascii="Arial" w:cs="Arial" w:eastAsia="Arial" w:hAnsi="Arial"/>
          <w:sz w:val="22"/>
          <w:szCs w:val="22"/>
          <w:color w:val="auto"/>
        </w:rPr>
        <w:t xml:space="preserve">Section 11.4. </w:t>
      </w:r>
      <w:r>
        <w:rPr>
          <w:rFonts w:ascii="Arial" w:cs="Arial" w:eastAsia="Arial" w:hAnsi="Arial"/>
          <w:sz w:val="22"/>
          <w:szCs w:val="22"/>
          <w:i w:val="1"/>
          <w:iCs w:val="1"/>
          <w:color w:val="auto"/>
        </w:rPr>
        <w:t>Withdrawal of Limited Partners</w:t>
      </w:r>
      <w:r>
        <w:rPr>
          <w:rFonts w:ascii="Arial" w:cs="Arial" w:eastAsia="Arial" w:hAnsi="Arial"/>
          <w:sz w:val="22"/>
          <w:szCs w:val="22"/>
          <w:color w:val="auto"/>
        </w:rPr>
        <w:t xml:space="preserve">. No Limited Partner shall have any right to withdraw from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DISSOLUTION AND LIQUIDATION</w:t>
      </w:r>
    </w:p>
    <w:p>
      <w:pPr>
        <w:spacing w:after="0" w:line="188"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 xml:space="preserve">Section 12.1. </w:t>
      </w:r>
      <w:r>
        <w:rPr>
          <w:rFonts w:ascii="Arial" w:cs="Arial" w:eastAsia="Arial" w:hAnsi="Arial"/>
          <w:sz w:val="21"/>
          <w:szCs w:val="21"/>
          <w:i w:val="1"/>
          <w:iCs w:val="1"/>
          <w:color w:val="auto"/>
        </w:rPr>
        <w:t>Dissolution</w:t>
      </w:r>
      <w:r>
        <w:rPr>
          <w:rFonts w:ascii="Arial" w:cs="Arial" w:eastAsia="Arial" w:hAnsi="Arial"/>
          <w:sz w:val="21"/>
          <w:szCs w:val="21"/>
          <w:color w:val="auto"/>
        </w:rPr>
        <w:t xml:space="preserve">. The Partnership shall not be dissolved by the admission of additional Limited Partners or by the admission of a successor or additional General Partner in accordance with the terms of this Agreement. Upon the removal or withdrawal of the General Partner, if a successor General Partner is elected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 Partnership shall not be dissolved and the Board of Directors shall continue the business of the Partnership. The Partnership shall dissolve, and (subject to </w:t>
      </w:r>
      <w:r>
        <w:rPr>
          <w:rFonts w:ascii="Arial" w:cs="Arial" w:eastAsia="Arial" w:hAnsi="Arial"/>
          <w:sz w:val="21"/>
          <w:szCs w:val="21"/>
          <w:u w:val="single" w:color="auto"/>
          <w:color w:val="auto"/>
        </w:rPr>
        <w:t>Section 12.2</w:t>
      </w:r>
      <w:r>
        <w:rPr>
          <w:rFonts w:ascii="Arial" w:cs="Arial" w:eastAsia="Arial" w:hAnsi="Arial"/>
          <w:sz w:val="21"/>
          <w:szCs w:val="21"/>
          <w:color w:val="auto"/>
        </w:rPr>
        <w:t>) its affairs shall be wound up, upon:</w:t>
      </w:r>
    </w:p>
    <w:p>
      <w:pPr>
        <w:spacing w:after="0" w:line="179" w:lineRule="exact"/>
        <w:rPr>
          <w:sz w:val="20"/>
          <w:szCs w:val="20"/>
          <w:color w:val="auto"/>
        </w:rPr>
      </w:pPr>
    </w:p>
    <w:p>
      <w:pPr>
        <w:ind w:left="660" w:right="80" w:firstLine="645"/>
        <w:spacing w:after="0" w:line="251" w:lineRule="auto"/>
        <w:tabs>
          <w:tab w:leader="none" w:pos="1967"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 election to dissolve the Partnership by the General Partner and our Board of Directors that is approved by the holders of a Unit Majority;</w:t>
      </w:r>
    </w:p>
    <w:p>
      <w:pPr>
        <w:spacing w:after="0" w:line="173" w:lineRule="exact"/>
        <w:rPr>
          <w:rFonts w:ascii="Arial" w:cs="Arial" w:eastAsia="Arial" w:hAnsi="Arial"/>
          <w:sz w:val="22"/>
          <w:szCs w:val="22"/>
          <w:color w:val="auto"/>
        </w:rPr>
      </w:pPr>
    </w:p>
    <w:p>
      <w:pPr>
        <w:ind w:left="660" w:right="880" w:firstLine="645"/>
        <w:spacing w:after="0" w:line="251" w:lineRule="auto"/>
        <w:tabs>
          <w:tab w:leader="none" w:pos="1965" w:val="left"/>
        </w:tabs>
        <w:numPr>
          <w:ilvl w:val="0"/>
          <w:numId w:val="79"/>
        </w:numPr>
        <w:rPr>
          <w:rFonts w:ascii="Arial" w:cs="Arial" w:eastAsia="Arial" w:hAnsi="Arial"/>
          <w:sz w:val="22"/>
          <w:szCs w:val="22"/>
          <w:color w:val="auto"/>
        </w:rPr>
      </w:pPr>
      <w:r>
        <w:rPr>
          <w:rFonts w:ascii="Arial" w:cs="Arial" w:eastAsia="Arial" w:hAnsi="Arial"/>
          <w:sz w:val="22"/>
          <w:szCs w:val="22"/>
          <w:color w:val="auto"/>
        </w:rPr>
        <w:t>at any time there are no Limited Partners, unless the Partnership is continued without dissolution in accordance with the Marshall Islands Act;</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entry of a decree of judicial dissolution of the Partnership pursuant to the provisions of the Marshall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Islands Act; or</w:t>
      </w:r>
    </w:p>
    <w:p>
      <w:pPr>
        <w:spacing w:after="0" w:line="188" w:lineRule="exact"/>
        <w:rPr>
          <w:rFonts w:ascii="Arial" w:cs="Arial" w:eastAsia="Arial" w:hAnsi="Arial"/>
          <w:sz w:val="19"/>
          <w:szCs w:val="19"/>
          <w:color w:val="auto"/>
        </w:rPr>
      </w:pPr>
    </w:p>
    <w:p>
      <w:pPr>
        <w:ind w:left="660" w:right="40" w:firstLine="645"/>
        <w:spacing w:after="0"/>
        <w:tabs>
          <w:tab w:leader="none" w:pos="1952"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 Event of Withdrawal of the General Partner as provided in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unless a successor is elected and an Opinion of Counsel is received as provided in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and such successor is admitted to the Partnership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86" w:lineRule="exact"/>
        <w:rPr>
          <w:sz w:val="20"/>
          <w:szCs w:val="20"/>
          <w:color w:val="auto"/>
        </w:rPr>
      </w:pPr>
    </w:p>
    <w:p>
      <w:pPr>
        <w:ind w:right="80" w:firstLine="1297"/>
        <w:spacing w:after="0" w:line="245" w:lineRule="auto"/>
        <w:rPr>
          <w:sz w:val="20"/>
          <w:szCs w:val="20"/>
          <w:color w:val="auto"/>
        </w:rPr>
      </w:pPr>
      <w:r>
        <w:rPr>
          <w:rFonts w:ascii="Arial" w:cs="Arial" w:eastAsia="Arial" w:hAnsi="Arial"/>
          <w:sz w:val="21"/>
          <w:szCs w:val="21"/>
          <w:color w:val="auto"/>
        </w:rPr>
        <w:t xml:space="preserve">Section 12.2. </w:t>
      </w:r>
      <w:r>
        <w:rPr>
          <w:rFonts w:ascii="Arial" w:cs="Arial" w:eastAsia="Arial" w:hAnsi="Arial"/>
          <w:sz w:val="21"/>
          <w:szCs w:val="21"/>
          <w:i w:val="1"/>
          <w:iCs w:val="1"/>
          <w:color w:val="auto"/>
        </w:rPr>
        <w:t>Continuation of the Business of the Partnership After Dissolution</w:t>
      </w:r>
      <w:r>
        <w:rPr>
          <w:rFonts w:ascii="Arial" w:cs="Arial" w:eastAsia="Arial" w:hAnsi="Arial"/>
          <w:sz w:val="21"/>
          <w:szCs w:val="21"/>
          <w:color w:val="auto"/>
        </w:rPr>
        <w:t xml:space="preserve">. Upon (a) dissolution of the Partnership following an Event of Withdrawal caused by the withdrawal or removal of the General Partner as provided in </w:t>
      </w:r>
      <w:r>
        <w:rPr>
          <w:rFonts w:ascii="Arial" w:cs="Arial" w:eastAsia="Arial" w:hAnsi="Arial"/>
          <w:sz w:val="21"/>
          <w:szCs w:val="21"/>
          <w:u w:val="single" w:color="auto"/>
          <w:color w:val="auto"/>
        </w:rPr>
        <w:t>Section 11.1(a)(i)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11.1(a)(iii)</w:t>
      </w:r>
      <w:r>
        <w:rPr>
          <w:rFonts w:ascii="Arial" w:cs="Arial" w:eastAsia="Arial" w:hAnsi="Arial"/>
          <w:sz w:val="21"/>
          <w:szCs w:val="21"/>
          <w:color w:val="auto"/>
        </w:rPr>
        <w:t xml:space="preserve"> and the failure of the Partners to select a successor to such Departing General Partner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then within 90 days thereafter, or (b) dissolution of the Partnership upon an event constituting an Event of Withdrawal as defined in </w:t>
      </w:r>
      <w:r>
        <w:rPr>
          <w:rFonts w:ascii="Arial" w:cs="Arial" w:eastAsia="Arial" w:hAnsi="Arial"/>
          <w:sz w:val="21"/>
          <w:szCs w:val="21"/>
          <w:u w:val="single" w:color="auto"/>
          <w:color w:val="auto"/>
        </w:rPr>
        <w:t>Section 11.1(a)(iv)</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11.1(a)(v)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11.1(a)(vi)</w:t>
      </w:r>
      <w:r>
        <w:rPr>
          <w:rFonts w:ascii="Arial" w:cs="Arial" w:eastAsia="Arial" w:hAnsi="Arial"/>
          <w:sz w:val="21"/>
          <w:szCs w:val="21"/>
          <w:color w:val="auto"/>
        </w:rPr>
        <w:t>, then, to the maximum extent permitted by the Marshall Islands Act, within 180 days thereafter, the holders of a Unit Majority may elect in writing to continue the business of the Partnership on the same terms and conditions set forth in this Agreement by appointing, effective as of the date of the Event of Withdrawal, as a successor General Partner a Person approved by the holders of a Unit Majority. Unless such an election is made within the applicable time period as set forth above, the Partnership shall dissolve and conduct only activities necessary to wind up its affairs. If such an election is so made, then:</w:t>
      </w:r>
    </w:p>
    <w:p>
      <w:pPr>
        <w:spacing w:after="0" w:line="182" w:lineRule="exact"/>
        <w:rPr>
          <w:sz w:val="20"/>
          <w:szCs w:val="20"/>
          <w:color w:val="auto"/>
        </w:rPr>
      </w:pPr>
    </w:p>
    <w:p>
      <w:pPr>
        <w:ind w:left="1960" w:hanging="655"/>
        <w:spacing w:after="0"/>
        <w:tabs>
          <w:tab w:leader="none" w:pos="19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Partnership shall continue without dissolution unless earlier dissolved in accordance with this</w:t>
      </w:r>
    </w:p>
    <w:p>
      <w:pPr>
        <w:spacing w:after="0" w:line="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6" w:name="page77"/>
    <w:bookmarkEnd w:id="76"/>
    <w:p>
      <w:pPr>
        <w:ind w:left="660" w:right="360" w:firstLine="645"/>
        <w:spacing w:after="0" w:line="251" w:lineRule="auto"/>
        <w:tabs>
          <w:tab w:leader="none" w:pos="1977"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if the successor General Partner is not the former General Partner, then the interest of the former General Partner shall be treated in the manner provided in </w:t>
      </w:r>
      <w:r>
        <w:rPr>
          <w:rFonts w:ascii="Arial" w:cs="Arial" w:eastAsia="Arial" w:hAnsi="Arial"/>
          <w:sz w:val="22"/>
          <w:szCs w:val="22"/>
          <w:u w:val="single" w:color="auto"/>
          <w:color w:val="auto"/>
        </w:rPr>
        <w:t>Section 11.3</w:t>
      </w:r>
      <w:r>
        <w:rPr>
          <w:rFonts w:ascii="Arial" w:cs="Arial" w:eastAsia="Arial" w:hAnsi="Arial"/>
          <w:sz w:val="22"/>
          <w:szCs w:val="22"/>
          <w:color w:val="auto"/>
        </w:rPr>
        <w:t>; and</w:t>
      </w:r>
    </w:p>
    <w:p>
      <w:pPr>
        <w:spacing w:after="0" w:line="173" w:lineRule="exact"/>
        <w:rPr>
          <w:rFonts w:ascii="Arial" w:cs="Arial" w:eastAsia="Arial" w:hAnsi="Arial"/>
          <w:sz w:val="22"/>
          <w:szCs w:val="22"/>
          <w:color w:val="auto"/>
        </w:rPr>
      </w:pPr>
    </w:p>
    <w:p>
      <w:pPr>
        <w:ind w:left="660" w:right="20" w:firstLine="645"/>
        <w:spacing w:after="0" w:line="282" w:lineRule="auto"/>
        <w:tabs>
          <w:tab w:leader="none" w:pos="1983"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4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i w:val="1"/>
          <w:iCs w:val="1"/>
          <w:color w:val="auto"/>
        </w:rPr>
        <w:t>Liquidating Trustee</w:t>
      </w:r>
      <w:r>
        <w:rPr>
          <w:rFonts w:ascii="Arial" w:cs="Arial" w:eastAsia="Arial" w:hAnsi="Arial"/>
          <w:sz w:val="19"/>
          <w:szCs w:val="19"/>
          <w:color w:val="auto"/>
        </w:rPr>
        <w:t xml:space="preserve">. Upon dissolution of the Partnership, unless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the Board of Directors shall select one or more Persons to act as Liquidating Trustee. The Liquidating Trustee (if other than the General Partner) shall be entitled to receive such compensation for its services as may be approved by holders of at least a majority of the Outstanding Common Units. The Liquidating Trustee (if other than the General Partner) shall agree not to resign at any time without 15 days’ prior notice and may be removed at any time, with or without cause, by notice of removal approved by holders of at least a majority of the Outstanding Common Units. Upon dissolution, removal or resignation of the Liquidating Trustee, a successor and substitute Liquidating Trustee (who shall have and succeed to all rights, powers and duties of the original Liquidating Trustee) shall within 30 days thereafter be approved by the holders of at least a majority of the Outstanding Common Units. The right to approve a successor or substitute Liquidating Trustee in the manner provided herein shall be deemed to refer also to any such successor or substitute Liquidating Trustee approved in the manner herein provided. Except as expressly provided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the Liquidating Trustee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other than the limitation on sale set forth in </w:t>
      </w:r>
      <w:r>
        <w:rPr>
          <w:rFonts w:ascii="Arial" w:cs="Arial" w:eastAsia="Arial" w:hAnsi="Arial"/>
          <w:sz w:val="19"/>
          <w:szCs w:val="19"/>
          <w:u w:val="single" w:color="auto"/>
          <w:color w:val="auto"/>
        </w:rPr>
        <w:t>Section 7.11(b)</w:t>
      </w:r>
      <w:r>
        <w:rPr>
          <w:rFonts w:ascii="Arial" w:cs="Arial" w:eastAsia="Arial" w:hAnsi="Arial"/>
          <w:sz w:val="19"/>
          <w:szCs w:val="19"/>
          <w:color w:val="auto"/>
        </w:rPr>
        <w:t>) necessary or appropriate to carry out the duties and functions of the Liquidating Trustee hereunder for and during the period of time required to complete the winding up and liquidation of the Partnership as provided for herein.</w:t>
      </w:r>
    </w:p>
    <w:p>
      <w:pPr>
        <w:spacing w:after="0" w:line="158" w:lineRule="exact"/>
        <w:rPr>
          <w:sz w:val="20"/>
          <w:szCs w:val="20"/>
          <w:color w:val="auto"/>
        </w:rPr>
      </w:pPr>
    </w:p>
    <w:p>
      <w:pPr>
        <w:ind w:right="380" w:firstLine="1297"/>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i w:val="1"/>
          <w:iCs w:val="1"/>
          <w:color w:val="auto"/>
        </w:rPr>
        <w:t>Liquidation</w:t>
      </w:r>
      <w:r>
        <w:rPr>
          <w:rFonts w:ascii="Arial" w:cs="Arial" w:eastAsia="Arial" w:hAnsi="Arial"/>
          <w:sz w:val="22"/>
          <w:szCs w:val="22"/>
          <w:color w:val="auto"/>
        </w:rPr>
        <w:t>. The Liquidating Trustee shall proceed to dispose of the assets of the Partnership, discharge its liabilities, and otherwise wind up its affairs in such manner and over such period as determined by the Liquidating Trustee, subject to the Marshall Islands Act and the following:</w:t>
      </w:r>
    </w:p>
    <w:p>
      <w:pPr>
        <w:spacing w:after="0" w:line="186" w:lineRule="exact"/>
        <w:rPr>
          <w:sz w:val="20"/>
          <w:szCs w:val="20"/>
          <w:color w:val="auto"/>
        </w:rPr>
      </w:pPr>
    </w:p>
    <w:p>
      <w:pPr>
        <w:ind w:right="100" w:firstLine="1305"/>
        <w:spacing w:after="0" w:line="236" w:lineRule="auto"/>
        <w:tabs>
          <w:tab w:leader="none" w:pos="1955"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assets may be disposed of by public or private sale or by distribution in kind to one or more Partners on such terms as the Liquidating Trustee and such Partner or Partners may agree. If any property is distributed in kind, the Partner receiving the property shall be deemed for purposes of </w:t>
      </w:r>
      <w:r>
        <w:rPr>
          <w:rFonts w:ascii="Arial" w:cs="Arial" w:eastAsia="Arial" w:hAnsi="Arial"/>
          <w:sz w:val="22"/>
          <w:szCs w:val="22"/>
          <w:u w:val="single" w:color="auto"/>
          <w:color w:val="auto"/>
        </w:rPr>
        <w:t>Section 12.4(c)</w:t>
      </w:r>
      <w:r>
        <w:rPr>
          <w:rFonts w:ascii="Arial" w:cs="Arial" w:eastAsia="Arial" w:hAnsi="Arial"/>
          <w:sz w:val="22"/>
          <w:szCs w:val="22"/>
          <w:color w:val="auto"/>
        </w:rPr>
        <w:t xml:space="preserve"> to have received cash equal to its fair market value, and contemporaneously therewith, appropriate cash distributions must be made to the other Partners. The Liquidating Trustee may defer liquidation or distribution of the Partnership’s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7" w:name="page78"/>
    <w:bookmarkEnd w:id="77"/>
    <w:p>
      <w:pPr>
        <w:jc w:val="both"/>
        <w:spacing w:after="0" w:line="297" w:lineRule="auto"/>
        <w:rPr>
          <w:sz w:val="20"/>
          <w:szCs w:val="20"/>
          <w:color w:val="auto"/>
        </w:rPr>
      </w:pPr>
      <w:r>
        <w:rPr>
          <w:rFonts w:ascii="Arial" w:cs="Arial" w:eastAsia="Arial" w:hAnsi="Arial"/>
          <w:sz w:val="19"/>
          <w:szCs w:val="19"/>
          <w:color w:val="auto"/>
        </w:rPr>
        <w:t>assets for a reasonable time if it determines that an immediate sale or distribution of all or some of the Partnership’s assets would be impractical or would cause undue loss to the Partners. The Liquidating Trustee may distribute the Partnership’s assets, in whole or in part, in kind if it determines that a sale would be impractical or would cause undue loss to the Partners.</w:t>
      </w:r>
    </w:p>
    <w:p>
      <w:pPr>
        <w:spacing w:after="0" w:line="134" w:lineRule="exact"/>
        <w:rPr>
          <w:sz w:val="20"/>
          <w:szCs w:val="20"/>
          <w:color w:val="auto"/>
        </w:rPr>
      </w:pPr>
    </w:p>
    <w:p>
      <w:pPr>
        <w:ind w:right="280" w:firstLine="1305"/>
        <w:spacing w:after="0" w:line="279" w:lineRule="auto"/>
        <w:tabs>
          <w:tab w:leader="none" w:pos="1954"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Liquidating Trustee shall first satisfy the liabilities of the Partnership. Liabilities of the Partnership include amounts owed to the Liquidating Trustee as compensation for serving in such capacity (subject to the terms of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and amounts to Partners otherwise than in respect of their distribution rights under </w:t>
      </w:r>
      <w:r>
        <w:rPr>
          <w:rFonts w:ascii="Arial" w:cs="Arial" w:eastAsia="Arial" w:hAnsi="Arial"/>
          <w:sz w:val="19"/>
          <w:szCs w:val="19"/>
          <w:u w:val="single" w:color="auto"/>
          <w:color w:val="auto"/>
        </w:rPr>
        <w:t>Article VI</w:t>
      </w:r>
      <w:r>
        <w:rPr>
          <w:rFonts w:ascii="Arial" w:cs="Arial" w:eastAsia="Arial" w:hAnsi="Arial"/>
          <w:sz w:val="19"/>
          <w:szCs w:val="19"/>
          <w:color w:val="auto"/>
        </w:rPr>
        <w:t>. With respect to any liability that is contingent, conditional or unmatured or is otherwise not yet due and payable, the Liquidating Trustee shall either settle such claim for such amount as it deems appropriate or establish a reserve of cash or other assets to provide for its payment. When paid, any unused portion of the reserve shall be distributed as additional liquidation proceeds.</w:t>
      </w:r>
    </w:p>
    <w:p>
      <w:pPr>
        <w:spacing w:after="0" w:line="150" w:lineRule="exact"/>
        <w:rPr>
          <w:rFonts w:ascii="Arial" w:cs="Arial" w:eastAsia="Arial" w:hAnsi="Arial"/>
          <w:sz w:val="19"/>
          <w:szCs w:val="19"/>
          <w:color w:val="auto"/>
        </w:rPr>
      </w:pPr>
    </w:p>
    <w:p>
      <w:pPr>
        <w:ind w:right="220" w:firstLine="1305"/>
        <w:spacing w:after="0"/>
        <w:tabs>
          <w:tab w:leader="none" w:pos="1955"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All property and all cash in excess of that required to discharge liabilities as provided in this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shall be distributed, subject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in respect of Series A Preference Units,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in respect of Series B Preference Units and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in respect of Series C Preference Units, as follows:</w:t>
      </w:r>
    </w:p>
    <w:p>
      <w:pPr>
        <w:spacing w:after="0" w:line="186" w:lineRule="exact"/>
        <w:rPr>
          <w:sz w:val="20"/>
          <w:szCs w:val="20"/>
          <w:color w:val="auto"/>
        </w:rPr>
      </w:pPr>
    </w:p>
    <w:p>
      <w:pPr>
        <w:ind w:left="660" w:right="40" w:firstLine="645"/>
        <w:spacing w:after="0" w:line="251" w:lineRule="auto"/>
        <w:tabs>
          <w:tab w:leader="none" w:pos="1971"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the Current Market Price of the Common Units as of the date three trading days prior to the announcement of the proposed liquidation exceeds the Unrecovered Capital for a Common Unit:</w:t>
      </w:r>
    </w:p>
    <w:p>
      <w:pPr>
        <w:spacing w:after="0" w:line="173" w:lineRule="exact"/>
        <w:rPr>
          <w:rFonts w:ascii="Arial" w:cs="Arial" w:eastAsia="Arial" w:hAnsi="Arial"/>
          <w:sz w:val="22"/>
          <w:szCs w:val="22"/>
          <w:color w:val="auto"/>
        </w:rPr>
      </w:pPr>
    </w:p>
    <w:p>
      <w:pPr>
        <w:ind w:left="1300" w:right="140" w:firstLine="653"/>
        <w:spacing w:after="0" w:line="238" w:lineRule="auto"/>
        <w:tabs>
          <w:tab w:leader="none" w:pos="2599" w:val="left"/>
        </w:tabs>
        <w:numPr>
          <w:ilvl w:val="1"/>
          <w:numId w:val="84"/>
        </w:numPr>
        <w:rPr>
          <w:rFonts w:ascii="Arial" w:cs="Arial" w:eastAsia="Arial" w:hAnsi="Arial"/>
          <w:sz w:val="22"/>
          <w:szCs w:val="22"/>
          <w:color w:val="auto"/>
        </w:rPr>
      </w:pPr>
      <w:r>
        <w:rPr>
          <w:rFonts w:ascii="Arial" w:cs="Arial" w:eastAsia="Arial" w:hAnsi="Arial"/>
          <w:sz w:val="22"/>
          <w:szCs w:val="22"/>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such Current Market Price of a Common Unit;</w:t>
      </w:r>
    </w:p>
    <w:p>
      <w:pPr>
        <w:spacing w:after="0" w:line="185" w:lineRule="exact"/>
        <w:rPr>
          <w:rFonts w:ascii="Arial" w:cs="Arial" w:eastAsia="Arial" w:hAnsi="Arial"/>
          <w:sz w:val="22"/>
          <w:szCs w:val="22"/>
          <w:color w:val="auto"/>
        </w:rPr>
      </w:pPr>
    </w:p>
    <w:p>
      <w:pPr>
        <w:ind w:left="1300" w:right="420" w:firstLine="653"/>
        <w:spacing w:after="0" w:line="297" w:lineRule="auto"/>
        <w:tabs>
          <w:tab w:leader="none" w:pos="2601"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Thereafter (x) to the General Partner in accordance with its Percentage Interest; (y) 48% to the holders of the Incentive Distribution Rights, Pro Rata; and (z) to all Unitholders, Pro Rata, a percentage equal to 100% less the sum of the percentages applicable to </w:t>
      </w:r>
      <w:r>
        <w:rPr>
          <w:rFonts w:ascii="Arial" w:cs="Arial" w:eastAsia="Arial" w:hAnsi="Arial"/>
          <w:sz w:val="19"/>
          <w:szCs w:val="19"/>
          <w:u w:val="single" w:color="auto"/>
          <w:color w:val="auto"/>
        </w:rPr>
        <w:t>subclauses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(i)(B)</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660" w:right="40" w:firstLine="645"/>
        <w:spacing w:after="0" w:line="274" w:lineRule="auto"/>
        <w:tabs>
          <w:tab w:leader="none" w:pos="1977" w:val="left"/>
        </w:tabs>
        <w:numPr>
          <w:ilvl w:val="0"/>
          <w:numId w:val="84"/>
        </w:numPr>
        <w:rPr>
          <w:rFonts w:ascii="Arial" w:cs="Arial" w:eastAsia="Arial" w:hAnsi="Arial"/>
          <w:sz w:val="21"/>
          <w:szCs w:val="21"/>
          <w:color w:val="auto"/>
        </w:rPr>
      </w:pPr>
      <w:r>
        <w:rPr>
          <w:rFonts w:ascii="Arial" w:cs="Arial" w:eastAsia="Arial" w:hAnsi="Arial"/>
          <w:sz w:val="21"/>
          <w:szCs w:val="21"/>
          <w:color w:val="auto"/>
        </w:rPr>
        <w:t>If the Current Market Price of the Common Units as of the date three trading days prior to the announcement of the proposed liquidation is equal to or less than the Unrecovered Capital for a Common Unit:</w:t>
      </w:r>
    </w:p>
    <w:p>
      <w:pPr>
        <w:spacing w:after="0" w:line="150" w:lineRule="exact"/>
        <w:rPr>
          <w:rFonts w:ascii="Arial" w:cs="Arial" w:eastAsia="Arial" w:hAnsi="Arial"/>
          <w:sz w:val="21"/>
          <w:szCs w:val="21"/>
          <w:color w:val="auto"/>
        </w:rPr>
      </w:pPr>
    </w:p>
    <w:p>
      <w:pPr>
        <w:ind w:left="1300" w:right="260" w:firstLine="653"/>
        <w:spacing w:after="0" w:line="238" w:lineRule="auto"/>
        <w:tabs>
          <w:tab w:leader="none" w:pos="2599" w:val="left"/>
        </w:tabs>
        <w:numPr>
          <w:ilvl w:val="1"/>
          <w:numId w:val="84"/>
        </w:numPr>
        <w:rPr>
          <w:rFonts w:ascii="Arial" w:cs="Arial" w:eastAsia="Arial" w:hAnsi="Arial"/>
          <w:sz w:val="22"/>
          <w:szCs w:val="22"/>
          <w:color w:val="auto"/>
        </w:rPr>
      </w:pPr>
      <w:r>
        <w:rPr>
          <w:rFonts w:ascii="Arial" w:cs="Arial" w:eastAsia="Arial" w:hAnsi="Arial"/>
          <w:sz w:val="22"/>
          <w:szCs w:val="22"/>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the Unrecovered Capital for a Common Unit;</w:t>
      </w:r>
    </w:p>
    <w:p>
      <w:pPr>
        <w:spacing w:after="0" w:line="185" w:lineRule="exact"/>
        <w:rPr>
          <w:rFonts w:ascii="Arial" w:cs="Arial" w:eastAsia="Arial" w:hAnsi="Arial"/>
          <w:sz w:val="22"/>
          <w:szCs w:val="22"/>
          <w:color w:val="auto"/>
        </w:rPr>
      </w:pPr>
    </w:p>
    <w:p>
      <w:pPr>
        <w:ind w:left="1300" w:right="600" w:firstLine="653"/>
        <w:spacing w:after="0" w:line="251" w:lineRule="auto"/>
        <w:tabs>
          <w:tab w:leader="none" w:pos="2601"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Thereafter, (x) to the General Partner in accordance with its Percentage Interest; (y) 48% to the holders of the Incentive Distribution Rights,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8" w:name="page79"/>
    <w:bookmarkEnd w:id="78"/>
    <w:p>
      <w:pPr>
        <w:ind w:left="1300" w:right="20"/>
        <w:spacing w:after="0" w:line="251" w:lineRule="auto"/>
        <w:rPr>
          <w:sz w:val="20"/>
          <w:szCs w:val="20"/>
          <w:color w:val="auto"/>
        </w:rPr>
      </w:pPr>
      <w:r>
        <w:rPr>
          <w:rFonts w:ascii="Arial" w:cs="Arial" w:eastAsia="Arial" w:hAnsi="Arial"/>
          <w:sz w:val="22"/>
          <w:szCs w:val="22"/>
          <w:color w:val="auto"/>
        </w:rPr>
        <w:t xml:space="preserve">Pro Rata; and (z) to all Unitholders, Pro Rata, a percentage equal to 100% less the sum of the percentages applicable to </w:t>
      </w:r>
      <w:r>
        <w:rPr>
          <w:rFonts w:ascii="Arial" w:cs="Arial" w:eastAsia="Arial" w:hAnsi="Arial"/>
          <w:sz w:val="22"/>
          <w:szCs w:val="22"/>
          <w:u w:val="single" w:color="auto"/>
          <w:color w:val="auto"/>
        </w:rPr>
        <w:t>subclauses (x)</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(y)</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clause (ii)(B)</w:t>
      </w:r>
      <w:r>
        <w:rPr>
          <w:rFonts w:ascii="Arial" w:cs="Arial" w:eastAsia="Arial" w:hAnsi="Arial"/>
          <w:sz w:val="22"/>
          <w:szCs w:val="22"/>
          <w:color w:val="auto"/>
        </w:rPr>
        <w:t>;</w:t>
      </w:r>
    </w:p>
    <w:p>
      <w:pPr>
        <w:spacing w:after="0" w:line="173"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 xml:space="preserve">Distributions with respect to Series A Preference Units described in </w:t>
      </w:r>
      <w:r>
        <w:rPr>
          <w:rFonts w:ascii="Arial" w:cs="Arial" w:eastAsia="Arial" w:hAnsi="Arial"/>
          <w:sz w:val="22"/>
          <w:szCs w:val="22"/>
          <w:u w:val="single" w:color="auto"/>
          <w:color w:val="auto"/>
        </w:rPr>
        <w:t>Article XVI</w:t>
      </w:r>
      <w:r>
        <w:rPr>
          <w:rFonts w:ascii="Arial" w:cs="Arial" w:eastAsia="Arial" w:hAnsi="Arial"/>
          <w:sz w:val="22"/>
          <w:szCs w:val="22"/>
          <w:color w:val="auto"/>
        </w:rPr>
        <w:t xml:space="preserve">, Series B Preference Units described in </w:t>
      </w:r>
      <w:r>
        <w:rPr>
          <w:rFonts w:ascii="Arial" w:cs="Arial" w:eastAsia="Arial" w:hAnsi="Arial"/>
          <w:sz w:val="22"/>
          <w:szCs w:val="22"/>
          <w:u w:val="single" w:color="auto"/>
          <w:color w:val="auto"/>
        </w:rPr>
        <w:t>Article XVII</w:t>
      </w:r>
      <w:r>
        <w:rPr>
          <w:rFonts w:ascii="Arial" w:cs="Arial" w:eastAsia="Arial" w:hAnsi="Arial"/>
          <w:sz w:val="22"/>
          <w:szCs w:val="22"/>
          <w:color w:val="auto"/>
        </w:rPr>
        <w:t xml:space="preserve"> and Series C Preference Units described in </w:t>
      </w:r>
      <w:r>
        <w:rPr>
          <w:rFonts w:ascii="Arial" w:cs="Arial" w:eastAsia="Arial" w:hAnsi="Arial"/>
          <w:sz w:val="22"/>
          <w:szCs w:val="22"/>
          <w:u w:val="single" w:color="auto"/>
          <w:color w:val="auto"/>
        </w:rPr>
        <w:t>Article XVIII</w:t>
      </w:r>
      <w:r>
        <w:rPr>
          <w:rFonts w:ascii="Arial" w:cs="Arial" w:eastAsia="Arial" w:hAnsi="Arial"/>
          <w:sz w:val="22"/>
          <w:szCs w:val="22"/>
          <w:color w:val="auto"/>
        </w:rPr>
        <w:t xml:space="preserve"> in connection with a liquidation or dissolution of the Partnership shall be made pursuant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with respect to Series A Preference Units,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with respect to Series B Preference Units and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with respect to Series C Preference Units, rather than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12.4(c)</w:t>
      </w:r>
      <w:r>
        <w:rPr>
          <w:rFonts w:ascii="Arial" w:cs="Arial" w:eastAsia="Arial" w:hAnsi="Arial"/>
          <w:sz w:val="22"/>
          <w:szCs w:val="22"/>
          <w:color w:val="auto"/>
        </w:rPr>
        <w:t>.</w:t>
      </w:r>
    </w:p>
    <w:p>
      <w:pPr>
        <w:spacing w:after="0" w:line="188"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i w:val="1"/>
          <w:iCs w:val="1"/>
          <w:color w:val="auto"/>
        </w:rPr>
        <w:t>Cancellation of Certificate of Limited Partnership</w:t>
      </w:r>
      <w:r>
        <w:rPr>
          <w:rFonts w:ascii="Arial" w:cs="Arial" w:eastAsia="Arial" w:hAnsi="Arial"/>
          <w:sz w:val="19"/>
          <w:szCs w:val="19"/>
          <w:color w:val="auto"/>
        </w:rPr>
        <w:t xml:space="preserve">. Upon the completion of the distribution of Partnership cash and property as provided in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143" w:lineRule="exact"/>
        <w:rPr>
          <w:sz w:val="20"/>
          <w:szCs w:val="20"/>
          <w:color w:val="auto"/>
        </w:rPr>
      </w:pPr>
    </w:p>
    <w:p>
      <w:pPr>
        <w:ind w:right="380" w:firstLine="1297"/>
        <w:spacing w:after="0" w:line="23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i w:val="1"/>
          <w:iCs w:val="1"/>
          <w:color w:val="auto"/>
        </w:rPr>
        <w:t>Return of Contributions</w:t>
      </w:r>
      <w:r>
        <w:rPr>
          <w:rFonts w:ascii="Arial" w:cs="Arial" w:eastAsia="Arial" w:hAnsi="Arial"/>
          <w:sz w:val="22"/>
          <w:szCs w:val="22"/>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85" w:lineRule="exact"/>
        <w:rPr>
          <w:sz w:val="20"/>
          <w:szCs w:val="20"/>
          <w:color w:val="auto"/>
        </w:rPr>
      </w:pPr>
    </w:p>
    <w:p>
      <w:pPr>
        <w:ind w:right="120" w:firstLine="1297"/>
        <w:spacing w:after="0" w:line="251"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i w:val="1"/>
          <w:iCs w:val="1"/>
          <w:color w:val="auto"/>
        </w:rPr>
        <w:t>Waiver of Partition</w:t>
      </w:r>
      <w:r>
        <w:rPr>
          <w:rFonts w:ascii="Arial" w:cs="Arial" w:eastAsia="Arial" w:hAnsi="Arial"/>
          <w:sz w:val="22"/>
          <w:szCs w:val="22"/>
          <w:color w:val="auto"/>
        </w:rPr>
        <w:t>. To the maximum extent permitted by law, each Partner hereby waives any right to partition of the Partnership property.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OF PARTNERSHIP AGREEMENT; MEETINGS; RECORD DATE</w:t>
      </w:r>
    </w:p>
    <w:p>
      <w:pPr>
        <w:spacing w:after="0" w:line="188" w:lineRule="exact"/>
        <w:rPr>
          <w:sz w:val="20"/>
          <w:szCs w:val="20"/>
          <w:color w:val="auto"/>
        </w:rPr>
      </w:pPr>
    </w:p>
    <w:p>
      <w:pPr>
        <w:ind w:right="40" w:firstLine="1297"/>
        <w:spacing w:after="0" w:line="252" w:lineRule="auto"/>
        <w:rPr>
          <w:sz w:val="20"/>
          <w:szCs w:val="20"/>
          <w:color w:val="auto"/>
        </w:rPr>
      </w:pPr>
      <w:r>
        <w:rPr>
          <w:rFonts w:ascii="Arial" w:cs="Arial" w:eastAsia="Arial" w:hAnsi="Arial"/>
          <w:sz w:val="21"/>
          <w:szCs w:val="21"/>
          <w:color w:val="auto"/>
        </w:rPr>
        <w:t xml:space="preserve">Section 13.1. </w:t>
      </w:r>
      <w:r>
        <w:rPr>
          <w:rFonts w:ascii="Arial" w:cs="Arial" w:eastAsia="Arial" w:hAnsi="Arial"/>
          <w:sz w:val="21"/>
          <w:szCs w:val="21"/>
          <w:i w:val="1"/>
          <w:iCs w:val="1"/>
          <w:color w:val="auto"/>
        </w:rPr>
        <w:t>Amendments to be Adopted Without Approval of the Limited Partners or the General Partner</w:t>
      </w:r>
      <w:r>
        <w:rPr>
          <w:rFonts w:ascii="Arial" w:cs="Arial" w:eastAsia="Arial" w:hAnsi="Arial"/>
          <w:sz w:val="21"/>
          <w:szCs w:val="21"/>
          <w:color w:val="auto"/>
        </w:rPr>
        <w:t xml:space="preserve">. The General Partner and each Limited Partner agree that the Board of Directors, without the approval of any Limited Partner or, subject to </w:t>
      </w:r>
      <w:r>
        <w:rPr>
          <w:rFonts w:ascii="Arial" w:cs="Arial" w:eastAsia="Arial" w:hAnsi="Arial"/>
          <w:sz w:val="21"/>
          <w:szCs w:val="21"/>
          <w:u w:val="single" w:color="auto"/>
          <w:color w:val="auto"/>
        </w:rPr>
        <w:t>Section 5.5</w:t>
      </w:r>
      <w:r>
        <w:rPr>
          <w:rFonts w:ascii="Arial" w:cs="Arial" w:eastAsia="Arial" w:hAnsi="Arial"/>
          <w:sz w:val="21"/>
          <w:szCs w:val="21"/>
          <w:color w:val="auto"/>
        </w:rPr>
        <w:t>, the General Partner, may amend any provision of this Agreement and execute, swear to, acknowledge, deliver, file and record whatever documents may be required in connection therewith, to reflect:</w:t>
      </w:r>
    </w:p>
    <w:p>
      <w:pPr>
        <w:spacing w:after="0" w:line="174" w:lineRule="exact"/>
        <w:rPr>
          <w:sz w:val="20"/>
          <w:szCs w:val="20"/>
          <w:color w:val="auto"/>
        </w:rPr>
      </w:pPr>
    </w:p>
    <w:p>
      <w:pPr>
        <w:ind w:left="660" w:right="40" w:firstLine="645"/>
        <w:spacing w:after="0" w:line="251" w:lineRule="auto"/>
        <w:tabs>
          <w:tab w:leader="none" w:pos="196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change in the name of the Partnership, the location of the principal place of business of the Partnership, the registered agent of the Partnership or the registered office of the Partnership;</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admission, substitution, withdrawal or removal of Partners in accordance with this Agreement;</w:t>
      </w:r>
    </w:p>
    <w:p>
      <w:pPr>
        <w:spacing w:after="0" w:line="206" w:lineRule="exact"/>
        <w:rPr>
          <w:rFonts w:ascii="Arial" w:cs="Arial" w:eastAsia="Arial" w:hAnsi="Arial"/>
          <w:sz w:val="22"/>
          <w:szCs w:val="22"/>
          <w:color w:val="auto"/>
        </w:rPr>
      </w:pPr>
    </w:p>
    <w:p>
      <w:pPr>
        <w:ind w:left="660" w:right="100" w:firstLine="645"/>
        <w:spacing w:after="0"/>
        <w:tabs>
          <w:tab w:leader="none" w:pos="196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change that the Board of Directors determines to be necessary or appropriate to qualify or continue the qualification of the Partnership as a limited partnership or a partnership in which the Limited Partners have limited liability under the Marshall Islands 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9" w:name="page80"/>
    <w:bookmarkEnd w:id="79"/>
    <w:p>
      <w:pPr>
        <w:ind w:left="-540" w:firstLine="645"/>
        <w:spacing w:after="0" w:line="274" w:lineRule="auto"/>
        <w:tabs>
          <w:tab w:leader="none" w:pos="75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to the extent applicable, a change that the Board of Directors determines (i) does not adversely affect the rights of the Limited Partners (including any particular class or series of Partnership Interests as compared to other classes or series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 Units or comply with any rule, regulation, guideline or requirement of any National Securities Exchange on which the Units are or will be listed, or admitted to trading, (iii) to be necessary or appropriate in connection with action taken by the Board of Directors pursuant to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or (iv) is required to effect the intent expressed in the Registration Statement or the intent of the provisions of this Agreement or is otherwise contemplated by this Agreement;</w:t>
      </w:r>
    </w:p>
    <w:p>
      <w:pPr>
        <w:spacing w:after="0" w:line="158" w:lineRule="exact"/>
        <w:rPr>
          <w:rFonts w:ascii="Arial" w:cs="Arial" w:eastAsia="Arial" w:hAnsi="Arial"/>
          <w:sz w:val="19"/>
          <w:szCs w:val="19"/>
          <w:color w:val="auto"/>
        </w:rPr>
      </w:pPr>
    </w:p>
    <w:p>
      <w:pPr>
        <w:ind w:left="-540" w:right="100" w:firstLine="645"/>
        <w:spacing w:after="0" w:line="236" w:lineRule="auto"/>
        <w:tabs>
          <w:tab w:leader="none" w:pos="767"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 Directors shall so determine, a change in the definition of “Quarter” and the dates on which distributions (other than Series A Distributions, Series B Distributions and Series C Distributions) are to be made by the Partnership;</w:t>
      </w:r>
    </w:p>
    <w:p>
      <w:pPr>
        <w:spacing w:after="0" w:line="187" w:lineRule="exact"/>
        <w:rPr>
          <w:rFonts w:ascii="Arial" w:cs="Arial" w:eastAsia="Arial" w:hAnsi="Arial"/>
          <w:sz w:val="22"/>
          <w:szCs w:val="22"/>
          <w:color w:val="auto"/>
        </w:rPr>
      </w:pPr>
    </w:p>
    <w:p>
      <w:pPr>
        <w:ind w:left="-540" w:right="60" w:firstLine="645"/>
        <w:spacing w:after="0" w:line="248" w:lineRule="auto"/>
        <w:tabs>
          <w:tab w:leader="none" w:pos="756" w:val="left"/>
        </w:tabs>
        <w:numPr>
          <w:ilvl w:val="0"/>
          <w:numId w:val="86"/>
        </w:numPr>
        <w:rPr>
          <w:rFonts w:ascii="Arial" w:cs="Arial" w:eastAsia="Arial" w:hAnsi="Arial"/>
          <w:sz w:val="21"/>
          <w:szCs w:val="21"/>
          <w:color w:val="auto"/>
        </w:rPr>
      </w:pPr>
      <w:r>
        <w:rPr>
          <w:rFonts w:ascii="Arial" w:cs="Arial" w:eastAsia="Arial" w:hAnsi="Arial"/>
          <w:sz w:val="21"/>
          <w:szCs w:val="21"/>
          <w:color w:val="auto"/>
        </w:rPr>
        <w:t>an amendment that is necessary, in the Opinion of Counsel, to prevent the Partnership, the members of the Board of Directors, or the General Partner or its or their directors, officers, trustees or agents from in any manner being subjected to the provisions of the U.S. Investment Company Act of 1940, as amended, the U.S. Investment Advisers Act of 1940, as amended, or “plan asset” regulations adopted under the U.S. Employee Retirement Income Security Act of 1974, as amended, regardless of whether such regulations are substantially similar to plan asset regulations currently applied or proposed by the United States Department of Labor;</w:t>
      </w:r>
    </w:p>
    <w:p>
      <w:pPr>
        <w:spacing w:after="0" w:line="177" w:lineRule="exact"/>
        <w:rPr>
          <w:rFonts w:ascii="Arial" w:cs="Arial" w:eastAsia="Arial" w:hAnsi="Arial"/>
          <w:sz w:val="21"/>
          <w:szCs w:val="21"/>
          <w:color w:val="auto"/>
        </w:rPr>
      </w:pPr>
    </w:p>
    <w:p>
      <w:pPr>
        <w:ind w:left="-540" w:right="60" w:firstLine="645"/>
        <w:spacing w:after="0" w:line="258" w:lineRule="auto"/>
        <w:tabs>
          <w:tab w:leader="none" w:pos="765"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16.5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w:t>
      </w:r>
      <w:r>
        <w:rPr>
          <w:rFonts w:ascii="Arial" w:cs="Arial" w:eastAsia="Arial" w:hAnsi="Arial"/>
          <w:sz w:val="21"/>
          <w:szCs w:val="21"/>
          <w:color w:val="auto"/>
        </w:rPr>
        <w:t xml:space="preserve">, an amendment that the Board of Directors, and if required by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the General Partner, determines to be necessary or appropriate in connection with the authorization of issuance of any class or series of Partnership Interests pursuant to </w:t>
      </w:r>
      <w:r>
        <w:rPr>
          <w:rFonts w:ascii="Arial" w:cs="Arial" w:eastAsia="Arial" w:hAnsi="Arial"/>
          <w:sz w:val="21"/>
          <w:szCs w:val="21"/>
          <w:u w:val="single" w:color="auto"/>
          <w:color w:val="auto"/>
        </w:rPr>
        <w:t>Section 5.4</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ind w:left="-540" w:right="80" w:firstLine="645"/>
        <w:spacing w:after="0"/>
        <w:tabs>
          <w:tab w:leader="none" w:pos="765"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w:t>
      </w:r>
    </w:p>
    <w:p>
      <w:pPr>
        <w:spacing w:after="0" w:line="186" w:lineRule="exact"/>
        <w:rPr>
          <w:rFonts w:ascii="Arial" w:cs="Arial" w:eastAsia="Arial" w:hAnsi="Arial"/>
          <w:sz w:val="22"/>
          <w:szCs w:val="22"/>
          <w:color w:val="auto"/>
        </w:rPr>
      </w:pPr>
    </w:p>
    <w:p>
      <w:pPr>
        <w:ind w:left="100" w:right="420" w:firstLine="653"/>
        <w:spacing w:after="0"/>
        <w:tabs>
          <w:tab w:leader="none" w:pos="1411" w:val="left"/>
        </w:tabs>
        <w:numPr>
          <w:ilvl w:val="1"/>
          <w:numId w:val="86"/>
        </w:numPr>
        <w:rPr>
          <w:rFonts w:ascii="Arial" w:cs="Arial" w:eastAsia="Arial" w:hAnsi="Arial"/>
          <w:sz w:val="22"/>
          <w:szCs w:val="22"/>
          <w:color w:val="auto"/>
        </w:rPr>
      </w:pPr>
      <w:r>
        <w:rPr>
          <w:rFonts w:ascii="Arial" w:cs="Arial" w:eastAsia="Arial" w:hAnsi="Arial"/>
          <w:sz w:val="22"/>
          <w:szCs w:val="22"/>
          <w:color w:val="auto"/>
        </w:rPr>
        <w:t xml:space="preserve">the adjustments of the Minimum Quarterly Distribution, First Target Distribution, Second Target Distribution and Third Target Distribution in connection with the IDR Reset Election in accordance with </w:t>
      </w:r>
      <w:r>
        <w:rPr>
          <w:rFonts w:ascii="Arial" w:cs="Arial" w:eastAsia="Arial" w:hAnsi="Arial"/>
          <w:sz w:val="22"/>
          <w:szCs w:val="22"/>
          <w:u w:val="single" w:color="auto"/>
          <w:color w:val="auto"/>
        </w:rPr>
        <w:t>Section 5.9</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00" w:right="400" w:firstLine="653"/>
        <w:spacing w:after="0" w:line="251" w:lineRule="auto"/>
        <w:tabs>
          <w:tab w:leader="none" w:pos="1417"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implementation of the provisions relating to GasLog’s right to reset its Incentive Distribution Rights in exchange for Common Units;</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80"/>
          </w:cols>
          <w:pgMar w:left="1440" w:top="334" w:right="279" w:bottom="1440" w:gutter="0" w:footer="0" w:header="0"/>
        </w:sectPr>
      </w:pPr>
    </w:p>
    <w:bookmarkStart w:id="80" w:name="page81"/>
    <w:bookmarkEnd w:id="80"/>
    <w:p>
      <w:pPr>
        <w:ind w:left="1300" w:right="240" w:firstLine="653"/>
        <w:spacing w:after="0" w:line="238" w:lineRule="auto"/>
        <w:tabs>
          <w:tab w:leader="none" w:pos="2623"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any modification of the Incentive Distribution Rights made in connection with the issuance of additional Partnership Interests or rights to acquire Partnership Interests,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this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any such modifications to the Incentive Distribution Rights and the related issuance of Partnership Interests have received Special Approval; or</w:t>
      </w:r>
    </w:p>
    <w:p>
      <w:pPr>
        <w:spacing w:after="0" w:line="185" w:lineRule="exact"/>
        <w:rPr>
          <w:rFonts w:ascii="Arial" w:cs="Arial" w:eastAsia="Arial" w:hAnsi="Arial"/>
          <w:sz w:val="22"/>
          <w:szCs w:val="22"/>
          <w:color w:val="auto"/>
        </w:rPr>
      </w:pPr>
    </w:p>
    <w:p>
      <w:pPr>
        <w:ind w:left="2620" w:hanging="667"/>
        <w:spacing w:after="0"/>
        <w:tabs>
          <w:tab w:leader="none" w:pos="262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amendment expressly permitted in this Agreement to be made by the Board of Directors acting</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alone;</w:t>
      </w:r>
    </w:p>
    <w:p>
      <w:pPr>
        <w:spacing w:after="0" w:line="188" w:lineRule="exact"/>
        <w:rPr>
          <w:rFonts w:ascii="Arial" w:cs="Arial" w:eastAsia="Arial" w:hAnsi="Arial"/>
          <w:sz w:val="19"/>
          <w:szCs w:val="19"/>
          <w:color w:val="auto"/>
        </w:rPr>
      </w:pPr>
    </w:p>
    <w:p>
      <w:pPr>
        <w:ind w:left="1960" w:hanging="655"/>
        <w:spacing w:after="0"/>
        <w:tabs>
          <w:tab w:leader="none" w:pos="19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 amendment effected, necessitated or contemplated by a Merger Agreement approved in accordance with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14.3</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660" w:right="200" w:firstLine="645"/>
        <w:spacing w:after="0" w:line="238" w:lineRule="auto"/>
        <w:tabs>
          <w:tab w:leader="none" w:pos="19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an amendment that the Board of Directors determines to be necessary or appropriate to reflect and account for the formation by the Partnership of, or investment by the Partnership in, any corporation, partnership, joint venture, limited liability company or other Person, in connection with the conduct by the Partnership of activities permitted by the terms of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a conversion, merger or conveyance pursuant to </w:t>
      </w:r>
      <w:r>
        <w:rPr>
          <w:rFonts w:ascii="Arial" w:cs="Arial" w:eastAsia="Arial" w:hAnsi="Arial"/>
          <w:sz w:val="22"/>
          <w:szCs w:val="22"/>
          <w:u w:val="single" w:color="auto"/>
          <w:color w:val="auto"/>
        </w:rPr>
        <w:t>Section 14.3(d)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 amendment to cure any ambiguity, defect or inconsistency; or</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06"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13.2. </w:t>
      </w:r>
      <w:r>
        <w:rPr>
          <w:rFonts w:ascii="Arial" w:cs="Arial" w:eastAsia="Arial" w:hAnsi="Arial"/>
          <w:sz w:val="19"/>
          <w:szCs w:val="19"/>
          <w:i w:val="1"/>
          <w:iCs w:val="1"/>
          <w:color w:val="auto"/>
        </w:rPr>
        <w:t>Amendment Procedures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all amendments to this Agreement shall be made in accordance with the following requirements. Amendments to this Agreement may be proposed only by, or with the written consent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shall have no duty or obligation to propose any amendment to this Agreement and may decline to do so free of any fiduciary duty or obligation whatsoever to the Partnership or any Limited Partner, any Record Holder or any other Person and, in declining to propose an amendment, to the fullest extent permitted by applicable law shall not be required to act in good faith or pursuant to any other standard imposed by this Agreement, any Group Member Agreement, any other agreement contemplated hereby or under the Marshall Islands Act or any other law, rule or regulation. 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to the extent applicable, a proposed amendment shall be effective upon its approval by the Board of Directors and, if applicable,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200" w:lineRule="exact"/>
        <w:rPr>
          <w:sz w:val="20"/>
          <w:szCs w:val="20"/>
          <w:color w:val="auto"/>
        </w:rPr>
      </w:pPr>
    </w:p>
    <w:p>
      <w:pPr>
        <w:spacing w:after="0" w:line="209" w:lineRule="exact"/>
        <w:rPr>
          <w:sz w:val="20"/>
          <w:szCs w:val="20"/>
          <w:color w:val="auto"/>
        </w:rPr>
      </w:pPr>
    </w:p>
    <w:p>
      <w:pPr>
        <w:ind w:right="100" w:firstLine="1297"/>
        <w:spacing w:after="0"/>
        <w:rPr>
          <w:sz w:val="20"/>
          <w:szCs w:val="20"/>
          <w:color w:val="auto"/>
        </w:rPr>
      </w:pPr>
      <w:r>
        <w:rPr>
          <w:rFonts w:ascii="Arial" w:cs="Arial" w:eastAsia="Arial" w:hAnsi="Arial"/>
          <w:sz w:val="22"/>
          <w:szCs w:val="22"/>
          <w:color w:val="auto"/>
        </w:rPr>
        <w:t xml:space="preserve">Section 13.3. </w:t>
      </w:r>
      <w:r>
        <w:rPr>
          <w:rFonts w:ascii="Arial" w:cs="Arial" w:eastAsia="Arial" w:hAnsi="Arial"/>
          <w:sz w:val="22"/>
          <w:szCs w:val="22"/>
          <w:i w:val="1"/>
          <w:iCs w:val="1"/>
          <w:color w:val="auto"/>
        </w:rPr>
        <w:t>Amendment Requirements</w:t>
      </w:r>
      <w:r>
        <w:rPr>
          <w:rFonts w:ascii="Arial" w:cs="Arial" w:eastAsia="Arial" w:hAnsi="Arial"/>
          <w:sz w:val="22"/>
          <w:szCs w:val="22"/>
          <w:color w:val="auto"/>
        </w:rPr>
        <w:t xml:space="preserve">. (a) Notwithstanding the provisions of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13.2</w:t>
      </w:r>
      <w:r>
        <w:rPr>
          <w:rFonts w:ascii="Arial" w:cs="Arial" w:eastAsia="Arial" w:hAnsi="Arial"/>
          <w:sz w:val="22"/>
          <w:szCs w:val="22"/>
          <w:color w:val="auto"/>
        </w:rPr>
        <w:t>, no provision of this Agreement that establishes a percentage of Outstanding Units (including Units deemed owned by the General Partner and its Affiliates)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1" w:name="page82"/>
    <w:bookmarkEnd w:id="81"/>
    <w:p>
      <w:pPr>
        <w:spacing w:after="0"/>
        <w:rPr>
          <w:sz w:val="20"/>
          <w:szCs w:val="20"/>
          <w:color w:val="auto"/>
        </w:rPr>
      </w:pPr>
      <w:r>
        <w:rPr>
          <w:rFonts w:ascii="Arial" w:cs="Arial" w:eastAsia="Arial" w:hAnsi="Arial"/>
          <w:sz w:val="19"/>
          <w:szCs w:val="19"/>
          <w:color w:val="auto"/>
        </w:rPr>
        <w:t>required to take any action shall be amended, altered, changed, repealed or rescinded in any respect that would have the effect of</w:t>
      </w:r>
    </w:p>
    <w:p>
      <w:pPr>
        <w:spacing w:after="0" w:line="43" w:lineRule="exact"/>
        <w:rPr>
          <w:sz w:val="20"/>
          <w:szCs w:val="20"/>
          <w:color w:val="auto"/>
        </w:rPr>
      </w:pPr>
    </w:p>
    <w:p>
      <w:pPr>
        <w:ind w:right="60" w:firstLine="8"/>
        <w:spacing w:after="0" w:line="233" w:lineRule="auto"/>
        <w:tabs>
          <w:tab w:leader="none" w:pos="258"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in the case of any provision of this Agreement other than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13.4</w:t>
      </w:r>
      <w:r>
        <w:rPr>
          <w:rFonts w:ascii="Arial" w:cs="Arial" w:eastAsia="Arial" w:hAnsi="Arial"/>
          <w:sz w:val="22"/>
          <w:szCs w:val="22"/>
          <w:color w:val="auto"/>
        </w:rPr>
        <w:t xml:space="preserve">, reducing such percentage or (ii) in the case of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13.4</w:t>
      </w:r>
      <w:r>
        <w:rPr>
          <w:rFonts w:ascii="Arial" w:cs="Arial" w:eastAsia="Arial" w:hAnsi="Arial"/>
          <w:sz w:val="22"/>
          <w:szCs w:val="22"/>
          <w:color w:val="auto"/>
        </w:rPr>
        <w:t>, increasing such percentage, unless such amendment is approved by the written consent or the affirmative vote of holders of Outstanding Units whose aggregate Outstanding Units constitute not less than the voting requirement sought to be reduced.</w:t>
      </w:r>
    </w:p>
    <w:p>
      <w:pPr>
        <w:spacing w:after="0" w:line="188" w:lineRule="exact"/>
        <w:rPr>
          <w:sz w:val="20"/>
          <w:szCs w:val="20"/>
          <w:color w:val="auto"/>
        </w:rPr>
      </w:pPr>
    </w:p>
    <w:p>
      <w:pPr>
        <w:ind w:left="1960" w:hanging="655"/>
        <w:spacing w:after="0"/>
        <w:tabs>
          <w:tab w:leader="none" w:pos="1960"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no amendment to this Agreement may</w:t>
      </w:r>
    </w:p>
    <w:p>
      <w:pPr>
        <w:spacing w:after="0" w:line="42" w:lineRule="exact"/>
        <w:rPr>
          <w:rFonts w:ascii="Arial" w:cs="Arial" w:eastAsia="Arial" w:hAnsi="Arial"/>
          <w:sz w:val="19"/>
          <w:szCs w:val="19"/>
          <w:color w:val="auto"/>
        </w:rPr>
      </w:pPr>
    </w:p>
    <w:p>
      <w:pPr>
        <w:ind w:firstLine="8"/>
        <w:spacing w:after="0" w:line="280" w:lineRule="auto"/>
        <w:tabs>
          <w:tab w:leader="none" w:pos="25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enlarge the obligations of any Limited Partner without its consent, unless such enlargement shall be deemed to have occurred as a result of an amendment approved pursuant to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w:t>
      </w:r>
    </w:p>
    <w:p>
      <w:pPr>
        <w:spacing w:after="0" w:line="150" w:lineRule="exact"/>
        <w:rPr>
          <w:rFonts w:ascii="Arial" w:cs="Arial" w:eastAsia="Arial" w:hAnsi="Arial"/>
          <w:sz w:val="19"/>
          <w:szCs w:val="19"/>
          <w:color w:val="auto"/>
        </w:rPr>
      </w:pPr>
    </w:p>
    <w:p>
      <w:pPr>
        <w:ind w:right="20" w:firstLine="1305"/>
        <w:spacing w:after="0" w:line="274" w:lineRule="auto"/>
        <w:tabs>
          <w:tab w:leader="none" w:pos="1955"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16.5(c)(i)</w:t>
      </w:r>
      <w:r>
        <w:rPr>
          <w:rFonts w:ascii="Arial" w:cs="Arial" w:eastAsia="Arial" w:hAnsi="Arial"/>
          <w:sz w:val="19"/>
          <w:szCs w:val="19"/>
          <w:color w:val="auto"/>
        </w:rPr>
        <w:t xml:space="preserve"> with respect to Series A Preference Units, </w:t>
      </w:r>
      <w:r>
        <w:rPr>
          <w:rFonts w:ascii="Arial" w:cs="Arial" w:eastAsia="Arial" w:hAnsi="Arial"/>
          <w:sz w:val="19"/>
          <w:szCs w:val="19"/>
          <w:u w:val="single" w:color="auto"/>
          <w:color w:val="auto"/>
        </w:rPr>
        <w:t>Section 17.5(c)(i)</w:t>
      </w:r>
      <w:r>
        <w:rPr>
          <w:rFonts w:ascii="Arial" w:cs="Arial" w:eastAsia="Arial" w:hAnsi="Arial"/>
          <w:sz w:val="19"/>
          <w:szCs w:val="19"/>
          <w:color w:val="auto"/>
        </w:rPr>
        <w:t xml:space="preserve"> with respect to Series B Preference Units and </w:t>
      </w:r>
      <w:r>
        <w:rPr>
          <w:rFonts w:ascii="Arial" w:cs="Arial" w:eastAsia="Arial" w:hAnsi="Arial"/>
          <w:sz w:val="19"/>
          <w:szCs w:val="19"/>
          <w:u w:val="single" w:color="auto"/>
          <w:color w:val="auto"/>
        </w:rPr>
        <w:t>Section 18.5(c)(i)</w:t>
      </w:r>
      <w:r>
        <w:rPr>
          <w:rFonts w:ascii="Arial" w:cs="Arial" w:eastAsia="Arial" w:hAnsi="Arial"/>
          <w:sz w:val="19"/>
          <w:szCs w:val="19"/>
          <w:color w:val="auto"/>
        </w:rPr>
        <w:t xml:space="preserve"> with respect to Series C Preference Units, and without limitation of the Board of Directors’ authority to adopt amendments to this Agreement without the approval of any Partners as contemplated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any amendment that would have a material adverse effect on the rights or preferences of any class or series of Partnership Interests in relation to other classes or series of Partnership Interests must be approved by the holders of not less than a majority of the Outstanding Partnership Interests of the class or series affected. If the General Partner determines an amendment does not satisfy the requirements of </w:t>
      </w:r>
      <w:r>
        <w:rPr>
          <w:rFonts w:ascii="Arial" w:cs="Arial" w:eastAsia="Arial" w:hAnsi="Arial"/>
          <w:sz w:val="19"/>
          <w:szCs w:val="19"/>
          <w:u w:val="single" w:color="auto"/>
          <w:color w:val="auto"/>
        </w:rPr>
        <w:t>Section 13.1(d)(i)</w:t>
      </w:r>
      <w:r>
        <w:rPr>
          <w:rFonts w:ascii="Arial" w:cs="Arial" w:eastAsia="Arial" w:hAnsi="Arial"/>
          <w:sz w:val="19"/>
          <w:szCs w:val="19"/>
          <w:color w:val="auto"/>
        </w:rPr>
        <w:t xml:space="preserve"> because it adversely affects one or more classes of Partnership Interests, as compared to other classes of Partnership Interests, in any material respect, such amendment shall only be required to be approved by the adversely affected class or classes.</w:t>
      </w:r>
    </w:p>
    <w:p>
      <w:pPr>
        <w:spacing w:after="0" w:line="158" w:lineRule="exact"/>
        <w:rPr>
          <w:rFonts w:ascii="Arial" w:cs="Arial" w:eastAsia="Arial" w:hAnsi="Arial"/>
          <w:sz w:val="19"/>
          <w:szCs w:val="19"/>
          <w:color w:val="auto"/>
        </w:rPr>
      </w:pPr>
    </w:p>
    <w:p>
      <w:pPr>
        <w:ind w:right="40" w:firstLine="1305"/>
        <w:spacing w:after="0" w:line="252" w:lineRule="auto"/>
        <w:tabs>
          <w:tab w:leader="none" w:pos="1940" w:val="left"/>
        </w:tabs>
        <w:numPr>
          <w:ilvl w:val="1"/>
          <w:numId w:val="91"/>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Agreement, except for amendments pursuant to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and except as otherwise provided by </w:t>
      </w:r>
      <w:r>
        <w:rPr>
          <w:rFonts w:ascii="Arial" w:cs="Arial" w:eastAsia="Arial" w:hAnsi="Arial"/>
          <w:sz w:val="21"/>
          <w:szCs w:val="21"/>
          <w:u w:val="single" w:color="auto"/>
          <w:color w:val="auto"/>
        </w:rPr>
        <w:t>Section 14.3(b)</w:t>
      </w:r>
      <w:r>
        <w:rPr>
          <w:rFonts w:ascii="Arial" w:cs="Arial" w:eastAsia="Arial" w:hAnsi="Arial"/>
          <w:sz w:val="21"/>
          <w:szCs w:val="21"/>
          <w:color w:val="auto"/>
        </w:rPr>
        <w:t>,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w:t>
      </w:r>
    </w:p>
    <w:p>
      <w:pPr>
        <w:spacing w:after="0" w:line="174" w:lineRule="exact"/>
        <w:rPr>
          <w:rFonts w:ascii="Arial" w:cs="Arial" w:eastAsia="Arial" w:hAnsi="Arial"/>
          <w:sz w:val="21"/>
          <w:szCs w:val="21"/>
          <w:color w:val="auto"/>
        </w:rPr>
      </w:pPr>
    </w:p>
    <w:p>
      <w:pPr>
        <w:ind w:right="80" w:firstLine="1305"/>
        <w:spacing w:after="0" w:line="251" w:lineRule="auto"/>
        <w:tabs>
          <w:tab w:leader="none" w:pos="1955"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shall only be amended with the approval of the holders of at least 90% of the Outstanding Units.</w:t>
      </w:r>
    </w:p>
    <w:p>
      <w:pPr>
        <w:spacing w:after="0" w:line="173"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i w:val="1"/>
          <w:iCs w:val="1"/>
          <w:color w:val="auto"/>
        </w:rPr>
        <w:t>Special Meetings</w:t>
      </w:r>
      <w:r>
        <w:rPr>
          <w:rFonts w:ascii="Arial" w:cs="Arial" w:eastAsia="Arial" w:hAnsi="Arial"/>
          <w:sz w:val="19"/>
          <w:szCs w:val="19"/>
          <w:color w:val="auto"/>
        </w:rPr>
        <w:t xml:space="preserve">. All acts of Limited Partners to be taken pursuant to this Agreement shall be taken in the manner provided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Special meetings of the Limited Partners may be called by the General Partner, the Board of Directors or by Limited Partners owning 20% or more of the Outstanding Units of the class or classes or series for which a meeting is proposed. Limited Partners shall call a special meeting by delivering to the Board of Directors one or more requests in writing stating that the signing Limited Partners wish to call a special meeting and indicating the general or specific purposes for which the special meeting is to be called, it being understood that the purposes of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2" w:name="page83"/>
    <w:bookmarkEnd w:id="82"/>
    <w:p>
      <w:pPr>
        <w:spacing w:after="0" w:line="274" w:lineRule="auto"/>
        <w:rPr>
          <w:sz w:val="20"/>
          <w:szCs w:val="20"/>
          <w:color w:val="auto"/>
        </w:rPr>
      </w:pPr>
      <w:r>
        <w:rPr>
          <w:rFonts w:ascii="Arial" w:cs="Arial" w:eastAsia="Arial" w:hAnsi="Arial"/>
          <w:sz w:val="19"/>
          <w:szCs w:val="19"/>
          <w:color w:val="auto"/>
        </w:rPr>
        <w:t>special meeting may only be to vote on matters that require the vote of the Unitholders pursuant to this Agreement.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Board of Directors shall send a notice of the meeting to the Limited Partners either directly or indirectly through the Transfer Agent. A meeting shall be held at a time and place determined by the Board of Directors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Marshall Islands Act or the law of any other jurisdiction in which the Partnership is qualified to do business.</w:t>
      </w:r>
    </w:p>
    <w:p>
      <w:pPr>
        <w:spacing w:after="0" w:line="159"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 xml:space="preserve">Section 13.5. </w:t>
      </w:r>
      <w:r>
        <w:rPr>
          <w:rFonts w:ascii="Arial" w:cs="Arial" w:eastAsia="Arial" w:hAnsi="Arial"/>
          <w:sz w:val="21"/>
          <w:szCs w:val="21"/>
          <w:i w:val="1"/>
          <w:iCs w:val="1"/>
          <w:color w:val="auto"/>
        </w:rPr>
        <w:t>Notice of a Meeting</w:t>
      </w:r>
      <w:r>
        <w:rPr>
          <w:rFonts w:ascii="Arial" w:cs="Arial" w:eastAsia="Arial" w:hAnsi="Arial"/>
          <w:sz w:val="21"/>
          <w:szCs w:val="21"/>
          <w:color w:val="auto"/>
        </w:rPr>
        <w:t xml:space="preserve">. Notice of a meeting called pursuant to </w:t>
      </w:r>
      <w:r>
        <w:rPr>
          <w:rFonts w:ascii="Arial" w:cs="Arial" w:eastAsia="Arial" w:hAnsi="Arial"/>
          <w:sz w:val="21"/>
          <w:szCs w:val="21"/>
          <w:u w:val="single" w:color="auto"/>
          <w:color w:val="auto"/>
        </w:rPr>
        <w:t>Section 13.4</w:t>
      </w:r>
      <w:r>
        <w:rPr>
          <w:rFonts w:ascii="Arial" w:cs="Arial" w:eastAsia="Arial" w:hAnsi="Arial"/>
          <w:sz w:val="21"/>
          <w:szCs w:val="21"/>
          <w:color w:val="auto"/>
        </w:rPr>
        <w:t xml:space="preserve"> shall be given to the Record Holders of the class, classes or series of Units for which a meeting is proposed in writing by mail or other means of written communication in accordance with </w:t>
      </w:r>
      <w:r>
        <w:rPr>
          <w:rFonts w:ascii="Arial" w:cs="Arial" w:eastAsia="Arial" w:hAnsi="Arial"/>
          <w:sz w:val="21"/>
          <w:szCs w:val="21"/>
          <w:u w:val="single" w:color="auto"/>
          <w:color w:val="auto"/>
        </w:rPr>
        <w:t>Section 19.1</w:t>
      </w:r>
      <w:r>
        <w:rPr>
          <w:rFonts w:ascii="Arial" w:cs="Arial" w:eastAsia="Arial" w:hAnsi="Arial"/>
          <w:sz w:val="21"/>
          <w:szCs w:val="21"/>
          <w:color w:val="auto"/>
        </w:rPr>
        <w:t xml:space="preserve"> at least 10 days in advance of such meeting. The notice shall be deemed to have been given at the time when deposited in the mail or sent by other means of written communication.</w:t>
      </w:r>
    </w:p>
    <w:p>
      <w:pPr>
        <w:spacing w:after="0" w:line="174" w:lineRule="exact"/>
        <w:rPr>
          <w:sz w:val="20"/>
          <w:szCs w:val="20"/>
          <w:color w:val="auto"/>
        </w:rPr>
      </w:pPr>
    </w:p>
    <w:p>
      <w:pPr>
        <w:ind w:right="60" w:firstLine="1297"/>
        <w:spacing w:after="0" w:line="273"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i w:val="1"/>
          <w:iCs w:val="1"/>
          <w:color w:val="auto"/>
        </w:rPr>
        <w:t>Record Date</w:t>
      </w:r>
      <w:r>
        <w:rPr>
          <w:rFonts w:ascii="Arial" w:cs="Arial" w:eastAsia="Arial" w:hAnsi="Arial"/>
          <w:sz w:val="19"/>
          <w:szCs w:val="19"/>
          <w:color w:val="auto"/>
        </w:rPr>
        <w:t xml:space="preserve">. For purposes of determining the Limited Partners entitled to notice of or to vote at a meeting of the Limited Partners or to give approvals without a meeting as provided in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the Board of Directors may set a Record Date, which shall not be less than 10 nor more than 60 days before (a) the date of the meeting (unless such requirement conflicts with any rule, regulation, guideline or requirement of any National 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 the first written approval is deposited with the Partnership in care of the Board of Directors in accordance with </w:t>
      </w:r>
      <w:r>
        <w:rPr>
          <w:rFonts w:ascii="Arial" w:cs="Arial" w:eastAsia="Arial" w:hAnsi="Arial"/>
          <w:sz w:val="19"/>
          <w:szCs w:val="19"/>
          <w:u w:val="single" w:color="auto"/>
          <w:color w:val="auto"/>
        </w:rPr>
        <w:t>Section 13.11</w:t>
      </w:r>
      <w:r>
        <w:rPr>
          <w:rFonts w:ascii="Arial" w:cs="Arial" w:eastAsia="Arial" w:hAnsi="Arial"/>
          <w:sz w:val="19"/>
          <w:szCs w:val="19"/>
          <w:color w:val="auto"/>
        </w:rPr>
        <w:t>.</w:t>
      </w:r>
    </w:p>
    <w:p>
      <w:pPr>
        <w:spacing w:after="0" w:line="156"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 xml:space="preserve">Section 13.7. </w:t>
      </w:r>
      <w:r>
        <w:rPr>
          <w:rFonts w:ascii="Arial" w:cs="Arial" w:eastAsia="Arial" w:hAnsi="Arial"/>
          <w:sz w:val="22"/>
          <w:szCs w:val="22"/>
          <w:i w:val="1"/>
          <w:iCs w:val="1"/>
          <w:color w:val="auto"/>
        </w:rPr>
        <w:t>Adjournment</w:t>
      </w:r>
      <w:r>
        <w:rPr>
          <w:rFonts w:ascii="Arial" w:cs="Arial" w:eastAsia="Arial" w:hAnsi="Arial"/>
          <w:sz w:val="22"/>
          <w:szCs w:val="22"/>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188"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 xml:space="preserve">Section 13.8. </w:t>
      </w:r>
      <w:r>
        <w:rPr>
          <w:rFonts w:ascii="Arial" w:cs="Arial" w:eastAsia="Arial" w:hAnsi="Arial"/>
          <w:sz w:val="22"/>
          <w:szCs w:val="22"/>
          <w:i w:val="1"/>
          <w:iCs w:val="1"/>
          <w:color w:val="auto"/>
        </w:rPr>
        <w:t>Waiver of Notice; Approval of Meeting; Approval of Minutes</w:t>
      </w:r>
      <w:r>
        <w:rPr>
          <w:rFonts w:ascii="Arial" w:cs="Arial" w:eastAsia="Arial" w:hAnsi="Arial"/>
          <w:sz w:val="22"/>
          <w:szCs w:val="22"/>
          <w:color w:val="auto"/>
        </w:rPr>
        <w:t>. The transactions of any meeting of Limited Partners, however called and noticed, and whenever held,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3" w:name="page84"/>
    <w:bookmarkEnd w:id="83"/>
    <w:p>
      <w:pPr>
        <w:ind w:right="40"/>
        <w:spacing w:after="0" w:line="235" w:lineRule="auto"/>
        <w:rPr>
          <w:sz w:val="20"/>
          <w:szCs w:val="20"/>
          <w:color w:val="auto"/>
        </w:rPr>
      </w:pPr>
      <w:r>
        <w:rPr>
          <w:rFonts w:ascii="Arial" w:cs="Arial" w:eastAsia="Arial" w:hAnsi="Arial"/>
          <w:sz w:val="22"/>
          <w:szCs w:val="22"/>
          <w:color w:val="auto"/>
        </w:rPr>
        <w:t>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8" w:lineRule="exact"/>
        <w:rPr>
          <w:sz w:val="20"/>
          <w:szCs w:val="20"/>
          <w:color w:val="auto"/>
        </w:rPr>
      </w:pPr>
    </w:p>
    <w:p>
      <w:pPr>
        <w:ind w:firstLine="1297"/>
        <w:spacing w:after="0" w:line="251" w:lineRule="auto"/>
        <w:rPr>
          <w:sz w:val="20"/>
          <w:szCs w:val="20"/>
          <w:color w:val="auto"/>
        </w:rPr>
      </w:pPr>
      <w:r>
        <w:rPr>
          <w:rFonts w:ascii="Arial" w:cs="Arial" w:eastAsia="Arial" w:hAnsi="Arial"/>
          <w:sz w:val="20"/>
          <w:szCs w:val="20"/>
          <w:color w:val="auto"/>
        </w:rPr>
        <w:t xml:space="preserve">Section 13.9. </w:t>
      </w:r>
      <w:r>
        <w:rPr>
          <w:rFonts w:ascii="Arial" w:cs="Arial" w:eastAsia="Arial" w:hAnsi="Arial"/>
          <w:sz w:val="20"/>
          <w:szCs w:val="20"/>
          <w:i w:val="1"/>
          <w:iCs w:val="1"/>
          <w:color w:val="auto"/>
        </w:rPr>
        <w:t>Quorum and Voting</w:t>
      </w:r>
      <w:r>
        <w:rPr>
          <w:rFonts w:ascii="Arial" w:cs="Arial" w:eastAsia="Arial" w:hAnsi="Arial"/>
          <w:sz w:val="20"/>
          <w:szCs w:val="20"/>
          <w:color w:val="auto"/>
        </w:rPr>
        <w:t>. The holders of 33</w:t>
      </w:r>
      <w:r>
        <w:rPr>
          <w:rFonts w:ascii="Arial" w:cs="Arial" w:eastAsia="Arial" w:hAnsi="Arial"/>
          <w:sz w:val="26"/>
          <w:szCs w:val="26"/>
          <w:color w:val="auto"/>
          <w:vertAlign w:val="superscript"/>
        </w:rPr>
        <w:t>1</w:t>
      </w:r>
      <w:r>
        <w:rPr>
          <w:rFonts w:ascii="Arial" w:cs="Arial" w:eastAsia="Arial" w:hAnsi="Arial"/>
          <w:sz w:val="20"/>
          <w:szCs w:val="20"/>
          <w:color w:val="auto"/>
        </w:rPr>
        <w:t>/</w:t>
      </w:r>
      <w:r>
        <w:rPr>
          <w:rFonts w:ascii="Arial" w:cs="Arial" w:eastAsia="Arial" w:hAnsi="Arial"/>
          <w:sz w:val="13"/>
          <w:szCs w:val="13"/>
          <w:color w:val="auto"/>
        </w:rPr>
        <w:t>3</w:t>
      </w:r>
      <w:r>
        <w:rPr>
          <w:rFonts w:ascii="Arial" w:cs="Arial" w:eastAsia="Arial" w:hAnsi="Arial"/>
          <w:sz w:val="20"/>
          <w:szCs w:val="20"/>
          <w:color w:val="auto"/>
        </w:rPr>
        <w:t xml:space="preserve">% of the Outstanding Units of the class, classes or series for which a meeting has been called (including Outstanding Units deemed owned by the General Partner and its Affiliates) represented in person or by proxy shall constitute a quorum at a meeting of Limited Partners of such class, classes or series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(including Outstanding Units deemed owned by the General Partner and its Affiliates). In the absence of a quorum, any meeting of Limited Partners may be adjourned from time to time by the affirmative vote of holders of at least a majority of the Outstanding Units entitled to vote at such meeting (including Outstanding Units deemed owned by the General Partner and its Affiliates) and represented either in person or by proxy, but no other business may be transacted, except as provided in </w:t>
      </w:r>
      <w:r>
        <w:rPr>
          <w:rFonts w:ascii="Arial" w:cs="Arial" w:eastAsia="Arial" w:hAnsi="Arial"/>
          <w:sz w:val="20"/>
          <w:szCs w:val="20"/>
          <w:u w:val="single" w:color="auto"/>
          <w:color w:val="auto"/>
        </w:rPr>
        <w:t>Section 13.7</w:t>
      </w:r>
      <w:r>
        <w:rPr>
          <w:rFonts w:ascii="Arial" w:cs="Arial" w:eastAsia="Arial" w:hAnsi="Arial"/>
          <w:sz w:val="20"/>
          <w:szCs w:val="20"/>
          <w:color w:val="auto"/>
        </w:rPr>
        <w:t>.</w:t>
      </w:r>
    </w:p>
    <w:p>
      <w:pPr>
        <w:spacing w:after="0" w:line="188" w:lineRule="exact"/>
        <w:rPr>
          <w:sz w:val="20"/>
          <w:szCs w:val="20"/>
          <w:color w:val="auto"/>
        </w:rPr>
      </w:pPr>
    </w:p>
    <w:p>
      <w:pPr>
        <w:ind w:right="80" w:firstLine="1297"/>
        <w:spacing w:after="0" w:line="274" w:lineRule="auto"/>
        <w:rPr>
          <w:sz w:val="20"/>
          <w:szCs w:val="20"/>
          <w:color w:val="auto"/>
        </w:rPr>
      </w:pPr>
      <w:r>
        <w:rPr>
          <w:rFonts w:ascii="Arial" w:cs="Arial" w:eastAsia="Arial" w:hAnsi="Arial"/>
          <w:sz w:val="19"/>
          <w:szCs w:val="19"/>
          <w:color w:val="auto"/>
        </w:rPr>
        <w:t xml:space="preserve">Section 13.10. </w:t>
      </w:r>
      <w:r>
        <w:rPr>
          <w:rFonts w:ascii="Arial" w:cs="Arial" w:eastAsia="Arial" w:hAnsi="Arial"/>
          <w:sz w:val="19"/>
          <w:szCs w:val="19"/>
          <w:i w:val="1"/>
          <w:iCs w:val="1"/>
          <w:color w:val="auto"/>
        </w:rPr>
        <w:t>Conduct of a Meeting</w:t>
      </w:r>
      <w:r>
        <w:rPr>
          <w:rFonts w:ascii="Arial" w:cs="Arial" w:eastAsia="Arial" w:hAnsi="Arial"/>
          <w:sz w:val="19"/>
          <w:szCs w:val="19"/>
          <w:color w:val="auto"/>
        </w:rPr>
        <w:t xml:space="preserve">. The Board of Directors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Arial" w:cs="Arial" w:eastAsia="Arial" w:hAnsi="Arial"/>
          <w:sz w:val="19"/>
          <w:szCs w:val="19"/>
          <w:u w:val="single" w:color="auto"/>
          <w:color w:val="auto"/>
        </w:rPr>
        <w:t>Section 13.4</w:t>
      </w:r>
      <w:r>
        <w:rPr>
          <w:rFonts w:ascii="Arial" w:cs="Arial" w:eastAsia="Arial" w:hAnsi="Arial"/>
          <w:sz w:val="19"/>
          <w:szCs w:val="19"/>
          <w:color w:val="auto"/>
        </w:rPr>
        <w:t>,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4" w:name="page85"/>
    <w:bookmarkEnd w:id="84"/>
    <w:p>
      <w:pPr>
        <w:ind w:right="560"/>
        <w:spacing w:after="0" w:line="251" w:lineRule="auto"/>
        <w:rPr>
          <w:sz w:val="20"/>
          <w:szCs w:val="20"/>
          <w:color w:val="auto"/>
        </w:rPr>
      </w:pPr>
      <w:r>
        <w:rPr>
          <w:rFonts w:ascii="Arial" w:cs="Arial" w:eastAsia="Arial" w:hAnsi="Arial"/>
          <w:sz w:val="22"/>
          <w:szCs w:val="22"/>
          <w:color w:val="auto"/>
        </w:rPr>
        <w:t>votes and approvals, the submission and examination of proxies and other evidence of the right to vote, and the revocation of approvals in writing.</w:t>
      </w:r>
    </w:p>
    <w:p>
      <w:pPr>
        <w:spacing w:after="0" w:line="173"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13.11. </w:t>
      </w:r>
      <w:r>
        <w:rPr>
          <w:rFonts w:ascii="Arial" w:cs="Arial" w:eastAsia="Arial" w:hAnsi="Arial"/>
          <w:sz w:val="19"/>
          <w:szCs w:val="19"/>
          <w:i w:val="1"/>
          <w:iCs w:val="1"/>
          <w:color w:val="auto"/>
        </w:rPr>
        <w:t>Action Without a Meeting</w:t>
      </w:r>
      <w:r>
        <w:rPr>
          <w:rFonts w:ascii="Arial" w:cs="Arial" w:eastAsia="Arial" w:hAnsi="Arial"/>
          <w:sz w:val="19"/>
          <w:szCs w:val="19"/>
          <w:color w:val="auto"/>
        </w:rPr>
        <w:t>. If authorized by the Board of Directors, any action that may be taken at a meeting of the Limited Partners may be taken without a meeting if an approval in writing setting forth the action so taken is signed by Limited Partners owning not less than the minimum percentage of the Outstanding Units (including Units deemed owned by the General Partner and its Affiliates)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 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applicable statutes then governing the rights, duties and liabilities of the Partnership and the Partners.</w:t>
      </w:r>
    </w:p>
    <w:p>
      <w:pPr>
        <w:spacing w:after="0" w:line="16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 xml:space="preserve">Section 13.12. </w:t>
      </w:r>
      <w:r>
        <w:rPr>
          <w:rFonts w:ascii="Arial" w:cs="Arial" w:eastAsia="Arial" w:hAnsi="Arial"/>
          <w:sz w:val="19"/>
          <w:szCs w:val="19"/>
          <w:i w:val="1"/>
          <w:iCs w:val="1"/>
          <w:color w:val="auto"/>
        </w:rPr>
        <w:t>Right to Vote and Related Matters</w:t>
      </w:r>
      <w:r>
        <w:rPr>
          <w:rFonts w:ascii="Arial" w:cs="Arial" w:eastAsia="Arial" w:hAnsi="Arial"/>
          <w:sz w:val="19"/>
          <w:szCs w:val="19"/>
          <w:color w:val="auto"/>
        </w:rPr>
        <w:t xml:space="preserve">. (a) Only those Record Holders of the Units on the Record Date set pursuant to </w:t>
      </w:r>
      <w:r>
        <w:rPr>
          <w:rFonts w:ascii="Arial" w:cs="Arial" w:eastAsia="Arial" w:hAnsi="Arial"/>
          <w:sz w:val="19"/>
          <w:szCs w:val="19"/>
          <w:u w:val="single" w:color="auto"/>
          <w:color w:val="auto"/>
        </w:rPr>
        <w:t>Section 13.6</w:t>
      </w:r>
      <w:r>
        <w:rPr>
          <w:rFonts w:ascii="Arial" w:cs="Arial" w:eastAsia="Arial" w:hAnsi="Arial"/>
          <w:sz w:val="19"/>
          <w:szCs w:val="19"/>
          <w:color w:val="auto"/>
        </w:rPr>
        <w:t xml:space="preserve">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148" w:lineRule="exact"/>
        <w:rPr>
          <w:sz w:val="20"/>
          <w:szCs w:val="20"/>
          <w:color w:val="auto"/>
        </w:rPr>
      </w:pPr>
    </w:p>
    <w:p>
      <w:pPr>
        <w:ind w:right="40" w:firstLine="1305"/>
        <w:spacing w:after="0" w:line="279" w:lineRule="auto"/>
        <w:tabs>
          <w:tab w:leader="none" w:pos="1954"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w:t>
      </w:r>
      <w:r>
        <w:rPr>
          <w:rFonts w:ascii="Arial" w:cs="Arial" w:eastAsia="Arial" w:hAnsi="Arial"/>
          <w:sz w:val="19"/>
          <w:szCs w:val="19"/>
          <w:u w:val="single" w:color="auto"/>
          <w:color w:val="auto"/>
        </w:rPr>
        <w:t>Section 13.12(b)</w:t>
      </w:r>
      <w:r>
        <w:rPr>
          <w:rFonts w:ascii="Arial" w:cs="Arial" w:eastAsia="Arial" w:hAnsi="Arial"/>
          <w:sz w:val="19"/>
          <w:szCs w:val="19"/>
          <w:color w:val="auto"/>
        </w:rPr>
        <w:t xml:space="preserve"> (as well as all other provisions of this Agreement) are subject to the provisions of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MERGER, CONSOLIDATION OR CONVERSION</w:t>
      </w:r>
    </w:p>
    <w:p>
      <w:pPr>
        <w:spacing w:after="0" w:line="188" w:lineRule="exact"/>
        <w:rPr>
          <w:sz w:val="20"/>
          <w:szCs w:val="20"/>
          <w:color w:val="auto"/>
        </w:rPr>
      </w:pPr>
    </w:p>
    <w:p>
      <w:pPr>
        <w:ind w:right="100" w:firstLine="1297"/>
        <w:spacing w:after="0" w:line="249" w:lineRule="auto"/>
        <w:rPr>
          <w:sz w:val="20"/>
          <w:szCs w:val="20"/>
          <w:color w:val="auto"/>
        </w:rPr>
      </w:pPr>
      <w:r>
        <w:rPr>
          <w:rFonts w:ascii="Arial" w:cs="Arial" w:eastAsia="Arial" w:hAnsi="Arial"/>
          <w:sz w:val="21"/>
          <w:szCs w:val="21"/>
          <w:color w:val="auto"/>
        </w:rPr>
        <w:t xml:space="preserve">Section 14.1. </w:t>
      </w:r>
      <w:r>
        <w:rPr>
          <w:rFonts w:ascii="Arial" w:cs="Arial" w:eastAsia="Arial" w:hAnsi="Arial"/>
          <w:sz w:val="21"/>
          <w:szCs w:val="21"/>
          <w:i w:val="1"/>
          <w:iCs w:val="1"/>
          <w:color w:val="auto"/>
        </w:rPr>
        <w:t>Authority</w:t>
      </w:r>
      <w:r>
        <w:rPr>
          <w:rFonts w:ascii="Arial" w:cs="Arial" w:eastAsia="Arial" w:hAnsi="Arial"/>
          <w:sz w:val="21"/>
          <w:szCs w:val="21"/>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pursuant to a written agreement of merger or consolidation (“</w:t>
      </w:r>
      <w:r>
        <w:rPr>
          <w:rFonts w:ascii="Arial" w:cs="Arial" w:eastAsia="Arial" w:hAnsi="Arial"/>
          <w:sz w:val="21"/>
          <w:szCs w:val="21"/>
          <w:b w:val="1"/>
          <w:bCs w:val="1"/>
          <w:i w:val="1"/>
          <w:iCs w:val="1"/>
          <w:color w:val="auto"/>
        </w:rPr>
        <w:t>Merger Agreement</w:t>
      </w:r>
      <w:r>
        <w:rPr>
          <w:rFonts w:ascii="Arial" w:cs="Arial" w:eastAsia="Arial" w:hAnsi="Arial"/>
          <w:sz w:val="21"/>
          <w:szCs w:val="21"/>
          <w:color w:val="auto"/>
        </w:rPr>
        <w:t>”) or a written plan of conversion (“</w:t>
      </w:r>
      <w:r>
        <w:rPr>
          <w:rFonts w:ascii="Arial" w:cs="Arial" w:eastAsia="Arial" w:hAnsi="Arial"/>
          <w:sz w:val="21"/>
          <w:szCs w:val="21"/>
          <w:b w:val="1"/>
          <w:bCs w:val="1"/>
          <w:i w:val="1"/>
          <w:iCs w:val="1"/>
          <w:color w:val="auto"/>
        </w:rPr>
        <w:t>Plan of</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Conversion</w:t>
      </w:r>
      <w:r>
        <w:rPr>
          <w:rFonts w:ascii="Arial" w:cs="Arial" w:eastAsia="Arial" w:hAnsi="Arial"/>
          <w:sz w:val="21"/>
          <w:szCs w:val="21"/>
          <w:color w:val="auto"/>
        </w:rPr>
        <w:t>”), as the case may be, in accordance with this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Article XIV</w:t>
      </w:r>
      <w:r>
        <w:rPr>
          <w:rFonts w:ascii="Arial" w:cs="Arial" w:eastAsia="Arial" w:hAnsi="Arial"/>
          <w:sz w:val="21"/>
          <w:szCs w:val="21"/>
          <w:color w:val="auto"/>
        </w:rPr>
        <w:t>.</w:t>
      </w:r>
    </w:p>
    <w:p>
      <w:pPr>
        <w:spacing w:after="0" w:line="179"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i w:val="1"/>
          <w:iCs w:val="1"/>
          <w:color w:val="auto"/>
        </w:rPr>
        <w:t>Procedure for Merger, Consolidation or Conversion</w:t>
      </w:r>
      <w:r>
        <w:rPr>
          <w:rFonts w:ascii="Arial" w:cs="Arial" w:eastAsia="Arial" w:hAnsi="Arial"/>
          <w:sz w:val="21"/>
          <w:szCs w:val="21"/>
          <w:color w:val="auto"/>
        </w:rPr>
        <w:t xml:space="preserve">. (a) Merger, consolidation or conversion of the Partnership pursuant to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requires the approval of the Board of Directors and the prior consent of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to the fullest extent permitted by law, neither the Board of Directors nor the General Partner shall have a duty or obligation to consent to any merger, consolidation or conversion of the Partnership and may decline to do so free of any fiduciary duty or obligation whatsoever to the Partnership or any Limited Partner and, in declining to consent to a merger, consolidation or conversion, shall not be required to act in good faith or pursuant to any other standard imposed by this Agreement, any Group Member Agreement, any other agreement contemplated hereby or under the Marshall Islands Act or any other law, rule or regulation or at equity.</w:t>
      </w:r>
    </w:p>
    <w:p>
      <w:pPr>
        <w:spacing w:after="0" w:line="181" w:lineRule="exact"/>
        <w:rPr>
          <w:sz w:val="20"/>
          <w:szCs w:val="20"/>
          <w:color w:val="auto"/>
        </w:rPr>
      </w:pPr>
    </w:p>
    <w:p>
      <w:pPr>
        <w:ind w:right="140" w:firstLine="1305"/>
        <w:spacing w:after="0" w:line="328" w:lineRule="auto"/>
        <w:tabs>
          <w:tab w:leader="none" w:pos="1954"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the Board of Directors and the General Partner shall determine to consent to the merger, consolidation or conversion, the Board of Directors and the General Partner shall approve the Merger Agreement, which shall set forth:</w:t>
      </w:r>
    </w:p>
    <w:p>
      <w:pPr>
        <w:spacing w:after="0" w:line="105" w:lineRule="exact"/>
        <w:rPr>
          <w:sz w:val="20"/>
          <w:szCs w:val="20"/>
          <w:color w:val="auto"/>
        </w:rPr>
      </w:pPr>
    </w:p>
    <w:p>
      <w:pPr>
        <w:ind w:left="1960" w:hanging="655"/>
        <w:spacing w:after="0"/>
        <w:tabs>
          <w:tab w:leader="none" w:pos="19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names and jurisdictions of formation or organization of each of the business entities proposing to merge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consolidate;</w:t>
      </w:r>
    </w:p>
    <w:p>
      <w:pPr>
        <w:spacing w:after="0" w:line="188" w:lineRule="exact"/>
        <w:rPr>
          <w:rFonts w:ascii="Arial" w:cs="Arial" w:eastAsia="Arial" w:hAnsi="Arial"/>
          <w:sz w:val="19"/>
          <w:szCs w:val="19"/>
          <w:color w:val="auto"/>
        </w:rPr>
      </w:pPr>
    </w:p>
    <w:p>
      <w:pPr>
        <w:ind w:left="660" w:right="160" w:firstLine="645"/>
        <w:spacing w:after="0" w:line="251" w:lineRule="auto"/>
        <w:tabs>
          <w:tab w:leader="none" w:pos="197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name and jurisdiction of formation or organization of the business entity that is to survive the proposed merger or consolidation (the “</w:t>
      </w:r>
      <w:r>
        <w:rPr>
          <w:rFonts w:ascii="Arial" w:cs="Arial" w:eastAsia="Arial" w:hAnsi="Arial"/>
          <w:sz w:val="22"/>
          <w:szCs w:val="22"/>
          <w:i w:val="1"/>
          <w:iCs w:val="1"/>
          <w:color w:val="auto"/>
        </w:rPr>
        <w:t>Surviving Business Entity</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980" w:hanging="675"/>
        <w:spacing w:after="0"/>
        <w:tabs>
          <w:tab w:leader="none" w:pos="19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terms and conditions of the proposed merger or consolidation;</w:t>
      </w:r>
    </w:p>
    <w:p>
      <w:pPr>
        <w:spacing w:after="0" w:line="206" w:lineRule="exact"/>
        <w:rPr>
          <w:rFonts w:ascii="Arial" w:cs="Arial" w:eastAsia="Arial" w:hAnsi="Arial"/>
          <w:sz w:val="22"/>
          <w:szCs w:val="22"/>
          <w:color w:val="auto"/>
        </w:rPr>
      </w:pPr>
    </w:p>
    <w:p>
      <w:pPr>
        <w:ind w:left="660" w:firstLine="645"/>
        <w:spacing w:after="0" w:line="275" w:lineRule="auto"/>
        <w:tabs>
          <w:tab w:leader="none" w:pos="1971"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manner and basis of exchanging or converting the equity securities of each constituent business entity for, or into, cash, property or interests, rights, securities or obligations of the Surviving Business Entity; and (A) if any interests, securities or rights of any constituent business entity are not to be exchanged or converted solely for, or into, cash, property or interests, rights, securities or obligations of the Surviving Business Entity, the cash, property or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(B) in the case of securities represented by certificates, upon the surrender of such certificates, which cash, property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86" w:name="page87"/>
    <w:bookmarkEnd w:id="86"/>
    <w:p>
      <w:pPr>
        <w:ind w:left="620" w:right="360"/>
        <w:spacing w:after="0"/>
        <w:rPr>
          <w:sz w:val="20"/>
          <w:szCs w:val="20"/>
          <w:color w:val="auto"/>
        </w:rPr>
      </w:pPr>
      <w:r>
        <w:rPr>
          <w:rFonts w:ascii="Arial" w:cs="Arial" w:eastAsia="Arial" w:hAnsi="Arial"/>
          <w:sz w:val="22"/>
          <w:szCs w:val="22"/>
          <w:color w:val="auto"/>
        </w:rPr>
        <w:t>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186" w:lineRule="exact"/>
        <w:rPr>
          <w:sz w:val="20"/>
          <w:szCs w:val="20"/>
          <w:color w:val="auto"/>
        </w:rPr>
      </w:pPr>
    </w:p>
    <w:p>
      <w:pPr>
        <w:ind w:left="620" w:right="60" w:firstLine="645"/>
        <w:spacing w:after="0" w:line="238" w:lineRule="auto"/>
        <w:tabs>
          <w:tab w:leader="none" w:pos="1925"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5" w:lineRule="exact"/>
        <w:rPr>
          <w:rFonts w:ascii="Arial" w:cs="Arial" w:eastAsia="Arial" w:hAnsi="Arial"/>
          <w:sz w:val="22"/>
          <w:szCs w:val="22"/>
          <w:color w:val="auto"/>
        </w:rPr>
      </w:pPr>
    </w:p>
    <w:p>
      <w:pPr>
        <w:ind w:left="620" w:right="160" w:firstLine="645"/>
        <w:spacing w:after="0" w:line="287" w:lineRule="auto"/>
        <w:tabs>
          <w:tab w:leader="none" w:pos="1931"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effective time of the merger, which may be the date of the filing of the certificate of merger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or a later date specified in or determinable in accordance with the Merger Agreement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43" w:lineRule="exact"/>
        <w:rPr>
          <w:rFonts w:ascii="Arial" w:cs="Arial" w:eastAsia="Arial" w:hAnsi="Arial"/>
          <w:sz w:val="19"/>
          <w:szCs w:val="19"/>
          <w:color w:val="auto"/>
        </w:rPr>
      </w:pPr>
    </w:p>
    <w:p>
      <w:pPr>
        <w:ind w:left="620" w:right="240" w:firstLine="645"/>
        <w:spacing w:after="0" w:line="251" w:lineRule="auto"/>
        <w:tabs>
          <w:tab w:leader="none" w:pos="1937" w:val="left"/>
        </w:tabs>
        <w:numPr>
          <w:ilvl w:val="0"/>
          <w:numId w:val="95"/>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merger or consolidation that the Board of Directors and the General Partner determine to be necessary or appropriate.</w:t>
      </w:r>
    </w:p>
    <w:p>
      <w:pPr>
        <w:spacing w:after="0" w:line="173" w:lineRule="exact"/>
        <w:rPr>
          <w:sz w:val="20"/>
          <w:szCs w:val="20"/>
          <w:color w:val="auto"/>
        </w:rPr>
      </w:pPr>
    </w:p>
    <w:p>
      <w:pPr>
        <w:ind w:left="-40" w:right="200" w:firstLine="1305"/>
        <w:spacing w:after="0" w:line="251" w:lineRule="auto"/>
        <w:tabs>
          <w:tab w:leader="none" w:pos="1915"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the Board of Directors and the General Partner shall determine to consent to the conversion the Board of Directors and the General Partner shall approve the Plan of Conversion, which shall set forth:</w:t>
      </w:r>
    </w:p>
    <w:p>
      <w:pPr>
        <w:spacing w:after="0" w:line="173" w:lineRule="exact"/>
        <w:rPr>
          <w:sz w:val="20"/>
          <w:szCs w:val="20"/>
          <w:color w:val="auto"/>
        </w:rPr>
      </w:pPr>
    </w:p>
    <w:p>
      <w:pPr>
        <w:ind w:left="1920" w:hanging="655"/>
        <w:spacing w:after="0"/>
        <w:tabs>
          <w:tab w:leader="none" w:pos="19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name of the converting entity and the converted entity;</w:t>
      </w:r>
    </w:p>
    <w:p>
      <w:pPr>
        <w:spacing w:after="0" w:line="206" w:lineRule="exact"/>
        <w:rPr>
          <w:rFonts w:ascii="Arial" w:cs="Arial" w:eastAsia="Arial" w:hAnsi="Arial"/>
          <w:sz w:val="22"/>
          <w:szCs w:val="22"/>
          <w:color w:val="auto"/>
        </w:rPr>
      </w:pPr>
    </w:p>
    <w:p>
      <w:pPr>
        <w:ind w:left="1940" w:hanging="675"/>
        <w:spacing w:after="0"/>
        <w:tabs>
          <w:tab w:leader="none" w:pos="19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statement that the Partnership is continuing its existence in the organizational form of the converted entity;</w:t>
      </w:r>
    </w:p>
    <w:p>
      <w:pPr>
        <w:spacing w:after="0" w:line="240" w:lineRule="exact"/>
        <w:rPr>
          <w:rFonts w:ascii="Arial" w:cs="Arial" w:eastAsia="Arial" w:hAnsi="Arial"/>
          <w:sz w:val="19"/>
          <w:szCs w:val="19"/>
          <w:color w:val="auto"/>
        </w:rPr>
      </w:pPr>
    </w:p>
    <w:p>
      <w:pPr>
        <w:ind w:left="620" w:firstLine="645"/>
        <w:spacing w:after="0" w:line="251" w:lineRule="auto"/>
        <w:tabs>
          <w:tab w:leader="none" w:pos="1943" w:val="left"/>
        </w:tabs>
        <w:numPr>
          <w:ilvl w:val="0"/>
          <w:numId w:val="97"/>
        </w:numPr>
        <w:rPr>
          <w:rFonts w:ascii="Arial" w:cs="Arial" w:eastAsia="Arial" w:hAnsi="Arial"/>
          <w:sz w:val="22"/>
          <w:szCs w:val="22"/>
          <w:color w:val="auto"/>
        </w:rPr>
      </w:pPr>
      <w:r>
        <w:rPr>
          <w:rFonts w:ascii="Arial" w:cs="Arial" w:eastAsia="Arial" w:hAnsi="Arial"/>
          <w:sz w:val="22"/>
          <w:szCs w:val="22"/>
          <w:color w:val="auto"/>
        </w:rPr>
        <w:t>a statement as to the type of entity that the converted entity is to be and the state or country under the laws of which the converted entity is to be incorporated, formed or organized;</w:t>
      </w:r>
    </w:p>
    <w:p>
      <w:pPr>
        <w:spacing w:after="0" w:line="173" w:lineRule="exact"/>
        <w:rPr>
          <w:rFonts w:ascii="Arial" w:cs="Arial" w:eastAsia="Arial" w:hAnsi="Arial"/>
          <w:sz w:val="22"/>
          <w:szCs w:val="22"/>
          <w:color w:val="auto"/>
        </w:rPr>
      </w:pPr>
    </w:p>
    <w:p>
      <w:pPr>
        <w:jc w:val="both"/>
        <w:ind w:left="620" w:right="320" w:firstLine="645"/>
        <w:spacing w:after="0"/>
        <w:tabs>
          <w:tab w:leader="none" w:pos="193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86" w:lineRule="exact"/>
        <w:rPr>
          <w:rFonts w:ascii="Arial" w:cs="Arial" w:eastAsia="Arial" w:hAnsi="Arial"/>
          <w:sz w:val="22"/>
          <w:szCs w:val="22"/>
          <w:color w:val="auto"/>
        </w:rPr>
      </w:pPr>
    </w:p>
    <w:p>
      <w:pPr>
        <w:ind w:left="1920" w:hanging="655"/>
        <w:spacing w:after="0"/>
        <w:tabs>
          <w:tab w:leader="none" w:pos="19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of the Partnership;</w:t>
      </w:r>
    </w:p>
    <w:p>
      <w:pPr>
        <w:spacing w:after="0" w:line="206" w:lineRule="exact"/>
        <w:rPr>
          <w:rFonts w:ascii="Arial" w:cs="Arial" w:eastAsia="Arial" w:hAnsi="Arial"/>
          <w:sz w:val="22"/>
          <w:szCs w:val="22"/>
          <w:color w:val="auto"/>
        </w:rPr>
      </w:pPr>
    </w:p>
    <w:p>
      <w:pPr>
        <w:ind w:left="620" w:right="820" w:firstLine="645"/>
        <w:spacing w:after="0" w:line="251" w:lineRule="auto"/>
        <w:tabs>
          <w:tab w:leader="none" w:pos="1931"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certificate of formation, articles of incorporation, or other organizational documents of the converted entity;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4" w:right="259" w:bottom="1440" w:gutter="0" w:footer="0" w:header="0"/>
        </w:sectPr>
      </w:pPr>
    </w:p>
    <w:bookmarkStart w:id="87" w:name="page88"/>
    <w:bookmarkEnd w:id="87"/>
    <w:p>
      <w:pPr>
        <w:ind w:left="660" w:right="20" w:firstLine="645"/>
        <w:spacing w:after="0" w:line="238" w:lineRule="auto"/>
        <w:tabs>
          <w:tab w:leader="none" w:pos="1977"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22"/>
          <w:szCs w:val="22"/>
          <w:i w:val="1"/>
          <w:iCs w:val="1"/>
          <w:color w:val="auto"/>
        </w:rPr>
        <w:t>provided</w:t>
      </w:r>
      <w:r>
        <w:rPr>
          <w:rFonts w:ascii="Arial" w:cs="Arial" w:eastAsia="Arial" w:hAnsi="Arial"/>
          <w:sz w:val="22"/>
          <w:szCs w:val="22"/>
          <w:color w:val="auto"/>
        </w:rPr>
        <w:t>, that if the effective time of the conversion is to be later than the date of the filing of such articles of conversion, the effective time shall be fixed at a date or time certain and stated in such articles of conversion); and</w:t>
      </w:r>
    </w:p>
    <w:p>
      <w:pPr>
        <w:spacing w:after="0" w:line="185" w:lineRule="exact"/>
        <w:rPr>
          <w:rFonts w:ascii="Arial" w:cs="Arial" w:eastAsia="Arial" w:hAnsi="Arial"/>
          <w:sz w:val="22"/>
          <w:szCs w:val="22"/>
          <w:color w:val="auto"/>
        </w:rPr>
      </w:pPr>
    </w:p>
    <w:p>
      <w:pPr>
        <w:ind w:left="660" w:firstLine="645"/>
        <w:spacing w:after="0" w:line="251" w:lineRule="auto"/>
        <w:tabs>
          <w:tab w:leader="none" w:pos="1983" w:val="left"/>
        </w:tabs>
        <w:numPr>
          <w:ilvl w:val="0"/>
          <w:numId w:val="98"/>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conversion the Board of Directors and the General Partner determines to be necessary or appropriate.</w:t>
      </w:r>
    </w:p>
    <w:p>
      <w:pPr>
        <w:spacing w:after="0" w:line="173" w:lineRule="exact"/>
        <w:rPr>
          <w:sz w:val="20"/>
          <w:szCs w:val="20"/>
          <w:color w:val="auto"/>
        </w:rPr>
      </w:pPr>
    </w:p>
    <w:p>
      <w:pPr>
        <w:ind w:right="300" w:firstLine="1297"/>
        <w:spacing w:after="0" w:line="247" w:lineRule="auto"/>
        <w:rPr>
          <w:sz w:val="20"/>
          <w:szCs w:val="20"/>
          <w:color w:val="auto"/>
        </w:rPr>
      </w:pPr>
      <w:r>
        <w:rPr>
          <w:rFonts w:ascii="Arial" w:cs="Arial" w:eastAsia="Arial" w:hAnsi="Arial"/>
          <w:sz w:val="21"/>
          <w:szCs w:val="21"/>
          <w:color w:val="auto"/>
        </w:rPr>
        <w:t xml:space="preserve">Section 14.3. </w:t>
      </w:r>
      <w:r>
        <w:rPr>
          <w:rFonts w:ascii="Arial" w:cs="Arial" w:eastAsia="Arial" w:hAnsi="Arial"/>
          <w:sz w:val="21"/>
          <w:szCs w:val="21"/>
          <w:i w:val="1"/>
          <w:iCs w:val="1"/>
          <w:color w:val="auto"/>
        </w:rPr>
        <w:t>Approval by Limited Partners of Merger, Consolidation or Conversion</w:t>
      </w:r>
      <w:r>
        <w:rPr>
          <w:rFonts w:ascii="Arial" w:cs="Arial" w:eastAsia="Arial" w:hAnsi="Arial"/>
          <w:sz w:val="21"/>
          <w:szCs w:val="21"/>
          <w:color w:val="auto"/>
        </w:rPr>
        <w:t xml:space="preserve">. (a) 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xml:space="preserve">, the Board of Directors, upon its and the General Partner’s approval of the Merger Agreement or the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w:t>
      </w:r>
      <w:r>
        <w:rPr>
          <w:rFonts w:ascii="Arial" w:cs="Arial" w:eastAsia="Arial" w:hAnsi="Arial"/>
          <w:sz w:val="21"/>
          <w:szCs w:val="21"/>
          <w:u w:val="single" w:color="auto"/>
          <w:color w:val="auto"/>
        </w:rPr>
        <w:t>Article XIII</w:t>
      </w:r>
      <w:r>
        <w:rPr>
          <w:rFonts w:ascii="Arial" w:cs="Arial" w:eastAsia="Arial" w:hAnsi="Arial"/>
          <w:sz w:val="21"/>
          <w:szCs w:val="21"/>
          <w:color w:val="auto"/>
        </w:rPr>
        <w:t>. A copy or a summary of the Merger Agreement or the Plan of Conversion, as the case may be, shall be included in or enclosed with the notice of a special meeting or the written consent.</w:t>
      </w:r>
    </w:p>
    <w:p>
      <w:pPr>
        <w:spacing w:after="0" w:line="178" w:lineRule="exact"/>
        <w:rPr>
          <w:sz w:val="20"/>
          <w:szCs w:val="20"/>
          <w:color w:val="auto"/>
        </w:rPr>
      </w:pPr>
    </w:p>
    <w:p>
      <w:pPr>
        <w:ind w:right="100" w:firstLine="1305"/>
        <w:spacing w:after="0" w:line="274" w:lineRule="auto"/>
        <w:tabs>
          <w:tab w:leader="none" w:pos="1954"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the Merger Agreement or Plan of Conversion, as the case may be, shall be approved upon receiving the affirmative vote or consent of the holders of a Unit Majority.</w:t>
      </w:r>
    </w:p>
    <w:p>
      <w:pPr>
        <w:spacing w:after="0" w:line="150" w:lineRule="exact"/>
        <w:rPr>
          <w:rFonts w:ascii="Arial" w:cs="Arial" w:eastAsia="Arial" w:hAnsi="Arial"/>
          <w:sz w:val="21"/>
          <w:szCs w:val="21"/>
          <w:color w:val="auto"/>
        </w:rPr>
      </w:pPr>
    </w:p>
    <w:p>
      <w:pPr>
        <w:jc w:val="both"/>
        <w:ind w:right="40" w:firstLine="1305"/>
        <w:spacing w:after="0" w:line="238" w:lineRule="auto"/>
        <w:tabs>
          <w:tab w:leader="none" w:pos="1955"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14.3(d)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14.3(e)</w:t>
      </w:r>
      <w:r>
        <w:rPr>
          <w:rFonts w:ascii="Arial" w:cs="Arial" w:eastAsia="Arial" w:hAnsi="Arial"/>
          <w:sz w:val="22"/>
          <w:szCs w:val="22"/>
          <w:color w:val="auto"/>
        </w:rPr>
        <w:t xml:space="preserve">, after such approval by vote or consent of the Limited Partners, and at any time prior to the filing of the certificate of merger or certificate of conversion pursuant to </w:t>
      </w:r>
      <w:r>
        <w:rPr>
          <w:rFonts w:ascii="Arial" w:cs="Arial" w:eastAsia="Arial" w:hAnsi="Arial"/>
          <w:sz w:val="22"/>
          <w:szCs w:val="22"/>
          <w:u w:val="single" w:color="auto"/>
          <w:color w:val="auto"/>
        </w:rPr>
        <w:t>Section 14.4</w:t>
      </w:r>
      <w:r>
        <w:rPr>
          <w:rFonts w:ascii="Arial" w:cs="Arial" w:eastAsia="Arial" w:hAnsi="Arial"/>
          <w:sz w:val="22"/>
          <w:szCs w:val="22"/>
          <w:color w:val="auto"/>
        </w:rPr>
        <w:t>, the merger, consolidation or conversion may be abandoned pursuant to provisions therefor, if any, set forth in the Merger Agreement or Plan of Conversion, as the case may be.</w:t>
      </w:r>
    </w:p>
    <w:p>
      <w:pPr>
        <w:spacing w:after="0" w:line="185" w:lineRule="exact"/>
        <w:rPr>
          <w:rFonts w:ascii="Arial" w:cs="Arial" w:eastAsia="Arial" w:hAnsi="Arial"/>
          <w:sz w:val="22"/>
          <w:szCs w:val="22"/>
          <w:color w:val="auto"/>
        </w:rPr>
      </w:pPr>
    </w:p>
    <w:p>
      <w:pPr>
        <w:ind w:right="60" w:firstLine="1305"/>
        <w:spacing w:after="0" w:line="274" w:lineRule="auto"/>
        <w:tabs>
          <w:tab w:leader="none" w:pos="1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 (ii) the sole purpose of such conversion, merger or conveyance 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158" w:lineRule="exact"/>
        <w:rPr>
          <w:rFonts w:ascii="Arial" w:cs="Arial" w:eastAsia="Arial" w:hAnsi="Arial"/>
          <w:sz w:val="19"/>
          <w:szCs w:val="19"/>
          <w:color w:val="auto"/>
        </w:rPr>
      </w:pPr>
    </w:p>
    <w:p>
      <w:pPr>
        <w:jc w:val="both"/>
        <w:ind w:right="60" w:firstLine="1305"/>
        <w:spacing w:after="0" w:line="297" w:lineRule="auto"/>
        <w:tabs>
          <w:tab w:leader="none" w:pos="1955"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Additionally, 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with the prior consent of the General Partner, is permitted, without Limited Partner approval, to merge or consolidate the Partnership with or into another entity if (i) the Board of Directors has received an Opinion of Counsel that the merger 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8" w:name="page89"/>
    <w:bookmarkEnd w:id="88"/>
    <w:p>
      <w:pPr>
        <w:ind w:right="80"/>
        <w:spacing w:after="0" w:line="234" w:lineRule="auto"/>
        <w:rPr>
          <w:sz w:val="20"/>
          <w:szCs w:val="20"/>
          <w:color w:val="auto"/>
        </w:rPr>
      </w:pPr>
      <w:r>
        <w:rPr>
          <w:rFonts w:ascii="Arial" w:cs="Arial" w:eastAsia="Arial" w:hAnsi="Arial"/>
          <w:sz w:val="22"/>
          <w:szCs w:val="22"/>
          <w:color w:val="auto"/>
        </w:rPr>
        <w:t xml:space="preserve">consolidation, as the case may be, would not result in the loss of the limited liability of any Limited Partner, (ii) the merger or consolidation would not result in an amendment to this Agreement, other than any amendments that could be adopted pursuant to </w:t>
      </w:r>
      <w:r>
        <w:rPr>
          <w:rFonts w:ascii="Arial" w:cs="Arial" w:eastAsia="Arial" w:hAnsi="Arial"/>
          <w:sz w:val="22"/>
          <w:szCs w:val="22"/>
          <w:u w:val="single" w:color="auto"/>
          <w:color w:val="auto"/>
        </w:rPr>
        <w:t>Section 13.1</w:t>
      </w:r>
      <w:r>
        <w:rPr>
          <w:rFonts w:ascii="Arial" w:cs="Arial" w:eastAsia="Arial" w:hAnsi="Arial"/>
          <w:sz w:val="22"/>
          <w:szCs w:val="22"/>
          <w:color w:val="auto"/>
        </w:rPr>
        <w:t>,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91" w:lineRule="exact"/>
        <w:rPr>
          <w:sz w:val="20"/>
          <w:szCs w:val="20"/>
          <w:color w:val="auto"/>
        </w:rPr>
      </w:pPr>
    </w:p>
    <w:p>
      <w:pPr>
        <w:ind w:right="260" w:firstLine="1297"/>
        <w:spacing w:after="0" w:line="297" w:lineRule="auto"/>
        <w:rPr>
          <w:sz w:val="20"/>
          <w:szCs w:val="20"/>
          <w:color w:val="auto"/>
        </w:rPr>
      </w:pPr>
      <w:r>
        <w:rPr>
          <w:rFonts w:ascii="Arial" w:cs="Arial" w:eastAsia="Arial" w:hAnsi="Arial"/>
          <w:sz w:val="19"/>
          <w:szCs w:val="19"/>
          <w:color w:val="auto"/>
        </w:rPr>
        <w:t xml:space="preserve">Section 14.4. </w:t>
      </w:r>
      <w:r>
        <w:rPr>
          <w:rFonts w:ascii="Arial" w:cs="Arial" w:eastAsia="Arial" w:hAnsi="Arial"/>
          <w:sz w:val="19"/>
          <w:szCs w:val="19"/>
          <w:i w:val="1"/>
          <w:iCs w:val="1"/>
          <w:color w:val="auto"/>
        </w:rPr>
        <w:t>Certificate of Merger or Conversion</w:t>
      </w:r>
      <w:r>
        <w:rPr>
          <w:rFonts w:ascii="Arial" w:cs="Arial" w:eastAsia="Arial" w:hAnsi="Arial"/>
          <w:sz w:val="19"/>
          <w:szCs w:val="19"/>
          <w:color w:val="auto"/>
        </w:rPr>
        <w:t>. Upon the required approval by the Board of Directors, the General Partner and the Unitholders of a Merger Agreement or Plan of Conversion, as the case may be, a certificate of merger or conversion, as applicable, shall be executed and filed in conformity with the requirements of the Marshall Islands Act.</w:t>
      </w:r>
    </w:p>
    <w:p>
      <w:pPr>
        <w:spacing w:after="0" w:line="134" w:lineRule="exact"/>
        <w:rPr>
          <w:sz w:val="20"/>
          <w:szCs w:val="20"/>
          <w:color w:val="auto"/>
        </w:rPr>
      </w:pPr>
    </w:p>
    <w:p>
      <w:pPr>
        <w:ind w:right="160" w:firstLine="1297"/>
        <w:spacing w:after="0" w:line="236"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i w:val="1"/>
          <w:iCs w:val="1"/>
          <w:color w:val="auto"/>
        </w:rPr>
        <w:t>Amendment of Partnership Agreement</w:t>
      </w:r>
      <w:r>
        <w:rPr>
          <w:rFonts w:ascii="Arial" w:cs="Arial" w:eastAsia="Arial" w:hAnsi="Arial"/>
          <w:sz w:val="22"/>
          <w:szCs w:val="22"/>
          <w:color w:val="auto"/>
        </w:rPr>
        <w:t xml:space="preserve">.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w:t>
      </w:r>
      <w:r>
        <w:rPr>
          <w:rFonts w:ascii="Arial" w:cs="Arial" w:eastAsia="Arial" w:hAnsi="Arial"/>
          <w:sz w:val="22"/>
          <w:szCs w:val="22"/>
          <w:u w:val="single" w:color="auto"/>
          <w:color w:val="auto"/>
        </w:rPr>
        <w:t>Section 14.5</w:t>
      </w:r>
      <w:r>
        <w:rPr>
          <w:rFonts w:ascii="Arial" w:cs="Arial" w:eastAsia="Arial" w:hAnsi="Arial"/>
          <w:sz w:val="22"/>
          <w:szCs w:val="22"/>
          <w:color w:val="auto"/>
        </w:rPr>
        <w:t xml:space="preserve"> shall be effective at the effective time or date of the merger or consolidation.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14.6.  </w:t>
      </w:r>
      <w:r>
        <w:rPr>
          <w:rFonts w:ascii="Arial" w:cs="Arial" w:eastAsia="Arial" w:hAnsi="Arial"/>
          <w:sz w:val="19"/>
          <w:szCs w:val="19"/>
          <w:i w:val="1"/>
          <w:iCs w:val="1"/>
          <w:color w:val="auto"/>
        </w:rPr>
        <w:t>Effect of Merger, Consolidation or Conversion</w:t>
      </w:r>
      <w:r>
        <w:rPr>
          <w:rFonts w:ascii="Arial" w:cs="Arial" w:eastAsia="Arial" w:hAnsi="Arial"/>
          <w:sz w:val="19"/>
          <w:szCs w:val="19"/>
          <w:color w:val="auto"/>
        </w:rPr>
        <w:t>. (a) At the effective time of the certificate of merger:</w:t>
      </w:r>
    </w:p>
    <w:p>
      <w:pPr>
        <w:spacing w:after="0" w:line="241" w:lineRule="exact"/>
        <w:rPr>
          <w:sz w:val="20"/>
          <w:szCs w:val="20"/>
          <w:color w:val="auto"/>
        </w:rPr>
      </w:pPr>
    </w:p>
    <w:p>
      <w:pPr>
        <w:ind w:left="660" w:right="160" w:firstLine="645"/>
        <w:spacing w:after="0" w:line="236" w:lineRule="auto"/>
        <w:tabs>
          <w:tab w:leader="none" w:pos="197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7" w:lineRule="exact"/>
        <w:rPr>
          <w:rFonts w:ascii="Arial" w:cs="Arial" w:eastAsia="Arial" w:hAnsi="Arial"/>
          <w:sz w:val="22"/>
          <w:szCs w:val="22"/>
          <w:color w:val="auto"/>
        </w:rPr>
      </w:pPr>
    </w:p>
    <w:p>
      <w:pPr>
        <w:ind w:left="660" w:right="300" w:firstLine="645"/>
        <w:spacing w:after="0" w:line="251" w:lineRule="auto"/>
        <w:tabs>
          <w:tab w:leader="none" w:pos="197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title to any real property vested by deed or otherwise in any of those constituent business entities shall not revert and is not in any way impaired because of the merger or consolidation;</w:t>
      </w:r>
    </w:p>
    <w:p>
      <w:pPr>
        <w:spacing w:after="0" w:line="173" w:lineRule="exact"/>
        <w:rPr>
          <w:rFonts w:ascii="Arial" w:cs="Arial" w:eastAsia="Arial" w:hAnsi="Arial"/>
          <w:sz w:val="22"/>
          <w:szCs w:val="22"/>
          <w:color w:val="auto"/>
        </w:rPr>
      </w:pPr>
    </w:p>
    <w:p>
      <w:pPr>
        <w:ind w:left="660" w:right="360" w:firstLine="645"/>
        <w:spacing w:after="0" w:line="251" w:lineRule="auto"/>
        <w:tabs>
          <w:tab w:leader="none" w:pos="198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rights of creditors and all liens on or security interests in property of any of those constituent business entities shall be preserved unimpaired; and</w:t>
      </w:r>
    </w:p>
    <w:p>
      <w:pPr>
        <w:spacing w:after="0" w:line="173" w:lineRule="exact"/>
        <w:rPr>
          <w:rFonts w:ascii="Arial" w:cs="Arial" w:eastAsia="Arial" w:hAnsi="Arial"/>
          <w:sz w:val="22"/>
          <w:szCs w:val="22"/>
          <w:color w:val="auto"/>
        </w:rPr>
      </w:pPr>
    </w:p>
    <w:p>
      <w:pPr>
        <w:ind w:left="660" w:firstLine="645"/>
        <w:spacing w:after="0"/>
        <w:tabs>
          <w:tab w:leader="none" w:pos="197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86" w:lineRule="exact"/>
        <w:rPr>
          <w:sz w:val="20"/>
          <w:szCs w:val="20"/>
          <w:color w:val="auto"/>
        </w:rPr>
      </w:pPr>
    </w:p>
    <w:p>
      <w:pPr>
        <w:ind w:left="5600" w:right="400" w:hanging="4295"/>
        <w:spacing w:after="0" w:line="456" w:lineRule="auto"/>
        <w:tabs>
          <w:tab w:leader="none" w:pos="195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At the effective time of the certificate of conversion, for all purposes of the laws of the Marshall Islands: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9" w:name="page90"/>
    <w:bookmarkEnd w:id="89"/>
    <w:p>
      <w:pPr>
        <w:ind w:left="660" w:right="220" w:firstLine="645"/>
        <w:spacing w:after="0" w:line="251" w:lineRule="auto"/>
        <w:tabs>
          <w:tab w:leader="none" w:pos="197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Partnership shall continue to exist, without interruption, but in the organizational form of the converted entity rather than in its prior organizational form;</w:t>
      </w:r>
    </w:p>
    <w:p>
      <w:pPr>
        <w:spacing w:after="0" w:line="173" w:lineRule="exact"/>
        <w:rPr>
          <w:rFonts w:ascii="Arial" w:cs="Arial" w:eastAsia="Arial" w:hAnsi="Arial"/>
          <w:sz w:val="22"/>
          <w:szCs w:val="22"/>
          <w:color w:val="auto"/>
        </w:rPr>
      </w:pPr>
    </w:p>
    <w:p>
      <w:pPr>
        <w:ind w:left="660" w:firstLine="645"/>
        <w:spacing w:after="0" w:line="297" w:lineRule="auto"/>
        <w:tabs>
          <w:tab w:leader="none" w:pos="197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34" w:lineRule="exact"/>
        <w:rPr>
          <w:rFonts w:ascii="Arial" w:cs="Arial" w:eastAsia="Arial" w:hAnsi="Arial"/>
          <w:sz w:val="19"/>
          <w:szCs w:val="19"/>
          <w:color w:val="auto"/>
        </w:rPr>
      </w:pPr>
    </w:p>
    <w:p>
      <w:pPr>
        <w:ind w:left="660" w:right="860" w:firstLine="645"/>
        <w:spacing w:after="0" w:line="328" w:lineRule="auto"/>
        <w:tabs>
          <w:tab w:leader="none" w:pos="198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liabilities and obligations of the Partnership shall continue to be liabilities and obligations of the converted entity in its new organizational form without impairment or diminution by reason of the conversion;</w:t>
      </w:r>
    </w:p>
    <w:p>
      <w:pPr>
        <w:spacing w:after="0" w:line="105" w:lineRule="exact"/>
        <w:rPr>
          <w:rFonts w:ascii="Arial" w:cs="Arial" w:eastAsia="Arial" w:hAnsi="Arial"/>
          <w:sz w:val="19"/>
          <w:szCs w:val="19"/>
          <w:color w:val="auto"/>
        </w:rPr>
      </w:pPr>
    </w:p>
    <w:p>
      <w:pPr>
        <w:ind w:left="660" w:right="40" w:firstLine="645"/>
        <w:spacing w:after="0" w:line="287" w:lineRule="auto"/>
        <w:tabs>
          <w:tab w:leader="none" w:pos="197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and are enforceable against the converted entity by such creditors and obligees to the same extent as if the liabilities and obligations had originally been incurred or contracted by the converted entity; and</w:t>
      </w:r>
    </w:p>
    <w:p>
      <w:pPr>
        <w:spacing w:after="0" w:line="143" w:lineRule="exact"/>
        <w:rPr>
          <w:rFonts w:ascii="Arial" w:cs="Arial" w:eastAsia="Arial" w:hAnsi="Arial"/>
          <w:sz w:val="19"/>
          <w:szCs w:val="19"/>
          <w:color w:val="auto"/>
        </w:rPr>
      </w:pPr>
    </w:p>
    <w:p>
      <w:pPr>
        <w:ind w:left="660" w:right="20" w:firstLine="645"/>
        <w:spacing w:after="0"/>
        <w:tabs>
          <w:tab w:leader="none" w:pos="196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Partnership Interests that are to be converted into partnership interests, shares, evidences of ownership, or other rights or securities in the converted entity or cash as provided in the Plan of Conversion shall be so converted, and Partners shall be entitled only to the rights provided in the Plan of Conversion.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TO ACQUIRE LIMITED PARTNER INTERESTS</w:t>
      </w:r>
    </w:p>
    <w:p>
      <w:pPr>
        <w:spacing w:after="0" w:line="188" w:lineRule="exact"/>
        <w:rPr>
          <w:sz w:val="20"/>
          <w:szCs w:val="20"/>
          <w:color w:val="auto"/>
        </w:rPr>
      </w:pPr>
    </w:p>
    <w:p>
      <w:pPr>
        <w:ind w:right="80" w:firstLine="1297"/>
        <w:spacing w:after="0" w:line="273" w:lineRule="auto"/>
        <w:rPr>
          <w:sz w:val="20"/>
          <w:szCs w:val="20"/>
          <w:color w:val="auto"/>
        </w:rPr>
      </w:pPr>
      <w:r>
        <w:rPr>
          <w:rFonts w:ascii="Arial" w:cs="Arial" w:eastAsia="Arial" w:hAnsi="Arial"/>
          <w:sz w:val="19"/>
          <w:szCs w:val="19"/>
          <w:color w:val="auto"/>
        </w:rPr>
        <w:t xml:space="preserve">Section 15.1. </w:t>
      </w:r>
      <w:r>
        <w:rPr>
          <w:rFonts w:ascii="Arial" w:cs="Arial" w:eastAsia="Arial" w:hAnsi="Arial"/>
          <w:sz w:val="19"/>
          <w:szCs w:val="19"/>
          <w:i w:val="1"/>
          <w:iCs w:val="1"/>
          <w:color w:val="auto"/>
        </w:rPr>
        <w:t>Right to Acquire Limited Partner Interests</w:t>
      </w:r>
      <w:r>
        <w:rPr>
          <w:rFonts w:ascii="Arial" w:cs="Arial" w:eastAsia="Arial" w:hAnsi="Arial"/>
          <w:sz w:val="19"/>
          <w:szCs w:val="19"/>
          <w:color w:val="auto"/>
        </w:rPr>
        <w:t xml:space="preserve">. (a) Notwithstanding any other provision of this Agreement, if at any time from and after the Closing Date the General Partner and its Affiliates hold more than 80% of the total Limited Partner Interests of any class or series then Outstanding, except for the Series A Preference Units, the Series B Preference Units and the Series C Preference Units, the General Partner shall then have the right, which right it may assign and transfer in whole or in part to the Partnership or any Affiliate of the General Partner, exercisable at its option, to purchase all, but not less than all, of such Limited Partner Interests of such class or series then Outstanding held by Persons other than the General Partner and its Affiliates, at the greater of (x) the Current Market Price as of the date three days prior to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and (y) the highest price paid by the General Partner or any of its Affiliates for any such Limited Partner Interest of such class or series purchased during the 90-day period preceding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Notwithstanding the foregoing, the repurchase right described in this </w:t>
      </w:r>
      <w:r>
        <w:rPr>
          <w:rFonts w:ascii="Arial" w:cs="Arial" w:eastAsia="Arial" w:hAnsi="Arial"/>
          <w:sz w:val="19"/>
          <w:szCs w:val="19"/>
          <w:u w:val="single" w:color="auto"/>
          <w:color w:val="auto"/>
        </w:rPr>
        <w:t>Article XV</w:t>
      </w:r>
      <w:r>
        <w:rPr>
          <w:rFonts w:ascii="Arial" w:cs="Arial" w:eastAsia="Arial" w:hAnsi="Arial"/>
          <w:sz w:val="19"/>
          <w:szCs w:val="19"/>
          <w:color w:val="auto"/>
        </w:rPr>
        <w:t xml:space="preserve"> shall not apply to Preference Units.</w:t>
      </w:r>
    </w:p>
    <w:p>
      <w:pPr>
        <w:spacing w:after="0" w:line="162" w:lineRule="exact"/>
        <w:rPr>
          <w:sz w:val="20"/>
          <w:szCs w:val="20"/>
          <w:color w:val="auto"/>
        </w:rPr>
      </w:pPr>
    </w:p>
    <w:p>
      <w:pPr>
        <w:ind w:right="300" w:firstLine="1305"/>
        <w:spacing w:after="0"/>
        <w:tabs>
          <w:tab w:leader="none" w:pos="195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If the General Partner, any Affiliate of the General Partner or the Partnership elects to exercise the right to purchase Limited Partner Interests granted pursuant to </w:t>
      </w:r>
      <w:r>
        <w:rPr>
          <w:rFonts w:ascii="Arial" w:cs="Arial" w:eastAsia="Arial" w:hAnsi="Arial"/>
          <w:sz w:val="22"/>
          <w:szCs w:val="22"/>
          <w:u w:val="single" w:color="auto"/>
          <w:color w:val="auto"/>
        </w:rPr>
        <w:t>Section 15.1(a)</w:t>
      </w:r>
      <w:r>
        <w:rPr>
          <w:rFonts w:ascii="Arial" w:cs="Arial" w:eastAsia="Arial" w:hAnsi="Arial"/>
          <w:sz w:val="22"/>
          <w:szCs w:val="22"/>
          <w:color w:val="auto"/>
        </w:rPr>
        <w:t>, the General Partner shall deliver to the Transfer Agent notice of such election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0" w:name="page91"/>
    <w:bookmarkEnd w:id="90"/>
    <w:p>
      <w:pPr>
        <w:spacing w:after="0" w:line="269" w:lineRule="auto"/>
        <w:rPr>
          <w:sz w:val="20"/>
          <w:szCs w:val="20"/>
          <w:color w:val="auto"/>
        </w:rPr>
      </w:pPr>
      <w:r>
        <w:rPr>
          <w:rFonts w:ascii="Arial" w:cs="Arial" w:eastAsia="Arial" w:hAnsi="Arial"/>
          <w:sz w:val="19"/>
          <w:szCs w:val="19"/>
          <w:color w:val="auto"/>
        </w:rPr>
        <w:t>purchase (the “</w:t>
      </w:r>
      <w:r>
        <w:rPr>
          <w:rFonts w:ascii="Arial" w:cs="Arial" w:eastAsia="Arial" w:hAnsi="Arial"/>
          <w:sz w:val="19"/>
          <w:szCs w:val="19"/>
          <w:b w:val="1"/>
          <w:bCs w:val="1"/>
          <w:i w:val="1"/>
          <w:iCs w:val="1"/>
          <w:color w:val="auto"/>
        </w:rPr>
        <w:t>Notice of Election to Purchase</w:t>
      </w:r>
      <w:r>
        <w:rPr>
          <w:rFonts w:ascii="Arial" w:cs="Arial" w:eastAsia="Arial" w:hAnsi="Arial"/>
          <w:sz w:val="19"/>
          <w:szCs w:val="19"/>
          <w:color w:val="auto"/>
        </w:rPr>
        <w:t xml:space="preserve">”) and shall cause the Transfer Agent to mail a copy of such Notice of Election to Purchase to the Record Holders of Limited Partner Interests of such class or series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at which Limited Partner Interests will be purchased and state that the General Partner, its Affiliate or the Partnership, as the case may be, elects to purchase such Limited Partner Interests, upon surrender of Certificates representing such Limited Partner Interests, if any, in exchange for payment, at such office or offices of the Transfer Agent as the Transfer Agent may specify, or as may be required by any National Securities Exchange on which such Limited Partner Interests are listed.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to the extent Certificates for the Limited Partner Interests are outstanding, notwithstanding that any Certificate shall not have been surrendered for purchase, all rights of the holders of such Limited Partner Interests (including any rights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shall thereupon cease, except the right to receive the applicable purchase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ind w:right="40" w:firstLine="1305"/>
        <w:spacing w:after="0" w:line="297" w:lineRule="auto"/>
        <w:tabs>
          <w:tab w:leader="none" w:pos="195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At any time from and after the Purchase Date, a holder of an Outstanding Limited Partner Interest subject to purchase as provided in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may surrender his Certificate evidencing such Limited Partner Interest to the Transfer Agent in exchange for payment of the amount described in </w:t>
      </w:r>
      <w:r>
        <w:rPr>
          <w:rFonts w:ascii="Arial" w:cs="Arial" w:eastAsia="Arial" w:hAnsi="Arial"/>
          <w:sz w:val="19"/>
          <w:szCs w:val="19"/>
          <w:u w:val="single" w:color="auto"/>
          <w:color w:val="auto"/>
        </w:rPr>
        <w:t>Section 15.1(a)</w:t>
      </w:r>
      <w:r>
        <w:rPr>
          <w:rFonts w:ascii="Arial" w:cs="Arial" w:eastAsia="Arial" w:hAnsi="Arial"/>
          <w:sz w:val="19"/>
          <w:szCs w:val="19"/>
          <w:color w:val="auto"/>
        </w:rPr>
        <w:t>, without interest thereon.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b w:val="1"/>
          <w:bCs w:val="1"/>
          <w:color w:val="auto"/>
        </w:rPr>
        <w:t>ARTICLE XVI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A CUMULATIVE REDEEMABLE PERPETUAL FIXED TO FLOATING RATE PREFERENCE UNITS</w:t>
      </w:r>
    </w:p>
    <w:p>
      <w:pPr>
        <w:spacing w:after="0" w:line="215"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16.1.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May 15, 2017, the Board of Directors designated and created a series of Preference Units designated as “8.625% Series A Cumulative Redeemable Perpetual Fixed to Floating Rate Preference Units,” and fixed the preferences, rights, powers and duties of the holders of the Series A Preference Units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Each Series A Preference Unit shall be identical in all respects to every other Series A Preference Unit, except as to the respective dates from which the Series A Liquidation Preference shall increase or from which Series A Distributions may begin accruing, to the extent such dates may differ. The Series A Preference Units represent perpetual equity interests in the Partnership and shall not give rise to a claim by the holder for redemption thereof at a particular date.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33" w:lineRule="exact"/>
        <w:rPr>
          <w:sz w:val="20"/>
          <w:szCs w:val="20"/>
          <w:color w:val="auto"/>
        </w:rPr>
      </w:pPr>
    </w:p>
    <w:p>
      <w:pPr>
        <w:ind w:right="220" w:firstLine="1305"/>
        <w:spacing w:after="0" w:line="251" w:lineRule="auto"/>
        <w:tabs>
          <w:tab w:leader="none" w:pos="195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authorized number of Series A Preference Units shall be unlimited. Series A Preference Units that are purchased or otherwise acquired by the Partnership shall be cancelled.</w:t>
      </w:r>
    </w:p>
    <w:p>
      <w:pPr>
        <w:spacing w:after="0" w:line="200" w:lineRule="exact"/>
        <w:rPr>
          <w:rFonts w:ascii="Arial" w:cs="Arial" w:eastAsia="Arial" w:hAnsi="Arial"/>
          <w:sz w:val="22"/>
          <w:szCs w:val="22"/>
          <w:color w:val="auto"/>
        </w:rPr>
      </w:pPr>
    </w:p>
    <w:p>
      <w:pPr>
        <w:ind w:right="20" w:firstLine="1305"/>
        <w:spacing w:after="0" w:line="234" w:lineRule="auto"/>
        <w:tabs>
          <w:tab w:leader="none" w:pos="19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Series A Preference Units shall be represented by a single Certificate registered in the name of the Depository or its nominee, and no Series A Holder shall be entitled 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A Holders shall be made by making payments to, and communicating with, the Depository.</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33" w:lineRule="exact"/>
        <w:rPr>
          <w:sz w:val="20"/>
          <w:szCs w:val="20"/>
          <w:color w:val="auto"/>
        </w:rPr>
      </w:pPr>
    </w:p>
    <w:p>
      <w:pPr>
        <w:ind w:right="160" w:firstLine="1305"/>
        <w:spacing w:after="0" w:line="273" w:lineRule="auto"/>
        <w:tabs>
          <w:tab w:leader="none" w:pos="195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Distributions on each Series A Preference Unit shall be cumulative and shall accrue at the Series A Distribution Rate from the Series A Original Issue Date (or, for any subsequently issued and newly Outstanding Series A Preference Units, from the Series A Distribution Payment Date immediately preceding the issuance date of such Units) until such time as the Partnership pays the Series A Distribution or redeems the Series A Preference Units in full in accordance with </w:t>
      </w:r>
      <w:r>
        <w:rPr>
          <w:rFonts w:ascii="Arial" w:cs="Arial" w:eastAsia="Arial" w:hAnsi="Arial"/>
          <w:sz w:val="19"/>
          <w:szCs w:val="19"/>
          <w:u w:val="single" w:color="auto"/>
          <w:color w:val="auto"/>
        </w:rPr>
        <w:t>Section 16.6</w:t>
      </w:r>
      <w:r>
        <w:rPr>
          <w:rFonts w:ascii="Arial" w:cs="Arial" w:eastAsia="Arial" w:hAnsi="Arial"/>
          <w:sz w:val="19"/>
          <w:szCs w:val="19"/>
          <w:color w:val="auto"/>
        </w:rPr>
        <w:t xml:space="preserve"> below,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Preference Unit when, as, and if declared by the Board of Directors. Series A Distributions, to the extent declared by the Board of Directors to be paid by the Partnership in accordance with this </w:t>
      </w:r>
      <w:r>
        <w:rPr>
          <w:rFonts w:ascii="Arial" w:cs="Arial" w:eastAsia="Arial" w:hAnsi="Arial"/>
          <w:sz w:val="19"/>
          <w:szCs w:val="19"/>
          <w:u w:val="single" w:color="auto"/>
          <w:color w:val="auto"/>
        </w:rPr>
        <w:t>Section 16.3</w:t>
      </w:r>
      <w:r>
        <w:rPr>
          <w:rFonts w:ascii="Arial" w:cs="Arial" w:eastAsia="Arial" w:hAnsi="Arial"/>
          <w:sz w:val="19"/>
          <w:szCs w:val="19"/>
          <w:color w:val="auto"/>
        </w:rPr>
        <w:t>, shall be paid quarterly on each Series A Distribution Payment Date. Distributions shall accumulate in each Series A Distribution Period from and including the preceding Series A Distribution Payment Date (other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92" w:name="page93"/>
    <w:bookmarkEnd w:id="92"/>
    <w:p>
      <w:pPr>
        <w:ind w:right="80"/>
        <w:spacing w:after="0" w:line="273" w:lineRule="auto"/>
        <w:rPr>
          <w:sz w:val="20"/>
          <w:szCs w:val="20"/>
          <w:color w:val="auto"/>
        </w:rPr>
      </w:pPr>
      <w:r>
        <w:rPr>
          <w:rFonts w:ascii="Arial" w:cs="Arial" w:eastAsia="Arial" w:hAnsi="Arial"/>
          <w:sz w:val="19"/>
          <w:szCs w:val="19"/>
          <w:color w:val="auto"/>
        </w:rPr>
        <w:t>than the initial Series A Distribution Period, which shall commence on and include the Series A Original Issue Date), to but excluding the next Series A Distribution Payment Date for such Series A Distribution Period and distributions shall accrue on accumulated Series A Distributions at the Series A Distribution Rate. If any Series A Distribution Payment Date during the Series A Fixed Rate Period would otherwise occur on a date that is not a Business Day, declared Series A Distributions shall be paid on the immediately succeeding Business Day without the accumulation of additional distributions. If any Series A Distribution Payment Date during the Series A Floating Rate Period would otherwise occur on a date that is not a Business Day, then the Series A Distribution Payment Date will be the next day that is a Business Day. Series A Distributions payable for any Series A Distribution Period during the Series A Fixed Rate Period will be calculated based on a 360-day year consisting of twelve 30-day months. Series A Distributions payable for any Series A Distribution Period during the Series A Floating Rate Period will be calculated based on a 360-day year and the number of days actually elapsed during such Series A Distribution Period.</w:t>
      </w:r>
    </w:p>
    <w:p>
      <w:pPr>
        <w:spacing w:after="0" w:line="189" w:lineRule="exact"/>
        <w:rPr>
          <w:sz w:val="20"/>
          <w:szCs w:val="20"/>
          <w:color w:val="auto"/>
        </w:rPr>
      </w:pPr>
    </w:p>
    <w:p>
      <w:pPr>
        <w:ind w:right="240" w:firstLine="1305"/>
        <w:spacing w:after="0" w:line="236" w:lineRule="auto"/>
        <w:tabs>
          <w:tab w:leader="none" w:pos="195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For each Series A Distribution Period during the Series A Floating Rate Period, the applicable Series A Distribution Rate will be determined by the Partnership as of the applicable Series A Distribution Determination Date for such Series A Distribution Period. For purposes of determining the applicable Series A Distribution Rate, the Series A Three-Month LIBOR Rate will be determined by the Partnership, as of the applicable Series A Distribution Determination Date, in accordance with the following provisions:</w:t>
      </w:r>
    </w:p>
    <w:p>
      <w:pPr>
        <w:spacing w:after="0" w:line="215" w:lineRule="exact"/>
        <w:rPr>
          <w:sz w:val="20"/>
          <w:szCs w:val="20"/>
          <w:color w:val="auto"/>
        </w:rPr>
      </w:pPr>
    </w:p>
    <w:p>
      <w:pPr>
        <w:jc w:val="both"/>
        <w:ind w:left="660" w:right="200" w:firstLine="645"/>
        <w:spacing w:after="0" w:line="297" w:lineRule="auto"/>
        <w:tabs>
          <w:tab w:leader="none" w:pos="197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Series A Three-Month LIBOR Rate will be the rate (expressed as a percentage per year) for deposits in U.S. dollars having an index maturity of three months, in amounts of at least $1,000,000, as such rate appears on Reuters Page LIBOR01 at approximately 11:00 a.m. (London time) on the relevant Series A Distribution Determination Date; or</w:t>
      </w:r>
    </w:p>
    <w:p>
      <w:pPr>
        <w:spacing w:after="0" w:line="161" w:lineRule="exact"/>
        <w:rPr>
          <w:rFonts w:ascii="Arial" w:cs="Arial" w:eastAsia="Arial" w:hAnsi="Arial"/>
          <w:sz w:val="19"/>
          <w:szCs w:val="19"/>
          <w:color w:val="auto"/>
        </w:rPr>
      </w:pPr>
    </w:p>
    <w:p>
      <w:pPr>
        <w:ind w:left="660" w:firstLine="645"/>
        <w:spacing w:after="0" w:line="244" w:lineRule="auto"/>
        <w:tabs>
          <w:tab w:leader="none" w:pos="1977"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if no such rate appears on Reuters Page LIBOR01 or if the Reuters Page LIBOR01 is not available at approximately 11:00 a.m. (London time) on the relevant Series A Distribution Determination Date, then the Partnership will select four nationally-recognized banks in the London interbank market and request that the principal London offices of those four selected banks provide their offered quotation for deposits in U.S. dollars for a period of three months, commencing on the first day of the applicable Series A Distribution Period, to prime banks in the London interbank market at approximately 11:00 a.m. (London time) on that Series A Distribution Determination Date for the applicable Series A Distribution Period. Offered quotations must be based on a principal amount equal to an amount that, in the Partnership’s discretion, is representative of a single transaction in U.S. dollars in the London interbank market at that time. If at least two quotations are provided, the Series A Three-Month LIBOR Rate for such Series A Distribution Period will be the arithmetic mean (rounded upward if necessary, to the nearest 0.00001 of 1%) of those quotations. If fewer than two quotations are provided, the Series A Three-Month LIBOR Rate for such Series A Distribution Period will be the arithmetic mean (rounded upward if necessary, to the nearest 0.00001 of 1%) of the rates quoted at approximately 11:00 a.m. (New York City time) on that Series A Distribution Determination Date for such Series A Distribution Period by three nationally-recognized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3" w:name="page94"/>
    <w:bookmarkEnd w:id="93"/>
    <w:p>
      <w:pPr>
        <w:ind w:left="620"/>
        <w:spacing w:after="0" w:line="246" w:lineRule="auto"/>
        <w:rPr>
          <w:sz w:val="20"/>
          <w:szCs w:val="20"/>
          <w:color w:val="auto"/>
        </w:rPr>
      </w:pPr>
      <w:r>
        <w:rPr>
          <w:rFonts w:ascii="Arial" w:cs="Arial" w:eastAsia="Arial" w:hAnsi="Arial"/>
          <w:sz w:val="21"/>
          <w:szCs w:val="21"/>
          <w:color w:val="auto"/>
        </w:rPr>
        <w:t>banks in New York, New York selected by the Partnership, for loans in U.S. dollars to nationally-recognized European banks (as selected by the Partnership), for a period of three months commencing on the first day of such Series A Distribution Period. The rates quoted must be based on an amount that, in the Partnership’s discretion, is representative of a single transaction in U.S. dollars in that market at that time. If fewer than three New York City banks selected by the Partnership provide quote rates in the manner described above, the Series A Three-Month LIBOR Rate for the applicable Series A Distribution Period will be the same as for the immediately preceding Series A Distribution Period, or, if there was no such Series A Distribution Period, the distribution shall be calculated at the Series A Distribution Rate in effect for the immediately preceding Series A Distribution Period.</w:t>
      </w:r>
    </w:p>
    <w:p>
      <w:pPr>
        <w:spacing w:after="0" w:line="208" w:lineRule="exact"/>
        <w:rPr>
          <w:sz w:val="20"/>
          <w:szCs w:val="20"/>
          <w:color w:val="auto"/>
        </w:rPr>
      </w:pPr>
    </w:p>
    <w:p>
      <w:pPr>
        <w:ind w:left="-40" w:firstLine="1305"/>
        <w:spacing w:after="0" w:line="269" w:lineRule="auto"/>
        <w:tabs>
          <w:tab w:leader="none" w:pos="191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A Distribution Payment Date, the Partnership shall pay those Series A Distributions, if any, that shall have been declared by the Board of Directors to Series A Holders on the Record Date for the applicable Series A Preference Distribution. The Record Date (the “</w:t>
      </w:r>
      <w:r>
        <w:rPr>
          <w:rFonts w:ascii="Arial" w:cs="Arial" w:eastAsia="Arial" w:hAnsi="Arial"/>
          <w:sz w:val="19"/>
          <w:szCs w:val="19"/>
          <w:b w:val="1"/>
          <w:bCs w:val="1"/>
          <w:i w:val="1"/>
          <w:iCs w:val="1"/>
          <w:color w:val="auto"/>
        </w:rPr>
        <w:t>Series A Distribution Record Date</w:t>
      </w:r>
      <w:r>
        <w:rPr>
          <w:rFonts w:ascii="Arial" w:cs="Arial" w:eastAsia="Arial" w:hAnsi="Arial"/>
          <w:sz w:val="19"/>
          <w:szCs w:val="19"/>
          <w:color w:val="auto"/>
        </w:rPr>
        <w:t xml:space="preserve">”) for the payment of any Series A Distributions shall be the fifth Business Day immediately preceding the applicable Series A Distribution Payment Date, except that in the case of payments of Series A Distributions in arrears, the Series A Distribution Record Date with respect to a Series A Distribution Payment Date shall be such date as may be designated by the Board of Directors in accordance with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A Distributions have been or contemporaneously are being paid or provided for on all Outstanding Series A Preference Units and any other Parity Securities through the most recent respective Series A Distribution Payment Dates. Accumulated Series A Distributions in arrears for any past Series A Distribution Period may be declared by the Board of Directors and paid on any date fixed by the Board of Directors, whether or not a Series A Distribution Payment Date, to Series A Holders on the record date for such payment, which may not be more than 60 days, nor less than 15 days, before such payment date. Subject to the next succeeding sentence, if all accumulated Series A Distributions in arrears on all Outstanding Series A Preference Units and any other Parity Securities shall not have been declared and paid, or if sufficient funds for the payment thereof shall not have been set apart, payment of accumulated distributions in arrears on the Series A Preference Units and any such Parity Securities shall be made in order of their respective distribution payment dates, commencing with the earliest. If less than all distributions payable with respect to all Series A Preference Units and any other Parity Securities are paid, any partial payment shall be made pro rata with respect to the Series A Preference Units and any such other Parity Securities entitled to a distribution payment at such time in proportion to the aggregate distribution amounts remaining due in respect of such Series A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Series A Holders shall not be entitled to any distribution, whether payable in cash, property or stock, in excess of full cumulative Series A Distributions. Except insofar as distributions accrue on the amount of any accumulated and unpaid Series A Distributions as described in </w:t>
      </w:r>
      <w:r>
        <w:rPr>
          <w:rFonts w:ascii="Arial" w:cs="Arial" w:eastAsia="Arial" w:hAnsi="Arial"/>
          <w:sz w:val="19"/>
          <w:szCs w:val="19"/>
          <w:u w:val="single" w:color="auto"/>
          <w:color w:val="auto"/>
        </w:rPr>
        <w:t>Section 16.3(a)</w:t>
      </w:r>
      <w:r>
        <w:rPr>
          <w:rFonts w:ascii="Arial" w:cs="Arial" w:eastAsia="Arial" w:hAnsi="Arial"/>
          <w:sz w:val="19"/>
          <w:szCs w:val="19"/>
          <w:color w:val="auto"/>
        </w:rPr>
        <w:t>, no interest or sum of money in lieu of interest shall be payable in respect of any distribution payment which may be in arrears on the Series A Preference Units. So long as the Series A Preference Units are held of record by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61" w:right="259" w:bottom="1440" w:gutter="0" w:footer="0" w:header="0"/>
        </w:sectPr>
      </w:pPr>
    </w:p>
    <w:bookmarkStart w:id="94" w:name="page95"/>
    <w:bookmarkEnd w:id="94"/>
    <w:p>
      <w:pPr>
        <w:ind w:right="460"/>
        <w:spacing w:after="0" w:line="251" w:lineRule="auto"/>
        <w:rPr>
          <w:sz w:val="20"/>
          <w:szCs w:val="20"/>
          <w:color w:val="auto"/>
        </w:rPr>
      </w:pPr>
      <w:r>
        <w:rPr>
          <w:rFonts w:ascii="Arial" w:cs="Arial" w:eastAsia="Arial" w:hAnsi="Arial"/>
          <w:sz w:val="22"/>
          <w:szCs w:val="22"/>
          <w:color w:val="auto"/>
        </w:rPr>
        <w:t>nominee of the Depository, declared Series A Distributions shall be paid to the Depository in same-day funds on each Series A Distribution Payment Date.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33" w:lineRule="exact"/>
        <w:rPr>
          <w:sz w:val="20"/>
          <w:szCs w:val="20"/>
          <w:color w:val="auto"/>
        </w:rPr>
      </w:pPr>
    </w:p>
    <w:p>
      <w:pPr>
        <w:ind w:firstLine="1305"/>
        <w:spacing w:after="0" w:line="270" w:lineRule="auto"/>
        <w:tabs>
          <w:tab w:leader="none" w:pos="195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A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A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A Preference Units in an amount equal to the Series A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A Preference Units or any Parity Securities and (y) the Series A Holders shall be entitled to the Series A Liquidation Preference per Series A Preference Unit in cash, concurrently with any distribution made to the holders of any Parity Securities and before any distribution shall be made to the holders of Common Units or any other Junior Securities. Series A Holders shall not be entitled to any other amounts from the Partnership, in their capacity as Series A Holders, after they have received the Series A Liquidation Preference. The payment of the Series A Liquidation Preference shall be a payment in redemption of the Series A Preference Units such that, from and after payment of the full Series A Liquidation Preference, any such Series A Preference Unit shall thereafter be cancelled and no longer be Outstanding.</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right="40" w:firstLine="1305"/>
        <w:spacing w:after="0" w:line="246" w:lineRule="auto"/>
        <w:tabs>
          <w:tab w:leader="none" w:pos="195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16.4(a)</w:t>
      </w:r>
      <w:r>
        <w:rPr>
          <w:rFonts w:ascii="Arial" w:cs="Arial" w:eastAsia="Arial" w:hAnsi="Arial"/>
          <w:sz w:val="21"/>
          <w:szCs w:val="21"/>
          <w:color w:val="auto"/>
        </w:rPr>
        <w:t xml:space="preserve"> above where the Partnership’s assets available for distribution to holders of the Outstanding Series A Preference Units and any other Parity Securities are insufficient to satisfy the applicable Liquidation Preference for such Series A Preference Units and Parity Securities, the Partnership’s then remaining assets or proceeds thereof legally available for distribution to unitholders of the Partnership shall be distributed among the holders of Outstanding Series A Preference Units and such Parity Securities, as applicable, ratably on the basis of their relative aggregate Liquidation Preferences. To the extent that the Series A Holders receive a partial payment of their Series A Liquidation Preference, such partial payment shall reduce the Series A Liquidation Preference of their Series A Preference Units, but only to the extent of such amount paid.</w:t>
      </w:r>
    </w:p>
    <w:p>
      <w:pPr>
        <w:spacing w:after="0" w:line="207" w:lineRule="exact"/>
        <w:rPr>
          <w:rFonts w:ascii="Arial" w:cs="Arial" w:eastAsia="Arial" w:hAnsi="Arial"/>
          <w:sz w:val="21"/>
          <w:szCs w:val="21"/>
          <w:color w:val="auto"/>
        </w:rPr>
      </w:pPr>
    </w:p>
    <w:p>
      <w:pPr>
        <w:ind w:firstLine="1305"/>
        <w:spacing w:after="0" w:line="297" w:lineRule="auto"/>
        <w:tabs>
          <w:tab w:leader="none" w:pos="195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After payment of the applicable Liquidation Preference to the holders of the Outstanding Series A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5" w:name="page96"/>
    <w:bookmarkEnd w:id="95"/>
    <w:p>
      <w:pPr>
        <w:ind w:left="1280"/>
        <w:spacing w:after="0"/>
        <w:rPr>
          <w:sz w:val="20"/>
          <w:szCs w:val="20"/>
          <w:color w:val="auto"/>
        </w:rPr>
      </w:pPr>
      <w:r>
        <w:rPr>
          <w:rFonts w:ascii="Arial" w:cs="Arial" w:eastAsia="Arial" w:hAnsi="Arial"/>
          <w:sz w:val="22"/>
          <w:szCs w:val="22"/>
          <w:color w:val="auto"/>
        </w:rPr>
        <w:t xml:space="preserve">Section 16.5.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33" w:lineRule="exact"/>
        <w:rPr>
          <w:sz w:val="20"/>
          <w:szCs w:val="20"/>
          <w:color w:val="auto"/>
        </w:rPr>
      </w:pPr>
    </w:p>
    <w:p>
      <w:pPr>
        <w:ind w:left="-20" w:firstLine="1305"/>
        <w:spacing w:after="0" w:line="328" w:lineRule="auto"/>
        <w:tabs>
          <w:tab w:leader="none" w:pos="193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A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or as otherwise provided by the Marshall Islands Act.</w:t>
      </w:r>
    </w:p>
    <w:p>
      <w:pPr>
        <w:spacing w:after="0" w:line="132" w:lineRule="exact"/>
        <w:rPr>
          <w:rFonts w:ascii="Arial" w:cs="Arial" w:eastAsia="Arial" w:hAnsi="Arial"/>
          <w:sz w:val="19"/>
          <w:szCs w:val="19"/>
          <w:color w:val="auto"/>
        </w:rPr>
      </w:pPr>
    </w:p>
    <w:p>
      <w:pPr>
        <w:ind w:left="-20" w:firstLine="1305"/>
        <w:spacing w:after="0" w:line="270" w:lineRule="auto"/>
        <w:tabs>
          <w:tab w:leader="none" w:pos="193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A Distributions, whether consecutive or not, are in arrears, the Series A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A Holders holding a majority of the Outstanding Series A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A Holders shall not apply to the election of another director if (i) Series A Holders and holders of Parity Securities upon which like voting rights have been conferred, voting as a class, have previously elected a member of the Board of Directors and (ii) such director continues then to serve on the Board of Directors. Such right of such Series A Holders to elect a member of the Board of Directors shall continue until the Partnership pays in full, or declares and sets aside funds for the payment of, all Series A Distributions accumulated and in arrears on the Series A Preference Units, at which time such right shall terminate, subject to the revesting of such right in the event of each and every subsequent failure to pay six quarterly Series A Distributions as described above in this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Upon any termination of the right of the Series A Holders and holders of any other Parity Securities to vote as a class for such director, the term of office of the director then in office elected by such Series A Holders and holders voting as a class shall terminate immediately. Any director elected by the Series A Holders and holders of any other Parity Securities shall be entitled to one vote on any matter before the Board of Directors. Upon each election of a member of the Board of Directors by Series A Holders pursuant to this </w:t>
      </w:r>
      <w:r>
        <w:rPr>
          <w:rFonts w:ascii="Arial" w:cs="Arial" w:eastAsia="Arial" w:hAnsi="Arial"/>
          <w:sz w:val="19"/>
          <w:szCs w:val="19"/>
          <w:u w:val="single" w:color="auto"/>
          <w:color w:val="auto"/>
        </w:rPr>
        <w:t>Section 16.5(b)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A Holders.</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ind w:left="-20" w:right="60" w:firstLine="1305"/>
        <w:spacing w:after="0" w:line="238" w:lineRule="auto"/>
        <w:tabs>
          <w:tab w:leader="none" w:pos="193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A Preference Units, voting as a separate class, neither the General Partner nor the Board of Directors shall adopt any amendment to this Agreement that would have a material adverse effect on the existing terms of the Series A Preference Units.</w:t>
      </w:r>
    </w:p>
    <w:p>
      <w:pPr>
        <w:spacing w:after="0" w:line="212" w:lineRule="exact"/>
        <w:rPr>
          <w:sz w:val="20"/>
          <w:szCs w:val="20"/>
          <w:color w:val="auto"/>
        </w:rPr>
      </w:pPr>
    </w:p>
    <w:p>
      <w:pPr>
        <w:ind w:left="640" w:right="20" w:firstLine="645"/>
        <w:spacing w:after="0" w:line="236" w:lineRule="auto"/>
        <w:tabs>
          <w:tab w:leader="none" w:pos="195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A Preference Units voting as a class together with holders of any other Parity Securities upon which like voting rights have been conferred and are exercisable, the Partnership shall not (x) issue any Parity Securities if the cumulative dividends payable on Outstanding Series A Preference Units are in arrears or (y) create or issue any Senior Securities.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61" w:right="259" w:bottom="1440" w:gutter="0" w:footer="0" w:header="0"/>
        </w:sectPr>
      </w:pPr>
    </w:p>
    <w:bookmarkStart w:id="96" w:name="page97"/>
    <w:bookmarkEnd w:id="96"/>
    <w:p>
      <w:pPr>
        <w:ind w:firstLine="1305"/>
        <w:spacing w:after="0" w:line="238" w:lineRule="auto"/>
        <w:tabs>
          <w:tab w:leader="none" w:pos="19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in which the Series A Holders are entitled to vote as a class (whether separately or together with the holders of any Parity Securities), such Series A Holders shall be entitled to one vote per Series A Preference Unit. Any Series A Preference Units held by the Partnership or any of its subsidiaries or Affiliates shall not be entitled to vote.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33" w:lineRule="exact"/>
        <w:rPr>
          <w:sz w:val="20"/>
          <w:szCs w:val="20"/>
          <w:color w:val="auto"/>
        </w:rPr>
      </w:pPr>
    </w:p>
    <w:p>
      <w:pPr>
        <w:ind w:right="12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June 15, 2027 to redeem the Series A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A Redemption Date</w:t>
      </w:r>
      <w:r>
        <w:rPr>
          <w:rFonts w:ascii="Arial" w:cs="Arial" w:eastAsia="Arial" w:hAnsi="Arial"/>
          <w:sz w:val="21"/>
          <w:szCs w:val="21"/>
          <w:color w:val="auto"/>
        </w:rPr>
        <w:t>”).</w:t>
      </w:r>
    </w:p>
    <w:p>
      <w:pPr>
        <w:spacing w:after="0" w:line="194" w:lineRule="exact"/>
        <w:rPr>
          <w:sz w:val="20"/>
          <w:szCs w:val="20"/>
          <w:color w:val="auto"/>
        </w:rPr>
      </w:pPr>
    </w:p>
    <w:p>
      <w:pPr>
        <w:ind w:right="100" w:firstLine="1305"/>
        <w:spacing w:after="0" w:line="287" w:lineRule="auto"/>
        <w:tabs>
          <w:tab w:leader="none" w:pos="195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A Preference Unit to be redeemed equal to the Series A Liquidation Preference for such Series A Preference Unit on such Series A Redemption Date (the “</w:t>
      </w:r>
      <w:r>
        <w:rPr>
          <w:rFonts w:ascii="Arial" w:cs="Arial" w:eastAsia="Arial" w:hAnsi="Arial"/>
          <w:sz w:val="19"/>
          <w:szCs w:val="19"/>
          <w:b w:val="1"/>
          <w:bCs w:val="1"/>
          <w:i w:val="1"/>
          <w:iCs w:val="1"/>
          <w:color w:val="auto"/>
        </w:rPr>
        <w:t>Series A Redemption Price</w:t>
      </w:r>
      <w:r>
        <w:rPr>
          <w:rFonts w:ascii="Arial" w:cs="Arial" w:eastAsia="Arial" w:hAnsi="Arial"/>
          <w:sz w:val="19"/>
          <w:szCs w:val="19"/>
          <w:color w:val="auto"/>
        </w:rPr>
        <w:t>”). So long as the Series A Preference Units to be redeemed are held of record by the nominee of the Depository, the Series A Redemption Price shall be paid by the Paying Agent to the Depository on the Series A Redemption Date.</w:t>
      </w:r>
    </w:p>
    <w:p>
      <w:pPr>
        <w:spacing w:after="0" w:line="170" w:lineRule="exact"/>
        <w:rPr>
          <w:rFonts w:ascii="Arial" w:cs="Arial" w:eastAsia="Arial" w:hAnsi="Arial"/>
          <w:sz w:val="19"/>
          <w:szCs w:val="19"/>
          <w:color w:val="auto"/>
        </w:rPr>
      </w:pPr>
    </w:p>
    <w:p>
      <w:pPr>
        <w:ind w:firstLine="1305"/>
        <w:spacing w:after="0" w:line="245" w:lineRule="auto"/>
        <w:tabs>
          <w:tab w:leader="none" w:pos="195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A Redemption Date to the Series A Holders (as of 5:00 p.m. New York City time on the Business Day next preceding the day on which notice is given) of any Series A Preference Units to be redeemed as such Series A Holders’ names appear on the books of the Transfer Agent and at the address of such Series A Holders shown therein. Such notice (the “</w:t>
      </w:r>
      <w:r>
        <w:rPr>
          <w:rFonts w:ascii="Arial" w:cs="Arial" w:eastAsia="Arial" w:hAnsi="Arial"/>
          <w:sz w:val="21"/>
          <w:szCs w:val="21"/>
          <w:b w:val="1"/>
          <w:bCs w:val="1"/>
          <w:i w:val="1"/>
          <w:iCs w:val="1"/>
          <w:color w:val="auto"/>
        </w:rPr>
        <w:t>Series A Redemption Notice</w:t>
      </w:r>
      <w:r>
        <w:rPr>
          <w:rFonts w:ascii="Arial" w:cs="Arial" w:eastAsia="Arial" w:hAnsi="Arial"/>
          <w:sz w:val="21"/>
          <w:szCs w:val="21"/>
          <w:color w:val="auto"/>
        </w:rPr>
        <w:t>”) shall state, as applicable: (1) the Series A Redemption Date, (2) the number of Series A Preference Units to be redeemed and, if less than all Outstanding Series A Preference Units are to be redeemed, the number (and the identification) of Units to be redeemed from such Series A Holder, (3) the Series A Redemption Price, (4) the place where the Series A Preference Units are to be redeemed and shall be presented and surrendered for payment of the Series A Redemption Price therefor and (5) that distributions on the Units to be redeemed shall cease to accumulate from and after such Series A Redemption Date.</w:t>
      </w:r>
    </w:p>
    <w:p>
      <w:pPr>
        <w:spacing w:after="0" w:line="208" w:lineRule="exact"/>
        <w:rPr>
          <w:rFonts w:ascii="Arial" w:cs="Arial" w:eastAsia="Arial" w:hAnsi="Arial"/>
          <w:sz w:val="21"/>
          <w:szCs w:val="21"/>
          <w:color w:val="auto"/>
        </w:rPr>
      </w:pPr>
    </w:p>
    <w:p>
      <w:pPr>
        <w:ind w:right="40" w:firstLine="1305"/>
        <w:spacing w:after="0" w:line="234" w:lineRule="auto"/>
        <w:tabs>
          <w:tab w:leader="none" w:pos="195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A Preference Units, the number of Series A Preference Units to be redeemed shall be determined by the Board of Directors, and such Series A Preference Units shall be redeemed by such method of selection as the Depository shall determine either Pro Rata or by lot, with adjustments to avoid redemption of fractional Series A Preference Units. The aggregate Series A Redemption Price for any such partial redemption of the Outstanding Series A Preference Units shall be allocated correspondingly among the redeemed Series A Preference Units. The Series A Preference Units not redeemed shall remain Outstanding and entitled to all the rights and preferences provided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218" w:lineRule="exact"/>
        <w:rPr>
          <w:rFonts w:ascii="Arial" w:cs="Arial" w:eastAsia="Arial" w:hAnsi="Arial"/>
          <w:sz w:val="22"/>
          <w:szCs w:val="22"/>
          <w:color w:val="auto"/>
        </w:rPr>
      </w:pPr>
    </w:p>
    <w:p>
      <w:pPr>
        <w:ind w:right="300" w:firstLine="1305"/>
        <w:spacing w:after="0" w:line="251" w:lineRule="auto"/>
        <w:tabs>
          <w:tab w:leader="none" w:pos="19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If the Partnership gives or causes to be given a Series A Redemption Notice, the Partnership shall deposit with the Paying Agent funds, sufficient to redeem the Series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97" w:name="page98"/>
    <w:bookmarkEnd w:id="97"/>
    <w:p>
      <w:pPr>
        <w:ind w:right="80"/>
        <w:spacing w:after="0" w:line="270" w:lineRule="auto"/>
        <w:rPr>
          <w:sz w:val="20"/>
          <w:szCs w:val="20"/>
          <w:color w:val="auto"/>
        </w:rPr>
      </w:pPr>
      <w:r>
        <w:rPr>
          <w:rFonts w:ascii="Arial" w:cs="Arial" w:eastAsia="Arial" w:hAnsi="Arial"/>
          <w:sz w:val="19"/>
          <w:szCs w:val="19"/>
          <w:color w:val="auto"/>
        </w:rPr>
        <w:t>A Preference Units, as to which such Series A Redemption Notice shall have been given, no later than 5:00 p.m. New York City time on the Business Day immediately preceding the Series A Redemption Date, and shall give the Paying Agent irrevocable instructions and authority to pay the Series A Redemption Price to the Series A Holders to be redeemed upon surrender or deemed surrender (which shall occur automatically if the Certificate representing such Series A Preference Units is issued in the name of the Depository or its nominee) of the Certificates therefor as set forth in the Series A Redemption Notice. If the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Preference Units to be redeemed shall cease to accumulate and all rights of holders of such Series A Preference Units as Limited Partners with respect to such Series A Preference Units to be redeemed shall cease, except the right to receive the Series A Redemption Price, and such Series A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A Redemption Price of the Series A Preference Units to be redeemed), and the holders of any Series A Preference Units so redeemed shall have no claim to any such interest income. Any funds deposited with the Paying Agent hereunder by the Partnership for any reason, including redemption of Series A Preference Units, that remain unclaimed or unpaid after two years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 Notwithstanding any Series A Redemption Notice, there shall be no redemption of any Series A Preference Units called for redemption until funds sufficient to pay the full Series A Redemption Price of such Series A Preference Units shall have been deposited by the Partnership with the Paying Agent.</w:t>
      </w:r>
    </w:p>
    <w:p>
      <w:pPr>
        <w:spacing w:after="0" w:line="200" w:lineRule="exact"/>
        <w:rPr>
          <w:sz w:val="20"/>
          <w:szCs w:val="20"/>
          <w:color w:val="auto"/>
        </w:rPr>
      </w:pPr>
    </w:p>
    <w:p>
      <w:pPr>
        <w:spacing w:after="0" w:line="232" w:lineRule="exact"/>
        <w:rPr>
          <w:sz w:val="20"/>
          <w:szCs w:val="20"/>
          <w:color w:val="auto"/>
        </w:rPr>
      </w:pPr>
    </w:p>
    <w:p>
      <w:pPr>
        <w:ind w:firstLine="1305"/>
        <w:spacing w:after="0" w:line="248" w:lineRule="auto"/>
        <w:tabs>
          <w:tab w:leader="none" w:pos="195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Any Series A Preference Units that are redeemed or otherwise acquired by the Partnership shall be canceled. If only a portion of the Series A Preference Units represented by a Certificate shall have been called for redemption, upon surrender of the Certificate to the Paying Agent (which shall occur automatically if the Certificate representing such Series A Preference Units is registered in the name of the Depository or its nominee), the Paying Agent shall issue to the Series A Holders a new Certificate (or adjust the applicable book-entry account) representing the number of Series A Preference Units represented by the surrendered Certificate that have not been called for redemption.</w:t>
      </w:r>
    </w:p>
    <w:p>
      <w:pPr>
        <w:spacing w:after="0" w:line="204" w:lineRule="exact"/>
        <w:rPr>
          <w:rFonts w:ascii="Arial" w:cs="Arial" w:eastAsia="Arial" w:hAnsi="Arial"/>
          <w:sz w:val="21"/>
          <w:szCs w:val="21"/>
          <w:color w:val="auto"/>
        </w:rPr>
      </w:pPr>
    </w:p>
    <w:p>
      <w:pPr>
        <w:ind w:right="40" w:firstLine="1305"/>
        <w:spacing w:after="0" w:line="279" w:lineRule="auto"/>
        <w:tabs>
          <w:tab w:leader="none" w:pos="194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in the event that full cumulative distributions on the Series A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A Preference Units or other Parity Securities except pursuant to a purchase or exchange offer made on the same terms to all Series A Holders and holders of any other Parity Securities. None of the Partnership, the General Partner or any Affiliate of the General Partner shall be permitted to redeem, repurchase or otherwise acquire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8" w:name="page99"/>
    <w:bookmarkEnd w:id="98"/>
    <w:p>
      <w:pPr>
        <w:ind w:right="80"/>
        <w:spacing w:after="0"/>
        <w:rPr>
          <w:sz w:val="20"/>
          <w:szCs w:val="20"/>
          <w:color w:val="auto"/>
        </w:rPr>
      </w:pPr>
      <w:r>
        <w:rPr>
          <w:rFonts w:ascii="Arial" w:cs="Arial" w:eastAsia="Arial" w:hAnsi="Arial"/>
          <w:sz w:val="22"/>
          <w:szCs w:val="22"/>
          <w:color w:val="auto"/>
        </w:rPr>
        <w:t>any Common Units or any other Junior Securities unless full cumulative distributions on the Series A Preference Units and any other Parity Securities for all prior and the then-ending Series A Distribution Periods shall have been paid or declared and set apart for payment.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16.7.  </w:t>
      </w:r>
      <w:r>
        <w:rPr>
          <w:rFonts w:ascii="Arial" w:cs="Arial" w:eastAsia="Arial" w:hAnsi="Arial"/>
          <w:sz w:val="22"/>
          <w:szCs w:val="22"/>
          <w:i w:val="1"/>
          <w:iCs w:val="1"/>
          <w:color w:val="auto"/>
        </w:rPr>
        <w:t>Rank</w:t>
      </w:r>
      <w:r>
        <w:rPr>
          <w:rFonts w:ascii="Arial" w:cs="Arial" w:eastAsia="Arial" w:hAnsi="Arial"/>
          <w:sz w:val="22"/>
          <w:szCs w:val="22"/>
          <w:color w:val="auto"/>
        </w:rPr>
        <w:t>. The Series A Preference Units shall each be deemed to rank:</w:t>
      </w:r>
    </w:p>
    <w:p>
      <w:pPr>
        <w:spacing w:after="0" w:line="233" w:lineRule="exact"/>
        <w:rPr>
          <w:sz w:val="20"/>
          <w:szCs w:val="20"/>
          <w:color w:val="auto"/>
        </w:rPr>
      </w:pPr>
    </w:p>
    <w:p>
      <w:pPr>
        <w:ind w:left="1960" w:hanging="655"/>
        <w:spacing w:after="0"/>
        <w:tabs>
          <w:tab w:leader="none" w:pos="19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33"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A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16.8.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A Preference Units shall not have the benefit of any sinking fund.</w:t>
      </w:r>
    </w:p>
    <w:p>
      <w:pPr>
        <w:spacing w:after="0" w:line="268"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 xml:space="preserve">Section 16.9.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A Holder as the true, lawful and absolute owner of the applicable Series A Preference Units for all purposes, and neither the General Partner, the Partnership nor the Transfer Agent or the Paying Agent shall be affected by any notice to the contrary.</w:t>
      </w:r>
    </w:p>
    <w:p>
      <w:pPr>
        <w:spacing w:after="0" w:line="212"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16.10.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A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 this Agreement or by applicable law.</w:t>
      </w:r>
    </w:p>
    <w:p>
      <w:pPr>
        <w:spacing w:after="0" w:line="213"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A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A Holders, other than the implied duty of good faith and fair dealing.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22"/>
          <w:szCs w:val="22"/>
          <w:b w:val="1"/>
          <w:bCs w:val="1"/>
          <w:color w:val="auto"/>
        </w:rPr>
        <w:t>ARTICLE XVII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SERIES B CUMULATIVE REDEEMABLE PERPETUAL FIXED TO FLOATING RATE PREFERENCE UNITS</w:t>
      </w:r>
    </w:p>
    <w:p>
      <w:pPr>
        <w:spacing w:after="0" w:line="215"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17.1.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January 17, 2018, the Board of Directors designated and created a series of Preference Units designated as “8.200% Series B Cumulative Redeemable Perpetual Fixed to Floating Rate Preference Units,” and fixed the preferences, rights, powers and duties of the holders of the Series B Preference Units as set forth in this </w:t>
      </w:r>
      <w:r>
        <w:rPr>
          <w:rFonts w:ascii="Arial" w:cs="Arial" w:eastAsia="Arial" w:hAnsi="Arial"/>
          <w:sz w:val="19"/>
          <w:szCs w:val="19"/>
          <w:u w:val="single" w:color="auto"/>
          <w:color w:val="auto"/>
        </w:rPr>
        <w:t>Article XVII</w:t>
      </w:r>
      <w:r>
        <w:rPr>
          <w:rFonts w:ascii="Arial" w:cs="Arial" w:eastAsia="Arial" w:hAnsi="Arial"/>
          <w:sz w:val="19"/>
          <w:szCs w:val="19"/>
          <w:color w:val="auto"/>
        </w:rPr>
        <w:t>. Each Series B Preference Unit shall be identical in all respects to every other Series B Preference Unit, except as to the respective dates from which the Series B Liquidation Preference shall increase or from which Series B Distributions may begin accruing, to the extent such dates may differ. The Series B Preference Units represent perpetual equity interests in the Partnership and shall not give rise to a claim by the holder for redemption thereof at a particular date.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33" w:lineRule="exact"/>
        <w:rPr>
          <w:sz w:val="20"/>
          <w:szCs w:val="20"/>
          <w:color w:val="auto"/>
        </w:rPr>
      </w:pPr>
    </w:p>
    <w:p>
      <w:pPr>
        <w:ind w:right="200" w:firstLine="1305"/>
        <w:spacing w:after="0" w:line="251" w:lineRule="auto"/>
        <w:tabs>
          <w:tab w:leader="none" w:pos="195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authorized number of Series B Preference Units shall be unlimited. Series B Preference Units that are purchased or otherwise acquired by the Partnership shall be cancelled.</w:t>
      </w:r>
    </w:p>
    <w:p>
      <w:pPr>
        <w:spacing w:after="0" w:line="200" w:lineRule="exact"/>
        <w:rPr>
          <w:rFonts w:ascii="Arial" w:cs="Arial" w:eastAsia="Arial" w:hAnsi="Arial"/>
          <w:sz w:val="22"/>
          <w:szCs w:val="22"/>
          <w:color w:val="auto"/>
        </w:rPr>
      </w:pPr>
    </w:p>
    <w:p>
      <w:pPr>
        <w:ind w:firstLine="1305"/>
        <w:spacing w:after="0" w:line="234" w:lineRule="auto"/>
        <w:tabs>
          <w:tab w:leader="none" w:pos="195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Series B Preference Units shall be represented by a single Certificate registered in the name of the Depository or its nominee, and no Series B Holder shall be entitled 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B Holders shall be made by making payments to, and communicating with, the Depository.</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33" w:lineRule="exact"/>
        <w:rPr>
          <w:sz w:val="20"/>
          <w:szCs w:val="20"/>
          <w:color w:val="auto"/>
        </w:rPr>
      </w:pPr>
    </w:p>
    <w:p>
      <w:pPr>
        <w:ind w:right="140" w:firstLine="1305"/>
        <w:spacing w:after="0" w:line="273" w:lineRule="auto"/>
        <w:tabs>
          <w:tab w:leader="none" w:pos="195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Distributions on each Series B Preference Unit shall be cumulative and shall accrue at the Series B Distribution Rate from the Series B Original Issue Date (or, for any subsequently issued and newly Outstanding Series B Preference Units, from the Series B Distribution Payment Date immediately preceding the issuance date of such Units) until such time as the Partnership pays the Series B Distribution or redeems the Series B Preference Units in full in accordance with </w:t>
      </w:r>
      <w:r>
        <w:rPr>
          <w:rFonts w:ascii="Arial" w:cs="Arial" w:eastAsia="Arial" w:hAnsi="Arial"/>
          <w:sz w:val="19"/>
          <w:szCs w:val="19"/>
          <w:u w:val="single" w:color="auto"/>
          <w:color w:val="auto"/>
        </w:rPr>
        <w:t>Section 17.6</w:t>
      </w:r>
      <w:r>
        <w:rPr>
          <w:rFonts w:ascii="Arial" w:cs="Arial" w:eastAsia="Arial" w:hAnsi="Arial"/>
          <w:sz w:val="19"/>
          <w:szCs w:val="19"/>
          <w:color w:val="auto"/>
        </w:rPr>
        <w:t xml:space="preserve"> below,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Preference Unit when, as, and if declared by the Board of Directors. Series B Distributions, to the extent declared by the Board of Directors to be paid by the Partnership in accordance with this </w:t>
      </w:r>
      <w:r>
        <w:rPr>
          <w:rFonts w:ascii="Arial" w:cs="Arial" w:eastAsia="Arial" w:hAnsi="Arial"/>
          <w:sz w:val="19"/>
          <w:szCs w:val="19"/>
          <w:u w:val="single" w:color="auto"/>
          <w:color w:val="auto"/>
        </w:rPr>
        <w:t>Section 17.3</w:t>
      </w:r>
      <w:r>
        <w:rPr>
          <w:rFonts w:ascii="Arial" w:cs="Arial" w:eastAsia="Arial" w:hAnsi="Arial"/>
          <w:sz w:val="19"/>
          <w:szCs w:val="19"/>
          <w:color w:val="auto"/>
        </w:rPr>
        <w:t>, shall be paid quarterly on each Series B Distribution Payment Date. Distributions shall accumulate in each Series B Distribution Period from and including the preceding Series B Distribution Payment Date (other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00" w:name="page101"/>
    <w:bookmarkEnd w:id="100"/>
    <w:p>
      <w:pPr>
        <w:ind w:right="80"/>
        <w:spacing w:after="0" w:line="273" w:lineRule="auto"/>
        <w:rPr>
          <w:sz w:val="20"/>
          <w:szCs w:val="20"/>
          <w:color w:val="auto"/>
        </w:rPr>
      </w:pPr>
      <w:r>
        <w:rPr>
          <w:rFonts w:ascii="Arial" w:cs="Arial" w:eastAsia="Arial" w:hAnsi="Arial"/>
          <w:sz w:val="19"/>
          <w:szCs w:val="19"/>
          <w:color w:val="auto"/>
        </w:rPr>
        <w:t>than the initial Series B Distribution Period, which shall commence on and include the Series B Original Issue Date), to but excluding the next Series B Distribution Payment Date for such Series B Distribution Period and distributions shall accrue on accumulated Series B Distributions at the Series B Distribution Rate. If any Series B Distribution Payment Date during the Series B Fixed Rate Period would otherwise occur on a date that is not a Business Day, declared Series B Distributions shall be paid on the immediately succeeding Business Day without the accumulation of additional distributions. If any Series B Distribution Payment Date during the Series B Floating Rate Period would otherwise occur on a date that is not a Business Day, then the Series B Distribution Payment Date will be the next day that is a Business Day. Series B Distributions payable for any Series B Distribution Period during the Series B Fixed Rate Period will be calculated based on a 360-day year consisting of twelve 30-day months. Series B Distributions payable for any Series B Distribution Period during the Series B Floating Rate Period will be calculated based on a 360-day year and the number of days actually elapsed during such Series B Distribution Period.</w:t>
      </w:r>
    </w:p>
    <w:p>
      <w:pPr>
        <w:spacing w:after="0" w:line="189" w:lineRule="exact"/>
        <w:rPr>
          <w:sz w:val="20"/>
          <w:szCs w:val="20"/>
          <w:color w:val="auto"/>
        </w:rPr>
      </w:pPr>
    </w:p>
    <w:p>
      <w:pPr>
        <w:ind w:right="40" w:firstLine="1305"/>
        <w:spacing w:after="0" w:line="236" w:lineRule="auto"/>
        <w:tabs>
          <w:tab w:leader="none" w:pos="195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For each Series B Distribution Period during the Series B Floating Rate Period, the applicable Series B Distribution Rate will be determined by the Calculation Agent as of the applicable Series B Distribution Determination Date for such Series B Distribution Period. For purposes of determining the applicable Series B Distribution Rate, the Series B Three-Month LIBOR Rate will be determined by the Calculation Agent, as of the applicable Series B Distribution Determination Date, in accordance with the following provisions:</w:t>
      </w:r>
    </w:p>
    <w:p>
      <w:pPr>
        <w:spacing w:after="0" w:line="215" w:lineRule="exact"/>
        <w:rPr>
          <w:sz w:val="20"/>
          <w:szCs w:val="20"/>
          <w:color w:val="auto"/>
        </w:rPr>
      </w:pPr>
    </w:p>
    <w:p>
      <w:pPr>
        <w:jc w:val="both"/>
        <w:ind w:left="660" w:right="200" w:firstLine="645"/>
        <w:spacing w:after="0" w:line="297" w:lineRule="auto"/>
        <w:tabs>
          <w:tab w:leader="none" w:pos="197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Series B Three-Month LIBOR Rate will be the rate (expressed as a percentage per year) for deposits in U.S. dollars having an index maturity of three months, in amounts of at least $1,000,000, as such rate appears on Reuters Page LIBOR01 at approximately 11:00 a.m. (London time) on the relevant Series B Distribution Determination Date; or</w:t>
      </w:r>
    </w:p>
    <w:p>
      <w:pPr>
        <w:spacing w:after="0" w:line="161" w:lineRule="exact"/>
        <w:rPr>
          <w:rFonts w:ascii="Arial" w:cs="Arial" w:eastAsia="Arial" w:hAnsi="Arial"/>
          <w:sz w:val="19"/>
          <w:szCs w:val="19"/>
          <w:color w:val="auto"/>
        </w:rPr>
      </w:pPr>
    </w:p>
    <w:p>
      <w:pPr>
        <w:ind w:left="660" w:firstLine="645"/>
        <w:spacing w:after="0" w:line="272" w:lineRule="auto"/>
        <w:tabs>
          <w:tab w:leader="none" w:pos="197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B Distribution Determination Date, then the Calculation Agent, after consultation 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B Distribution Period, to prime banks in the London interbank market at approximately 11:00 a.m. (London time) on that Series B Distribution Determination Date for the applicable Series B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B Three-Month LIBOR Rate for such Series B Distribution Period will be the arithmetic mean (rounded upward if necessary, to the nearest 0.00001 of 1%) of those quotations. If fewer than two quotations are provided, the Series B Three-Month LIBOR Rate for such Series B Distribution Period will be the arithmetic mean (rounded upward if necessary, to the nearest 0.00001 of 1%) of the rates quoted at approximately 11:00 a.m. (New York City time) on that Series B Distribution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1" w:name="page102"/>
    <w:bookmarkEnd w:id="101"/>
    <w:p>
      <w:pPr>
        <w:ind w:left="640" w:right="60"/>
        <w:spacing w:after="0" w:line="274" w:lineRule="auto"/>
        <w:rPr>
          <w:sz w:val="20"/>
          <w:szCs w:val="20"/>
          <w:color w:val="auto"/>
        </w:rPr>
      </w:pPr>
      <w:r>
        <w:rPr>
          <w:rFonts w:ascii="Arial" w:cs="Arial" w:eastAsia="Arial" w:hAnsi="Arial"/>
          <w:sz w:val="19"/>
          <w:szCs w:val="19"/>
          <w:color w:val="auto"/>
        </w:rPr>
        <w:t>Determination Date for such Series B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B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B Three-Month LIBOR Rate or any of the foregoing lending rates, shall determine Series B Three-Month LIBOR Rate for the applicable Distribution Period in its discretion, after consultation with the Partnership.</w:t>
      </w:r>
    </w:p>
    <w:p>
      <w:pPr>
        <w:spacing w:after="0" w:line="186" w:lineRule="exact"/>
        <w:rPr>
          <w:sz w:val="20"/>
          <w:szCs w:val="20"/>
          <w:color w:val="auto"/>
        </w:rPr>
      </w:pPr>
    </w:p>
    <w:p>
      <w:pPr>
        <w:ind w:left="640" w:firstLine="645"/>
        <w:spacing w:after="0" w:line="274" w:lineRule="auto"/>
        <w:tabs>
          <w:tab w:leader="none" w:pos="196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B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B Distribution Determination Date and any other relevant methodology for calculating such substitute or successor base rate in a manner that is consistent with industry-accepted practices for such substitute or successor base rate.</w:t>
      </w:r>
    </w:p>
    <w:p>
      <w:pPr>
        <w:spacing w:after="0" w:line="186" w:lineRule="exact"/>
        <w:rPr>
          <w:sz w:val="20"/>
          <w:szCs w:val="20"/>
          <w:color w:val="auto"/>
        </w:rPr>
      </w:pPr>
    </w:p>
    <w:p>
      <w:pPr>
        <w:ind w:left="640" w:right="200" w:firstLine="1297"/>
        <w:spacing w:after="0" w:line="258" w:lineRule="auto"/>
        <w:rPr>
          <w:sz w:val="20"/>
          <w:szCs w:val="20"/>
          <w:color w:val="auto"/>
        </w:rPr>
      </w:pPr>
      <w:r>
        <w:rPr>
          <w:rFonts w:ascii="Arial" w:cs="Arial" w:eastAsia="Arial" w:hAnsi="Arial"/>
          <w:sz w:val="21"/>
          <w:szCs w:val="21"/>
          <w:color w:val="auto"/>
        </w:rPr>
        <w:t>We will appoint a calculation agent for the Series B Preference Units prior to the commencement of the Series B Floating Rate Period and will be entitled to remove or replace the calculation agent in our discretion. In addition, we or an affiliate of ours may assume the duties of the calculation agent.</w:t>
      </w:r>
    </w:p>
    <w:p>
      <w:pPr>
        <w:spacing w:after="0" w:line="194" w:lineRule="exact"/>
        <w:rPr>
          <w:sz w:val="20"/>
          <w:szCs w:val="20"/>
          <w:color w:val="auto"/>
        </w:rPr>
      </w:pPr>
    </w:p>
    <w:p>
      <w:pPr>
        <w:ind w:left="-20" w:right="160" w:firstLine="1305"/>
        <w:spacing w:after="0" w:line="273" w:lineRule="auto"/>
        <w:tabs>
          <w:tab w:leader="none" w:pos="193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B Distribution Payment Date, the Partnership shall pay those Series B Distributions, if any, that shall have been declared by the Board of Directors to Series B Holders on the Record Date for the applicable Series B Preference Distribution. The Record Date (the “</w:t>
      </w:r>
      <w:r>
        <w:rPr>
          <w:rFonts w:ascii="Arial" w:cs="Arial" w:eastAsia="Arial" w:hAnsi="Arial"/>
          <w:sz w:val="19"/>
          <w:szCs w:val="19"/>
          <w:b w:val="1"/>
          <w:bCs w:val="1"/>
          <w:i w:val="1"/>
          <w:iCs w:val="1"/>
          <w:color w:val="auto"/>
        </w:rPr>
        <w:t>Series B Distribution Record Date</w:t>
      </w:r>
      <w:r>
        <w:rPr>
          <w:rFonts w:ascii="Arial" w:cs="Arial" w:eastAsia="Arial" w:hAnsi="Arial"/>
          <w:sz w:val="19"/>
          <w:szCs w:val="19"/>
          <w:color w:val="auto"/>
        </w:rPr>
        <w:t xml:space="preserve">”) for the payment of any Series B Distributions shall be the fifth Business Day immediately preceding the applicable Series B Distribution Payment Date, except that in the case of payments of Series B Distributions in arrears, the Series B Distribution Record Date with respect to a Series B Distribution Payment Date shall be such date as may be designated by the Board of Directors in accordance with this </w:t>
      </w:r>
      <w:r>
        <w:rPr>
          <w:rFonts w:ascii="Arial" w:cs="Arial" w:eastAsia="Arial" w:hAnsi="Arial"/>
          <w:sz w:val="19"/>
          <w:szCs w:val="19"/>
          <w:u w:val="single" w:color="auto"/>
          <w:color w:val="auto"/>
        </w:rPr>
        <w:t>Article XVII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B Distributions have been or contemporaneously are being paid or provided for on all Outstanding Series B Preference Units and any other Parity Securities through the most recent respective Series B Distribution Payment Dates.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61" w:right="259" w:bottom="1440" w:gutter="0" w:footer="0" w:header="0"/>
        </w:sectPr>
      </w:pPr>
    </w:p>
    <w:bookmarkStart w:id="102" w:name="page103"/>
    <w:bookmarkEnd w:id="102"/>
    <w:p>
      <w:pPr>
        <w:spacing w:after="0" w:line="271" w:lineRule="auto"/>
        <w:rPr>
          <w:sz w:val="20"/>
          <w:szCs w:val="20"/>
          <w:color w:val="auto"/>
        </w:rPr>
      </w:pPr>
      <w:r>
        <w:rPr>
          <w:rFonts w:ascii="Arial" w:cs="Arial" w:eastAsia="Arial" w:hAnsi="Arial"/>
          <w:sz w:val="19"/>
          <w:szCs w:val="19"/>
          <w:color w:val="auto"/>
        </w:rPr>
        <w:t xml:space="preserve">Accumulated Series B Distributions in arrears for any past Series B Distribution Period may be declared by the Board of Directors and paid on any date fixed by the Board of Directors, whether or not a Series B Distribution Payment Date, to Series B Holders on the record date for such payment, which may not be more than 60 days, nor less than 15 days, before such payment date. Subject to the next succeeding sentence, if all accumulated Series B Distributions in arrears on all Outstanding Series B Preference Units and any other Parity Securities shall not have been declared and paid, or if sufficient funds for the payment thereof shall not have been set apart, payment of accumulated distributions in arrears on the Series B Preference Units and any such Parity Securities shall be made in order of their respective distribution payment dates, commencing with the earliest. If less than all distributions payable with respect to all Series B Preference Units and any other Parity Securities are paid, any partial payment shall be made pro rata with respect to the Series B Preference Units and any such other Parity Securities entitled to a distribution payment at such time in proportion to the aggregate distribution amounts remaining due in respect of such Series B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17.6</w:t>
      </w:r>
      <w:r>
        <w:rPr>
          <w:rFonts w:ascii="Arial" w:cs="Arial" w:eastAsia="Arial" w:hAnsi="Arial"/>
          <w:sz w:val="19"/>
          <w:szCs w:val="19"/>
          <w:color w:val="auto"/>
        </w:rPr>
        <w:t xml:space="preserve">, Series B Holders shall not be entitled to any distribution, whether payable in cash, property or stock, in excess of full cumulative Series B Distributions. Except insofar as distributions accrue on the amount of any accumulated and unpaid Series B Distributions as described in </w:t>
      </w:r>
      <w:r>
        <w:rPr>
          <w:rFonts w:ascii="Arial" w:cs="Arial" w:eastAsia="Arial" w:hAnsi="Arial"/>
          <w:sz w:val="19"/>
          <w:szCs w:val="19"/>
          <w:u w:val="single" w:color="auto"/>
          <w:color w:val="auto"/>
        </w:rPr>
        <w:t>Section 17.3(a)</w:t>
      </w:r>
      <w:r>
        <w:rPr>
          <w:rFonts w:ascii="Arial" w:cs="Arial" w:eastAsia="Arial" w:hAnsi="Arial"/>
          <w:sz w:val="19"/>
          <w:szCs w:val="19"/>
          <w:color w:val="auto"/>
        </w:rPr>
        <w:t>, no interest or sum of money in lieu of interest shall be payable in respect of any distribution payment which may be in arrears on the Series B Preference Units. So long as the Series B Preference Units are held of record by the nominee of the Depository, declared Series B Distributions shall be paid to the Depository in same-day funds on each Series B Distribution Payment Date.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33" w:lineRule="exact"/>
        <w:rPr>
          <w:sz w:val="20"/>
          <w:szCs w:val="20"/>
          <w:color w:val="auto"/>
        </w:rPr>
      </w:pPr>
    </w:p>
    <w:p>
      <w:pPr>
        <w:ind w:right="60" w:firstLine="1305"/>
        <w:spacing w:after="0" w:line="271" w:lineRule="auto"/>
        <w:tabs>
          <w:tab w:leader="none" w:pos="195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B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B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B Preference Units in an amount equal to the Series B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B Preference Units or any Parity Securities and (y) the Series B Holders shall be entitled to the Series B Liquidation Preference per Series B Preference Unit in cash, concurrently with any distribution made to the holders of any Parity Securities and before any distribution shall be made to the holders of Common Units or any other Junior Securities. Series B Holders shall not be entitled to any other amounts from the Partnership, in their capacity as Series B Holders, after they have received the Series B Liquidation Preference. The payment of the Series B Liquidation Preference shall be a payment in redemption of the Series B Preference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3" w:name="page104"/>
    <w:bookmarkEnd w:id="103"/>
    <w:p>
      <w:pPr>
        <w:ind w:right="700"/>
        <w:spacing w:after="0" w:line="251" w:lineRule="auto"/>
        <w:rPr>
          <w:sz w:val="20"/>
          <w:szCs w:val="20"/>
          <w:color w:val="auto"/>
        </w:rPr>
      </w:pPr>
      <w:r>
        <w:rPr>
          <w:rFonts w:ascii="Arial" w:cs="Arial" w:eastAsia="Arial" w:hAnsi="Arial"/>
          <w:sz w:val="22"/>
          <w:szCs w:val="22"/>
          <w:color w:val="auto"/>
        </w:rPr>
        <w:t>Units such that, from and after payment of the full Series B Liquidation Preference, any such Series B Preference Unit shall thereafter be cancelled and no longer be Outstanding.</w:t>
      </w:r>
    </w:p>
    <w:p>
      <w:pPr>
        <w:spacing w:after="0" w:line="200" w:lineRule="exact"/>
        <w:rPr>
          <w:sz w:val="20"/>
          <w:szCs w:val="20"/>
          <w:color w:val="auto"/>
        </w:rPr>
      </w:pPr>
    </w:p>
    <w:p>
      <w:pPr>
        <w:ind w:right="40" w:firstLine="1305"/>
        <w:spacing w:after="0" w:line="246" w:lineRule="auto"/>
        <w:tabs>
          <w:tab w:leader="none" w:pos="1954"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17.4(a)</w:t>
      </w:r>
      <w:r>
        <w:rPr>
          <w:rFonts w:ascii="Arial" w:cs="Arial" w:eastAsia="Arial" w:hAnsi="Arial"/>
          <w:sz w:val="21"/>
          <w:szCs w:val="21"/>
          <w:color w:val="auto"/>
        </w:rPr>
        <w:t xml:space="preserve"> above where the Partnership’s assets available for distribution to holders of the Outstanding Series B Preference Units and any other Parity Securities are insufficient to satisfy the applicable Liquidation Preference for such Series B Preference Units and Parity Securities, the Partnership’s then remaining assets or proceeds thereof legally available for distribution to unitholders of the Partnership shall be distributed among the holders of Outstanding Series B Preference Units and such Parity Securities, as applicable, ratably on the basis of their relative aggregate Liquidation Preferences. To the extent that the Series B Holders receive a partial payment of their Series B Liquidation Preference, such partial payment shall reduce the Series B Liquidation Preference of their Series B Preference Units, but only to the extent of such amount paid.</w:t>
      </w:r>
    </w:p>
    <w:p>
      <w:pPr>
        <w:spacing w:after="0" w:line="207" w:lineRule="exact"/>
        <w:rPr>
          <w:rFonts w:ascii="Arial" w:cs="Arial" w:eastAsia="Arial" w:hAnsi="Arial"/>
          <w:sz w:val="21"/>
          <w:szCs w:val="21"/>
          <w:color w:val="auto"/>
        </w:rPr>
      </w:pPr>
    </w:p>
    <w:p>
      <w:pPr>
        <w:ind w:firstLine="1305"/>
        <w:spacing w:after="0" w:line="297" w:lineRule="auto"/>
        <w:tabs>
          <w:tab w:leader="none" w:pos="195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After payment of the applicable Liquidation Preference to the holders of the Outstanding Series B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33" w:lineRule="exact"/>
        <w:rPr>
          <w:sz w:val="20"/>
          <w:szCs w:val="20"/>
          <w:color w:val="auto"/>
        </w:rPr>
      </w:pPr>
    </w:p>
    <w:p>
      <w:pPr>
        <w:ind w:firstLine="1305"/>
        <w:spacing w:after="0" w:line="328" w:lineRule="auto"/>
        <w:tabs>
          <w:tab w:leader="none" w:pos="195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B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or as otherwise provided by the Marshall Islands Act.</w:t>
      </w:r>
    </w:p>
    <w:p>
      <w:pPr>
        <w:spacing w:after="0" w:line="132" w:lineRule="exact"/>
        <w:rPr>
          <w:rFonts w:ascii="Arial" w:cs="Arial" w:eastAsia="Arial" w:hAnsi="Arial"/>
          <w:sz w:val="19"/>
          <w:szCs w:val="19"/>
          <w:color w:val="auto"/>
        </w:rPr>
      </w:pPr>
    </w:p>
    <w:p>
      <w:pPr>
        <w:ind w:firstLine="1305"/>
        <w:spacing w:after="0" w:line="271" w:lineRule="auto"/>
        <w:tabs>
          <w:tab w:leader="none" w:pos="195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B Distributions, whether consecutive or not, are in arrears, the Series B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B Holders holding a majority of the Outstanding Series B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B Holders shall not apply to the election of another director if (i) Series B Holders and holders of Parity Securities upon which like voting rights have been conferred, voting as a class, have previously elected a member of the Board of Directors and (ii) such director continues then to serve on the Board of Directors. Such right of such Series B Holders to elect a member of the Board of Directors shall continue until the Partnership pays in full, or declares and sets aside funds for the payment of, all Series B Distributions accumulated and in arrears on the Series B Preference Units, at which time such right shall terminate, subject to the revesting of such right in the event of each and every subsequent failure to pay six quarterly Series B Distributions as described above in this </w:t>
      </w:r>
      <w:r>
        <w:rPr>
          <w:rFonts w:ascii="Arial" w:cs="Arial" w:eastAsia="Arial" w:hAnsi="Arial"/>
          <w:sz w:val="19"/>
          <w:szCs w:val="19"/>
          <w:u w:val="single" w:color="auto"/>
          <w:color w:val="auto"/>
        </w:rPr>
        <w:t>Section 17.5(b)</w:t>
      </w:r>
      <w:r>
        <w:rPr>
          <w:rFonts w:ascii="Arial" w:cs="Arial" w:eastAsia="Arial" w:hAnsi="Arial"/>
          <w:sz w:val="19"/>
          <w:szCs w:val="19"/>
          <w:color w:val="auto"/>
        </w:rPr>
        <w:t>. Upon any termination of the right of the Series B Holders and holders of any other Parity Securities to vote as a class for such director, the term of office of the director then in office elected by such Series B Holders and holders voting as a class shall terminate immediately. Any director elected by the Series B Holders and holders of any other Parity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4" w:name="page105"/>
    <w:bookmarkEnd w:id="104"/>
    <w:p>
      <w:pPr>
        <w:jc w:val="both"/>
        <w:ind w:right="60"/>
        <w:spacing w:after="0" w:line="287" w:lineRule="auto"/>
        <w:rPr>
          <w:sz w:val="20"/>
          <w:szCs w:val="20"/>
          <w:color w:val="auto"/>
        </w:rPr>
      </w:pPr>
      <w:r>
        <w:rPr>
          <w:rFonts w:ascii="Arial" w:cs="Arial" w:eastAsia="Arial" w:hAnsi="Arial"/>
          <w:sz w:val="19"/>
          <w:szCs w:val="19"/>
          <w:color w:val="auto"/>
        </w:rPr>
        <w:t xml:space="preserve">Securities shall be entitled to one vote on any matter before the Board of Directors. Upon each election of a member of the Board of Directors by Series B Holders pursuant to this </w:t>
      </w:r>
      <w:r>
        <w:rPr>
          <w:rFonts w:ascii="Arial" w:cs="Arial" w:eastAsia="Arial" w:hAnsi="Arial"/>
          <w:sz w:val="19"/>
          <w:szCs w:val="19"/>
          <w:u w:val="single" w:color="auto"/>
          <w:color w:val="auto"/>
        </w:rPr>
        <w:t>Section 17.5(b)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B Holders.</w:t>
      </w:r>
    </w:p>
    <w:p>
      <w:pPr>
        <w:spacing w:after="0" w:line="170" w:lineRule="exact"/>
        <w:rPr>
          <w:sz w:val="20"/>
          <w:szCs w:val="20"/>
          <w:color w:val="auto"/>
        </w:rPr>
      </w:pPr>
    </w:p>
    <w:p>
      <w:pPr>
        <w:ind w:right="20" w:firstLine="1305"/>
        <w:spacing w:after="0" w:line="238" w:lineRule="auto"/>
        <w:tabs>
          <w:tab w:leader="none" w:pos="195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B Preference Units, voting as a separate class, neither the General Partner nor the Board of Directors shall adopt any amendment to this Agreement that would have a material adverse effect on the existing terms of the Series B Preference Units.</w:t>
      </w:r>
    </w:p>
    <w:p>
      <w:pPr>
        <w:spacing w:after="0" w:line="212" w:lineRule="exact"/>
        <w:rPr>
          <w:sz w:val="20"/>
          <w:szCs w:val="20"/>
          <w:color w:val="auto"/>
        </w:rPr>
      </w:pPr>
    </w:p>
    <w:p>
      <w:pPr>
        <w:ind w:left="660" w:firstLine="645"/>
        <w:spacing w:after="0" w:line="236" w:lineRule="auto"/>
        <w:tabs>
          <w:tab w:leader="none" w:pos="197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B Preference Units voting as a class together with holders of any other Parity Securities upon which like voting rights have been conferred and are exercisable, the Partnership shall not (x) issue any Parity Securities if the cumulative dividends payable on Outstanding Series B Preference Units are in arrears or (y) create or issue any Senior Securities.</w:t>
      </w:r>
    </w:p>
    <w:p>
      <w:pPr>
        <w:spacing w:after="0" w:line="215" w:lineRule="exact"/>
        <w:rPr>
          <w:sz w:val="20"/>
          <w:szCs w:val="20"/>
          <w:color w:val="auto"/>
        </w:rPr>
      </w:pPr>
    </w:p>
    <w:p>
      <w:pPr>
        <w:ind w:right="20" w:firstLine="1305"/>
        <w:spacing w:after="0" w:line="238" w:lineRule="auto"/>
        <w:tabs>
          <w:tab w:leader="none" w:pos="19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17.5</w:t>
      </w:r>
      <w:r>
        <w:rPr>
          <w:rFonts w:ascii="Arial" w:cs="Arial" w:eastAsia="Arial" w:hAnsi="Arial"/>
          <w:sz w:val="22"/>
          <w:szCs w:val="22"/>
          <w:color w:val="auto"/>
        </w:rPr>
        <w:t xml:space="preserve"> in which the Series B Holders are entitled to vote as a class (whether separately or together with the holders of any Parity Securities), such Series B Holders shall be entitled to one vote per Series B Preference Unit. Any Series B Preference Units held by the Partnership or any of its subsidiaries or Affiliates shall not be entitled to vote.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33" w:lineRule="exact"/>
        <w:rPr>
          <w:sz w:val="20"/>
          <w:szCs w:val="20"/>
          <w:color w:val="auto"/>
        </w:rPr>
      </w:pPr>
    </w:p>
    <w:p>
      <w:pPr>
        <w:ind w:right="14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March 15, 2023 to redeem the Series B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B Redemption Date</w:t>
      </w:r>
      <w:r>
        <w:rPr>
          <w:rFonts w:ascii="Arial" w:cs="Arial" w:eastAsia="Arial" w:hAnsi="Arial"/>
          <w:sz w:val="21"/>
          <w:szCs w:val="21"/>
          <w:color w:val="auto"/>
        </w:rPr>
        <w:t>”).</w:t>
      </w:r>
    </w:p>
    <w:p>
      <w:pPr>
        <w:spacing w:after="0" w:line="194" w:lineRule="exact"/>
        <w:rPr>
          <w:sz w:val="20"/>
          <w:szCs w:val="20"/>
          <w:color w:val="auto"/>
        </w:rPr>
      </w:pPr>
    </w:p>
    <w:p>
      <w:pPr>
        <w:ind w:right="120" w:firstLine="1305"/>
        <w:spacing w:after="0" w:line="287" w:lineRule="auto"/>
        <w:tabs>
          <w:tab w:leader="none" w:pos="195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B Preference Unit to be redeemed equal to the Series B Liquidation Preference for such Series B Preference Unit on such Series B Redemption Date (the “</w:t>
      </w:r>
      <w:r>
        <w:rPr>
          <w:rFonts w:ascii="Arial" w:cs="Arial" w:eastAsia="Arial" w:hAnsi="Arial"/>
          <w:sz w:val="19"/>
          <w:szCs w:val="19"/>
          <w:b w:val="1"/>
          <w:bCs w:val="1"/>
          <w:i w:val="1"/>
          <w:iCs w:val="1"/>
          <w:color w:val="auto"/>
        </w:rPr>
        <w:t>Series B Redemption Price</w:t>
      </w:r>
      <w:r>
        <w:rPr>
          <w:rFonts w:ascii="Arial" w:cs="Arial" w:eastAsia="Arial" w:hAnsi="Arial"/>
          <w:sz w:val="19"/>
          <w:szCs w:val="19"/>
          <w:color w:val="auto"/>
        </w:rPr>
        <w:t>”). So long as the Series B Preference Units to be redeemed are held of record by the nominee of the Depository, the Series B Redemption Price shall be paid by the Paying Agent to the Depository on the Series B Redemption Date.</w:t>
      </w:r>
    </w:p>
    <w:p>
      <w:pPr>
        <w:spacing w:after="0" w:line="170" w:lineRule="exact"/>
        <w:rPr>
          <w:rFonts w:ascii="Arial" w:cs="Arial" w:eastAsia="Arial" w:hAnsi="Arial"/>
          <w:sz w:val="19"/>
          <w:szCs w:val="19"/>
          <w:color w:val="auto"/>
        </w:rPr>
      </w:pPr>
    </w:p>
    <w:p>
      <w:pPr>
        <w:ind w:right="20" w:firstLine="1305"/>
        <w:spacing w:after="0" w:line="236" w:lineRule="auto"/>
        <w:tabs>
          <w:tab w:leader="none" w:pos="195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Partnership shall give notice of any redemption by mail, postage prepaid, not less than 30 days and not more than 60 days before the scheduled Series B Redemption Date to the Series B Holders (as of 5:00 p.m. New York City time on the Business Day next preceding the day on which notice is given) of any Series B Preference Units to be redeemed as such Series B Holders’ names appear on the books of the Transfer Agent and at the address of such Series B Holders shown therein. Such notice (the “</w:t>
      </w:r>
      <w:r>
        <w:rPr>
          <w:rFonts w:ascii="Arial" w:cs="Arial" w:eastAsia="Arial" w:hAnsi="Arial"/>
          <w:sz w:val="22"/>
          <w:szCs w:val="22"/>
          <w:b w:val="1"/>
          <w:bCs w:val="1"/>
          <w:i w:val="1"/>
          <w:iCs w:val="1"/>
          <w:color w:val="auto"/>
        </w:rPr>
        <w:t>Series B Redemption</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05" w:name="page106"/>
    <w:bookmarkEnd w:id="105"/>
    <w:p>
      <w:pPr>
        <w:ind w:right="160"/>
        <w:spacing w:after="0" w:line="282" w:lineRule="auto"/>
        <w:rPr>
          <w:sz w:val="20"/>
          <w:szCs w:val="20"/>
          <w:color w:val="auto"/>
        </w:rPr>
      </w:pPr>
      <w:r>
        <w:rPr>
          <w:rFonts w:ascii="Arial" w:cs="Arial" w:eastAsia="Arial" w:hAnsi="Arial"/>
          <w:sz w:val="19"/>
          <w:szCs w:val="19"/>
          <w:b w:val="1"/>
          <w:bCs w:val="1"/>
          <w:i w:val="1"/>
          <w:iCs w:val="1"/>
          <w:color w:val="auto"/>
        </w:rPr>
        <w:t>Notice</w:t>
      </w:r>
      <w:r>
        <w:rPr>
          <w:rFonts w:ascii="Arial" w:cs="Arial" w:eastAsia="Arial" w:hAnsi="Arial"/>
          <w:sz w:val="19"/>
          <w:szCs w:val="19"/>
          <w:color w:val="auto"/>
        </w:rPr>
        <w:t>”) shall state, as applicable: (1) the Series B Redemption Date, (2) the number of Series B Preference Units to be redeemed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if less than all Outstanding Series B Preference Units are to be redeemed, the number (and the identification) of Units to be redeemed from such Series B Holder, (3) the Series B Redemption Price, (4) the place where the Series B Preference Units are to be redeemed and shall be presented and surrendered for payment of the Series B Redemption Price therefor and (5) that distributions on the Units to be redeemed shall cease to accumulate from and after such Series B Redemption Date.</w:t>
      </w:r>
    </w:p>
    <w:p>
      <w:pPr>
        <w:spacing w:after="0" w:line="175" w:lineRule="exact"/>
        <w:rPr>
          <w:sz w:val="20"/>
          <w:szCs w:val="20"/>
          <w:color w:val="auto"/>
        </w:rPr>
      </w:pPr>
    </w:p>
    <w:p>
      <w:pPr>
        <w:ind w:right="80" w:firstLine="1305"/>
        <w:spacing w:after="0" w:line="234" w:lineRule="auto"/>
        <w:tabs>
          <w:tab w:leader="none" w:pos="195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B Preference Units, the number of Series B Preference Units to be redeemed shall be determined by the Board of Directors, and such Series B Preference Units shall be redeemed by such method of selection as the Depository shall determine either Pro Rata or by lot, with adjustments to avoid redemption of fractional Series B Preference Units. The aggregate Series B Redemption Price for any such partial redemption of the Outstanding Series B Preference Units shall be allocated correspondingly among the redeemed Series B Preference Units. The Series B Preference Units not redeemed shall remain Outstanding and entitled to all the rights and preferences provided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218" w:lineRule="exact"/>
        <w:rPr>
          <w:rFonts w:ascii="Arial" w:cs="Arial" w:eastAsia="Arial" w:hAnsi="Arial"/>
          <w:sz w:val="22"/>
          <w:szCs w:val="22"/>
          <w:color w:val="auto"/>
        </w:rPr>
      </w:pPr>
    </w:p>
    <w:p>
      <w:pPr>
        <w:ind w:firstLine="1305"/>
        <w:spacing w:after="0" w:line="270" w:lineRule="auto"/>
        <w:tabs>
          <w:tab w:leader="none" w:pos="19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B Redemption Notice, the Partnership shall deposit with the Paying Agent funds, sufficient to redeem the Series B Preference Units, as to which such Series B Redemption Notice shall have been given, no later than 5:00 p.m. New York City time on the Business Day immediately preceding the Series B Redemption Date, and shall give the Paying Agent irrevocable instructions and authority to pay the Series B Redemption Price to the Series B Holders to be redeemed upon surrender or deemed surrender (which shall occur automatically if the Certificate representing such Series B Preference Units is issued in the name of the Depository or its nominee) of the Certificates therefor as set forth in the Series B Redemption Notice. If the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Preference Units to be redeemed shall cease to accumulate and all rights of holders of such Series B Preference Units as Limited Partners with respect to such Series B Preference Units to be redeemed shall cease, except the right to receive the Series B Redemption Price, and such Series B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B Redemption Price of the Series B Preference Units to be redeemed), and the holders of any Series B Preference Units so redeemed shall have no claim to any such interest income. Any funds deposited with the Paying Agent hereunder by the Partnership for any reason, including redemption of Series B Preference Units, that remain unclaimed or unpaid after two years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Preference Units called for redemption until funds sufficient to pay the full Series B</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6" w:name="page107"/>
    <w:bookmarkEnd w:id="106"/>
    <w:p>
      <w:pPr>
        <w:spacing w:after="0"/>
        <w:rPr>
          <w:sz w:val="20"/>
          <w:szCs w:val="20"/>
          <w:color w:val="auto"/>
        </w:rPr>
      </w:pPr>
      <w:r>
        <w:rPr>
          <w:rFonts w:ascii="Arial" w:cs="Arial" w:eastAsia="Arial" w:hAnsi="Arial"/>
          <w:sz w:val="21"/>
          <w:szCs w:val="21"/>
          <w:color w:val="auto"/>
        </w:rPr>
        <w:t>Redemption Price of such Series B Preference Units shall have been deposited by the Partnership with the Paying Agent.</w:t>
      </w:r>
    </w:p>
    <w:p>
      <w:pPr>
        <w:spacing w:after="0" w:line="245" w:lineRule="exact"/>
        <w:rPr>
          <w:sz w:val="20"/>
          <w:szCs w:val="20"/>
          <w:color w:val="auto"/>
        </w:rPr>
      </w:pPr>
    </w:p>
    <w:p>
      <w:pPr>
        <w:ind w:firstLine="1305"/>
        <w:spacing w:after="0" w:line="248" w:lineRule="auto"/>
        <w:tabs>
          <w:tab w:leader="none" w:pos="195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Any Series B Preference Units that are redeemed or otherwise acquired by the Partnership shall be canceled. If only a portion of the Series B Preference Units represented by a Certificate shall have been called for redemption, upon surrender of the Certificate to the Paying Agent (which shall occur automatically if the Certificate representing such Series B Preference Units is registered in the name of the Depository or its nominee), the Paying Agent shall issue to the Series B Holders a new Certificate (or adjust the applicable book-entry account) representing the number of Series B Preference Units represented by the surrendered Certificate that have not been called for redemption.</w:t>
      </w:r>
    </w:p>
    <w:p>
      <w:pPr>
        <w:spacing w:after="0" w:line="204" w:lineRule="exact"/>
        <w:rPr>
          <w:rFonts w:ascii="Arial" w:cs="Arial" w:eastAsia="Arial" w:hAnsi="Arial"/>
          <w:sz w:val="21"/>
          <w:szCs w:val="21"/>
          <w:color w:val="auto"/>
        </w:rPr>
      </w:pPr>
    </w:p>
    <w:p>
      <w:pPr>
        <w:ind w:right="40" w:firstLine="1305"/>
        <w:spacing w:after="0" w:line="245" w:lineRule="auto"/>
        <w:tabs>
          <w:tab w:leader="none" w:pos="194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 in the event that full cumulative distributions on the Series B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B Preference Units or other Parity Securities except pursuant to a purchase or exchange offer made on the same terms to all Series B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B Preference Units and any other Parity Securities for all prior and the then-ending Series B Distribution Periods shall have been paid or declared and set apart for payment.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17.7.  </w:t>
      </w:r>
      <w:r>
        <w:rPr>
          <w:rFonts w:ascii="Arial" w:cs="Arial" w:eastAsia="Arial" w:hAnsi="Arial"/>
          <w:sz w:val="22"/>
          <w:szCs w:val="22"/>
          <w:i w:val="1"/>
          <w:iCs w:val="1"/>
          <w:color w:val="auto"/>
        </w:rPr>
        <w:t>Rank</w:t>
      </w:r>
      <w:r>
        <w:rPr>
          <w:rFonts w:ascii="Arial" w:cs="Arial" w:eastAsia="Arial" w:hAnsi="Arial"/>
          <w:sz w:val="22"/>
          <w:szCs w:val="22"/>
          <w:color w:val="auto"/>
        </w:rPr>
        <w:t>. The Series B Preference Units shall each be deemed to rank:</w:t>
      </w:r>
    </w:p>
    <w:p>
      <w:pPr>
        <w:spacing w:after="0" w:line="233" w:lineRule="exact"/>
        <w:rPr>
          <w:sz w:val="20"/>
          <w:szCs w:val="20"/>
          <w:color w:val="auto"/>
        </w:rPr>
      </w:pPr>
    </w:p>
    <w:p>
      <w:pPr>
        <w:ind w:left="1960" w:hanging="655"/>
        <w:spacing w:after="0"/>
        <w:tabs>
          <w:tab w:leader="none" w:pos="19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33"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B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17.8.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B Preference Units shall not have the benefit of any sinking fund.</w:t>
      </w:r>
    </w:p>
    <w:p>
      <w:pPr>
        <w:spacing w:after="0" w:line="268" w:lineRule="exact"/>
        <w:rPr>
          <w:sz w:val="20"/>
          <w:szCs w:val="20"/>
          <w:color w:val="auto"/>
        </w:rPr>
      </w:pPr>
    </w:p>
    <w:p>
      <w:pPr>
        <w:ind w:right="180" w:firstLine="1297"/>
        <w:spacing w:after="0"/>
        <w:rPr>
          <w:sz w:val="20"/>
          <w:szCs w:val="20"/>
          <w:color w:val="auto"/>
        </w:rPr>
      </w:pPr>
      <w:r>
        <w:rPr>
          <w:rFonts w:ascii="Arial" w:cs="Arial" w:eastAsia="Arial" w:hAnsi="Arial"/>
          <w:sz w:val="22"/>
          <w:szCs w:val="22"/>
          <w:color w:val="auto"/>
        </w:rPr>
        <w:t xml:space="preserve">Section 17.9.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B Holder as the true, lawful and absolute owner of the applicable Series B Preference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7" w:name="page108"/>
    <w:bookmarkEnd w:id="107"/>
    <w:p>
      <w:pPr>
        <w:ind w:right="20"/>
        <w:spacing w:after="0" w:line="251" w:lineRule="auto"/>
        <w:rPr>
          <w:sz w:val="20"/>
          <w:szCs w:val="20"/>
          <w:color w:val="auto"/>
        </w:rPr>
      </w:pPr>
      <w:r>
        <w:rPr>
          <w:rFonts w:ascii="Arial" w:cs="Arial" w:eastAsia="Arial" w:hAnsi="Arial"/>
          <w:sz w:val="22"/>
          <w:szCs w:val="22"/>
          <w:color w:val="auto"/>
        </w:rPr>
        <w:t>Units for all purposes, and neither the General Partner, the Partnership nor the Transfer Agent or the Paying Agent shall be affected by any notice to the contrary.</w:t>
      </w:r>
    </w:p>
    <w:p>
      <w:pPr>
        <w:spacing w:after="0" w:line="200"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17.10.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B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 this Agreement or by applicable law.</w:t>
      </w:r>
    </w:p>
    <w:p>
      <w:pPr>
        <w:spacing w:after="0" w:line="213"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17.11.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B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B Holders, other than the implied duty of good faith and fair dealing.</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SERIES C CUMULATIVE REDEEMABLE PERPETUAL FIXED TO FLOATING RATE PREFERENCE UNITS</w:t>
      </w:r>
    </w:p>
    <w:p>
      <w:pPr>
        <w:spacing w:after="0" w:line="215"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18.1.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November 15, 2018, the Board of Directors designated and created a series of Preference Units designated as “8.500% Series C Cumulative Redeemable Perpetual Fixed to Floating Rate Preference Units,” and fixed the preferences, rights, powers and duties of the holders of the Series C Preference Units as set forth in this </w:t>
      </w:r>
      <w:r>
        <w:rPr>
          <w:rFonts w:ascii="Arial" w:cs="Arial" w:eastAsia="Arial" w:hAnsi="Arial"/>
          <w:sz w:val="19"/>
          <w:szCs w:val="19"/>
          <w:u w:val="single" w:color="auto"/>
          <w:color w:val="auto"/>
        </w:rPr>
        <w:t>Article XVIII</w:t>
      </w:r>
      <w:r>
        <w:rPr>
          <w:rFonts w:ascii="Arial" w:cs="Arial" w:eastAsia="Arial" w:hAnsi="Arial"/>
          <w:sz w:val="19"/>
          <w:szCs w:val="19"/>
          <w:color w:val="auto"/>
        </w:rPr>
        <w:t>. Each Series C Preference Unit shall be identical in all respects to every other Series C Preference Unit, except as to the respective dates from which the Series C Liquidation Preference shall increase or from which Series C Distributions may begin accruing, to the extent such dates may differ. The Series C Preference Units represent perpetual equity interests in the Partnership and shall not give rise to a claim by the holder for redemption thereof at a particular date.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33" w:lineRule="exact"/>
        <w:rPr>
          <w:sz w:val="20"/>
          <w:szCs w:val="20"/>
          <w:color w:val="auto"/>
        </w:rPr>
      </w:pPr>
    </w:p>
    <w:p>
      <w:pPr>
        <w:ind w:right="200" w:firstLine="1305"/>
        <w:spacing w:after="0" w:line="251" w:lineRule="auto"/>
        <w:tabs>
          <w:tab w:leader="none" w:pos="195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authorized number of Series C Preference Units shall be unlimited. Series C Preference Units that are purchased or otherwise acquired by the Partnership shall be cancelled.</w:t>
      </w:r>
    </w:p>
    <w:p>
      <w:pPr>
        <w:spacing w:after="0" w:line="200" w:lineRule="exact"/>
        <w:rPr>
          <w:rFonts w:ascii="Arial" w:cs="Arial" w:eastAsia="Arial" w:hAnsi="Arial"/>
          <w:sz w:val="22"/>
          <w:szCs w:val="22"/>
          <w:color w:val="auto"/>
        </w:rPr>
      </w:pPr>
    </w:p>
    <w:p>
      <w:pPr>
        <w:ind w:firstLine="1305"/>
        <w:spacing w:after="0" w:line="234" w:lineRule="auto"/>
        <w:tabs>
          <w:tab w:leader="none" w:pos="195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Series C Preference Units shall be represented by a single Certificate registered in the name of the Depository or its nominee, and no Series C Holder shall be entitled 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C Holders shall be made by making payments to, and communicating with, the Depository.</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8" w:name="page109"/>
    <w:bookmarkEnd w:id="108"/>
    <w:p>
      <w:pPr>
        <w:ind w:left="1200"/>
        <w:spacing w:after="0"/>
        <w:rPr>
          <w:sz w:val="20"/>
          <w:szCs w:val="20"/>
          <w:color w:val="auto"/>
        </w:rPr>
      </w:pPr>
      <w:r>
        <w:rPr>
          <w:rFonts w:ascii="Arial" w:cs="Arial" w:eastAsia="Arial" w:hAnsi="Arial"/>
          <w:sz w:val="22"/>
          <w:szCs w:val="22"/>
          <w:color w:val="auto"/>
        </w:rPr>
        <w:t xml:space="preserve">Section 18.3.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33" w:lineRule="exact"/>
        <w:rPr>
          <w:sz w:val="20"/>
          <w:szCs w:val="20"/>
          <w:color w:val="auto"/>
        </w:rPr>
      </w:pPr>
    </w:p>
    <w:p>
      <w:pPr>
        <w:ind w:left="-100" w:right="100" w:firstLine="1305"/>
        <w:spacing w:after="0" w:line="270" w:lineRule="auto"/>
        <w:tabs>
          <w:tab w:leader="none" w:pos="185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Distributions on each Series C Preference Unit shall be cumulative and shall accrue at the Series C Distribution Rate from the Series C Original Issue Date (or, for any subsequently issued and newly Outstanding Series C Preference Units, from the Series C Distribution Payment Date immediately preceding the issuance date of such Units) until such time as the Partnership pays the Series C Distribution or redeems the Series C Preference Units in full in accordance with </w:t>
      </w:r>
      <w:r>
        <w:rPr>
          <w:rFonts w:ascii="Arial" w:cs="Arial" w:eastAsia="Arial" w:hAnsi="Arial"/>
          <w:sz w:val="19"/>
          <w:szCs w:val="19"/>
          <w:u w:val="single" w:color="auto"/>
          <w:color w:val="auto"/>
        </w:rPr>
        <w:t>Section 18.6</w:t>
      </w:r>
      <w:r>
        <w:rPr>
          <w:rFonts w:ascii="Arial" w:cs="Arial" w:eastAsia="Arial" w:hAnsi="Arial"/>
          <w:sz w:val="19"/>
          <w:szCs w:val="19"/>
          <w:color w:val="auto"/>
        </w:rPr>
        <w:t xml:space="preserve"> below, whether or not such Series C Distributions shall have been declared. Series C Holders shall be entitled to receive Series C Distributions from time to time out of any assets of the Partnership legally available for the payment of distributions at the Series C Distribution Rate per Series C Preference Unit when, as, and if declared by the Board of Directors. Series C Distributions, to the extent declared by the Board of Directors to be paid by the Partnership in accordance with this </w:t>
      </w:r>
      <w:r>
        <w:rPr>
          <w:rFonts w:ascii="Arial" w:cs="Arial" w:eastAsia="Arial" w:hAnsi="Arial"/>
          <w:sz w:val="19"/>
          <w:szCs w:val="19"/>
          <w:u w:val="single" w:color="auto"/>
          <w:color w:val="auto"/>
        </w:rPr>
        <w:t>Section 18.3</w:t>
      </w:r>
      <w:r>
        <w:rPr>
          <w:rFonts w:ascii="Arial" w:cs="Arial" w:eastAsia="Arial" w:hAnsi="Arial"/>
          <w:sz w:val="19"/>
          <w:szCs w:val="19"/>
          <w:color w:val="auto"/>
        </w:rPr>
        <w:t>, shall be paid quarterly on each Series C Distribution Payment Date. Distributions shall accumulate in each Series C Distribution Period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 and distributions shall accrue on accumulated Series C Distributions at the Series C Distribution Rate. If any Series C Distribution Payment Date during the Series C Fixed Rate Period would otherwise occur on a date that is not a Business Day, declared Series C Distributions shall be paid on the immediately succeeding Business Day without the accumulation of additional distributions. If any Series C Distribution Payment Date during the Series C Floating Rate Period would otherwise occur on a date that is not a Business Day, then the Series C Distribution Payment Date will be the next day that is a Business Day. Series C Distributions payable for any Series C Distribution Period during the Series C Fixed Rate Period will be calculated based on a 360-day year consisting of twelve 30-day months. Series C Distributions payable for any Series C Distribution Period during the Series C Floating Rate Period will be calculated based on a 360-day year and the number of days actually elapsed during such Series C Distribution Period.</w:t>
      </w:r>
    </w:p>
    <w:p>
      <w:pPr>
        <w:spacing w:after="0" w:line="189" w:lineRule="exact"/>
        <w:rPr>
          <w:rFonts w:ascii="Arial" w:cs="Arial" w:eastAsia="Arial" w:hAnsi="Arial"/>
          <w:sz w:val="19"/>
          <w:szCs w:val="19"/>
          <w:color w:val="auto"/>
        </w:rPr>
      </w:pPr>
    </w:p>
    <w:p>
      <w:pPr>
        <w:ind w:left="-100" w:firstLine="1305"/>
        <w:spacing w:after="0" w:line="236" w:lineRule="auto"/>
        <w:tabs>
          <w:tab w:leader="none" w:pos="185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For each Series C Distribution Period during the Series C Floating Rate Period, the applicable Series C Distribution Rate will be determined by the Calculation Agent as of the applicable Series C Distribution Determination Date for such Series C Distribution Period. For purposes of determining the applicable Series C Distribution Rate, the Series C Three-Month LIBOR Rate will be determined by the Calculation Agent, as of the applicable Series C Distribution Determination Date, in accordance with the following provisions:</w:t>
      </w:r>
    </w:p>
    <w:p>
      <w:pPr>
        <w:spacing w:after="0" w:line="215" w:lineRule="exact"/>
        <w:rPr>
          <w:sz w:val="20"/>
          <w:szCs w:val="20"/>
          <w:color w:val="auto"/>
        </w:rPr>
      </w:pPr>
    </w:p>
    <w:p>
      <w:pPr>
        <w:jc w:val="both"/>
        <w:ind w:left="560" w:right="160" w:firstLine="645"/>
        <w:spacing w:after="0" w:line="297" w:lineRule="auto"/>
        <w:tabs>
          <w:tab w:leader="none" w:pos="187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Series C Three-Month LIBOR Rate will be the rate (expressed as a percentage per year) for deposits in U.S. dollars having an index maturity of three months, in amounts of at least $1,000,000, as such rate appears on Reuters Page LIBOR01 at approximately 11:00 a.m. (London time) on the relevant Series C Distribution Determination Date; or</w:t>
      </w:r>
    </w:p>
    <w:p>
      <w:pPr>
        <w:spacing w:after="0" w:line="161" w:lineRule="exact"/>
        <w:rPr>
          <w:rFonts w:ascii="Arial" w:cs="Arial" w:eastAsia="Arial" w:hAnsi="Arial"/>
          <w:sz w:val="19"/>
          <w:szCs w:val="19"/>
          <w:color w:val="auto"/>
        </w:rPr>
      </w:pPr>
    </w:p>
    <w:p>
      <w:pPr>
        <w:ind w:left="560" w:right="340" w:firstLine="645"/>
        <w:spacing w:after="0"/>
        <w:tabs>
          <w:tab w:leader="none" w:pos="187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if no such rate appears on Reuters Page LIBOR01 or if the Reuters Page LIBOR01 is not available at approximately 11:00 a.m. (London time) on the relevant Series C Distribution Determination Date, then the Calculation Agent, after consultation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73660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340" w:top="361" w:right="319" w:bottom="1440" w:gutter="0" w:footer="0" w:header="0"/>
        </w:sectPr>
      </w:pPr>
    </w:p>
    <w:bookmarkStart w:id="109" w:name="page110"/>
    <w:bookmarkEnd w:id="109"/>
    <w:p>
      <w:pPr>
        <w:spacing w:after="0" w:line="270" w:lineRule="auto"/>
        <w:rPr>
          <w:sz w:val="20"/>
          <w:szCs w:val="20"/>
          <w:color w:val="auto"/>
        </w:rPr>
      </w:pPr>
      <w:r>
        <w:rPr>
          <w:rFonts w:ascii="Arial" w:cs="Arial" w:eastAsia="Arial" w:hAnsi="Arial"/>
          <w:sz w:val="19"/>
          <w:szCs w:val="19"/>
          <w:color w:val="auto"/>
        </w:rPr>
        <w:t>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C Distribution Period, to prime banks in the London interbank market at approximately 11:00 a.m. (London time) on that Series C Distribution Determination Date for the applicable Series C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C Three-Month LIBOR Rate for such Series C Distribution Period will be the arithmetic mean (rounded upward if necessary, to the nearest 0.00001 of 1%) of those quotations. If fewer than two quotations are provided, the Series C Three-Month LIBOR Rate for such Series C Distribution Period will be the arithmetic mean (rounded upward if necessary, to the nearest 0.00001 of 1%) of the rates quoted at approximately 11:00 a.m. (New York City time) on that Series C Distribution Determination Date for such Series C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C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C Three-Month LIBOR Rate or any of the foregoing lending rates, shall determine Series C Three-Month LIBOR Rate for the applicable Distribution Period in its discretion, after consultation with the Partnership.</w:t>
      </w:r>
    </w:p>
    <w:p>
      <w:pPr>
        <w:spacing w:after="0" w:line="200" w:lineRule="exact"/>
        <w:rPr>
          <w:sz w:val="20"/>
          <w:szCs w:val="20"/>
          <w:color w:val="auto"/>
        </w:rPr>
      </w:pPr>
    </w:p>
    <w:p>
      <w:pPr>
        <w:spacing w:after="0" w:line="235" w:lineRule="exact"/>
        <w:rPr>
          <w:sz w:val="20"/>
          <w:szCs w:val="20"/>
          <w:color w:val="auto"/>
        </w:rPr>
      </w:pPr>
    </w:p>
    <w:p>
      <w:pPr>
        <w:ind w:right="20" w:firstLine="645"/>
        <w:spacing w:after="0" w:line="274" w:lineRule="auto"/>
        <w:tabs>
          <w:tab w:leader="none" w:pos="132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C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C Distribution Determination Date and any other relevant methodology for calculating such substitute or successor base rate in a manner that is consistent with industry-accepted practices for such substitute or successor base rate.</w:t>
      </w:r>
    </w:p>
    <w:p>
      <w:pPr>
        <w:spacing w:after="0" w:line="186" w:lineRule="exact"/>
        <w:rPr>
          <w:sz w:val="20"/>
          <w:szCs w:val="20"/>
          <w:color w:val="auto"/>
        </w:rPr>
      </w:pPr>
    </w:p>
    <w:p>
      <w:pPr>
        <w:ind w:right="520" w:firstLine="1297"/>
        <w:spacing w:after="0" w:line="251" w:lineRule="auto"/>
        <w:rPr>
          <w:sz w:val="20"/>
          <w:szCs w:val="20"/>
          <w:color w:val="auto"/>
        </w:rPr>
      </w:pPr>
      <w:r>
        <w:rPr>
          <w:rFonts w:ascii="Arial" w:cs="Arial" w:eastAsia="Arial" w:hAnsi="Arial"/>
          <w:sz w:val="22"/>
          <w:szCs w:val="22"/>
          <w:color w:val="auto"/>
        </w:rPr>
        <w:t>We will appoint a calculation agent for the Series C Preference Units prior to the commencement of the Series C Floating Rate Period and will be entitled to remove</w:t>
      </w:r>
    </w:p>
    <w:p>
      <w:pPr>
        <w:spacing w:after="0" w:line="200"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61" w:right="239" w:bottom="1440" w:gutter="0" w:footer="0" w:header="0"/>
        </w:sectPr>
      </w:pPr>
    </w:p>
    <w:bookmarkStart w:id="110" w:name="page111"/>
    <w:bookmarkEnd w:id="110"/>
    <w:p>
      <w:pPr>
        <w:ind w:left="620" w:right="740"/>
        <w:spacing w:after="0" w:line="251" w:lineRule="auto"/>
        <w:rPr>
          <w:sz w:val="20"/>
          <w:szCs w:val="20"/>
          <w:color w:val="auto"/>
        </w:rPr>
      </w:pPr>
      <w:r>
        <w:rPr>
          <w:rFonts w:ascii="Arial" w:cs="Arial" w:eastAsia="Arial" w:hAnsi="Arial"/>
          <w:sz w:val="22"/>
          <w:szCs w:val="22"/>
          <w:color w:val="auto"/>
        </w:rPr>
        <w:t>or replace the calculation agent in our discretion. In addition, we or an affiliate of ours may assume the duties of the calculation agent.</w:t>
      </w:r>
    </w:p>
    <w:p>
      <w:pPr>
        <w:spacing w:after="0" w:line="200" w:lineRule="exact"/>
        <w:rPr>
          <w:sz w:val="20"/>
          <w:szCs w:val="20"/>
          <w:color w:val="auto"/>
        </w:rPr>
      </w:pPr>
    </w:p>
    <w:p>
      <w:pPr>
        <w:ind w:left="-40" w:firstLine="1305"/>
        <w:spacing w:after="0" w:line="269" w:lineRule="auto"/>
        <w:tabs>
          <w:tab w:leader="none" w:pos="191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C Distribution Payment Date, the Partnership shall pay those Series C Distributions, if any, that shall have been declared by the Board of Directors to Series C Holders on the Record Date for the applicable Series C Preference Distribution. The Record Date (the “</w:t>
      </w:r>
      <w:r>
        <w:rPr>
          <w:rFonts w:ascii="Arial" w:cs="Arial" w:eastAsia="Arial" w:hAnsi="Arial"/>
          <w:sz w:val="19"/>
          <w:szCs w:val="19"/>
          <w:b w:val="1"/>
          <w:bCs w:val="1"/>
          <w:i w:val="1"/>
          <w:iCs w:val="1"/>
          <w:color w:val="auto"/>
        </w:rPr>
        <w:t>Series C Distribution Record Date</w:t>
      </w:r>
      <w:r>
        <w:rPr>
          <w:rFonts w:ascii="Arial" w:cs="Arial" w:eastAsia="Arial" w:hAnsi="Arial"/>
          <w:sz w:val="19"/>
          <w:szCs w:val="19"/>
          <w:color w:val="auto"/>
        </w:rPr>
        <w:t xml:space="preserve">”) for the payment of any Series C Distributions shall be the fifth Business Day immediately preceding the applicable Series C Distribution Payment Date, except that in the case of payments of Series C Distributions in arrears, the Series C Distribution Record Date with respect to a Series C Distribution Payment Date shall be such date as may be designated by the Board of Directors in accordance with this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C Distributions have been or contemporaneously are being paid or provided for on all Outstanding Series C Preference Units and any other Parity Securities through the most recent respective Series C Distribution Payment Dates. Accumulated Series C Distributions in arrears for any past Series C Distribution Period may be declared by the Board of Directors and paid on any date fixed by the Board of Directors, whether or not a Series C Distribution Payment Date, to Series C Holders on the record date for such payment, which may not be more than 60 days, nor less than 15 days, before such payment date. Subject to the next succeeding sentence, if all accumulated Series C Distributions in arrears on all Outstanding Series C Preference Units and any other Parity Securities shall not have been declared and paid, or if sufficient funds for the payment thereof shall not have been set apart, payment of accumulated distributions in arrears on the Series C Preference Units and any such Parity Securities shall be made in order of their respective distribution payment dates, commencing with the earliest. If less than all distributions payable with respect to all Series C Preference Units and any other Parity Securities are paid, any partial payment shall be made pro rata with respect to the Series C Preference Units and any such other Parity Securities entitled to a distribution payment at such time in proportion to the aggregate distribution amounts remaining due in respect of such Series C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18.6</w:t>
      </w:r>
      <w:r>
        <w:rPr>
          <w:rFonts w:ascii="Arial" w:cs="Arial" w:eastAsia="Arial" w:hAnsi="Arial"/>
          <w:sz w:val="19"/>
          <w:szCs w:val="19"/>
          <w:color w:val="auto"/>
        </w:rPr>
        <w:t xml:space="preserve">, Series C Holders shall not be entitled to any distribution, whether payable in cash, property or stock, in excess of full cumulative Series C Distributions. Except insofar as distributions accrue on the amount of any accumulated and unpaid Series C Distributions as described in </w:t>
      </w:r>
      <w:r>
        <w:rPr>
          <w:rFonts w:ascii="Arial" w:cs="Arial" w:eastAsia="Arial" w:hAnsi="Arial"/>
          <w:sz w:val="19"/>
          <w:szCs w:val="19"/>
          <w:u w:val="single" w:color="auto"/>
          <w:color w:val="auto"/>
        </w:rPr>
        <w:t>Section 18.3(a)</w:t>
      </w:r>
      <w:r>
        <w:rPr>
          <w:rFonts w:ascii="Arial" w:cs="Arial" w:eastAsia="Arial" w:hAnsi="Arial"/>
          <w:sz w:val="19"/>
          <w:szCs w:val="19"/>
          <w:color w:val="auto"/>
        </w:rPr>
        <w:t>, no interest or sum of money in lieu of interest shall be payable in respect of any distribution payment which may be in arrears on the Series C Preference Units. So long as the Series C Preference Units are held of record by the nominee of the Depository, declared Series C Distributions shall be paid to the Depository in same-day funds on each Series C Distribution Payment Date.</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 xml:space="preserve">Section 18.4.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33" w:lineRule="exact"/>
        <w:rPr>
          <w:sz w:val="20"/>
          <w:szCs w:val="20"/>
          <w:color w:val="auto"/>
        </w:rPr>
      </w:pPr>
    </w:p>
    <w:p>
      <w:pPr>
        <w:ind w:left="-40" w:right="80" w:firstLine="1305"/>
        <w:spacing w:after="0" w:line="252" w:lineRule="auto"/>
        <w:tabs>
          <w:tab w:leader="none" w:pos="1915" w:val="left"/>
        </w:tabs>
        <w:numPr>
          <w:ilvl w:val="0"/>
          <w:numId w:val="138"/>
        </w:numPr>
        <w:rPr>
          <w:rFonts w:ascii="Arial" w:cs="Arial" w:eastAsia="Arial" w:hAnsi="Arial"/>
          <w:sz w:val="21"/>
          <w:szCs w:val="21"/>
          <w:color w:val="auto"/>
        </w:rPr>
      </w:pPr>
      <w:r>
        <w:rPr>
          <w:rFonts w:ascii="Arial" w:cs="Arial" w:eastAsia="Arial" w:hAnsi="Arial"/>
          <w:sz w:val="21"/>
          <w:szCs w:val="21"/>
          <w:color w:val="auto"/>
        </w:rPr>
        <w:t>Upon the occurrence of any Liquidation Event, Series C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61" w:right="259" w:bottom="1440" w:gutter="0" w:footer="0" w:header="0"/>
        </w:sectPr>
      </w:pPr>
    </w:p>
    <w:bookmarkStart w:id="111" w:name="page112"/>
    <w:bookmarkEnd w:id="111"/>
    <w:p>
      <w:pPr>
        <w:ind w:right="140"/>
        <w:spacing w:after="0" w:line="270" w:lineRule="auto"/>
        <w:rPr>
          <w:sz w:val="20"/>
          <w:szCs w:val="20"/>
          <w:color w:val="auto"/>
        </w:rPr>
      </w:pPr>
      <w:r>
        <w:rPr>
          <w:rFonts w:ascii="Arial" w:cs="Arial" w:eastAsia="Arial" w:hAnsi="Arial"/>
          <w:sz w:val="19"/>
          <w:szCs w:val="19"/>
          <w:color w:val="auto"/>
        </w:rPr>
        <w:t>Event, (iii) concurrently with any applicable distributions of such assets or proceeds being made to or set aside for holders of any Series C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C Preference Units in an amount equal to the Series C Liquidation Preference. For purposes of clarity, upon the occurrence of any Liquidation Event,</w:t>
      </w:r>
    </w:p>
    <w:p>
      <w:pPr>
        <w:spacing w:after="0" w:line="4" w:lineRule="exact"/>
        <w:rPr>
          <w:sz w:val="20"/>
          <w:szCs w:val="20"/>
          <w:color w:val="auto"/>
        </w:rPr>
      </w:pPr>
    </w:p>
    <w:p>
      <w:pPr>
        <w:ind w:right="280" w:firstLine="8"/>
        <w:spacing w:after="0" w:line="267" w:lineRule="auto"/>
        <w:tabs>
          <w:tab w:leader="none" w:pos="30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holders of then Outstanding Senior Securities shall be entitled to receive the applicable Liquidation Preference on such Senior Securities before any distribution shall be made with respect to the Series C Preference Units or any Parity Securities and</w:t>
      </w:r>
    </w:p>
    <w:p>
      <w:pPr>
        <w:ind w:right="60" w:firstLine="8"/>
        <w:spacing w:after="0" w:line="275" w:lineRule="auto"/>
        <w:tabs>
          <w:tab w:leader="none" w:pos="30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Series C Holders shall be entitled to the Series C Liquidation Preference per Series C Preference Unit in cash, concurrently with any distribution made to the holders of any Parity Securities and before any distribution shall be made to the holders of Common Units or any other Junior Securities. Series C Holders shall not be entitled to any other amounts from the Partnership, in their capacity as Series C Holders, after they have received the Series C Liquidation Preference. The payment of the Series C Liquidation Preference shall be a payment in redemption of the Series C Preference Units such that, from and after payment of the full Series C Liquidation Preference, any such Series C Preference Unit shall thereafter be cancelled and no longer be Outstanding.</w:t>
      </w:r>
    </w:p>
    <w:p>
      <w:pPr>
        <w:spacing w:after="0" w:line="181" w:lineRule="exact"/>
        <w:rPr>
          <w:rFonts w:ascii="Arial" w:cs="Arial" w:eastAsia="Arial" w:hAnsi="Arial"/>
          <w:sz w:val="19"/>
          <w:szCs w:val="19"/>
          <w:color w:val="auto"/>
        </w:rPr>
      </w:pPr>
    </w:p>
    <w:p>
      <w:pPr>
        <w:ind w:right="40" w:firstLine="1305"/>
        <w:spacing w:after="0" w:line="246" w:lineRule="auto"/>
        <w:tabs>
          <w:tab w:leader="none" w:pos="1954" w:val="left"/>
        </w:tabs>
        <w:numPr>
          <w:ilvl w:val="1"/>
          <w:numId w:val="139"/>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18.4(a)</w:t>
      </w:r>
      <w:r>
        <w:rPr>
          <w:rFonts w:ascii="Arial" w:cs="Arial" w:eastAsia="Arial" w:hAnsi="Arial"/>
          <w:sz w:val="21"/>
          <w:szCs w:val="21"/>
          <w:color w:val="auto"/>
        </w:rPr>
        <w:t xml:space="preserve"> above where the Partnership’s assets available for distribution to holders of the Outstanding Series C Preference Units and any other Parity Securities are insufficient to satisfy the applicable Liquidation Preference for such Series C Preference Units and Parity Securities, the Partnership’s then remaining assets or proceeds thereof legally available for distribution to unitholders of the Partnership shall be distributed among the holders of Outstanding Series C Preference Units and such Parity Securities, as applicable, ratably on the basis of their relative aggregate Liquidation Preferences. To the extent that the Series C Holders receive a partial payment of their Series C Liquidation Preference, such partial payment shall reduce the Series C Liquidation Preference of their Series C Preference Units, but only to the extent of such amount paid.</w:t>
      </w:r>
    </w:p>
    <w:p>
      <w:pPr>
        <w:spacing w:after="0" w:line="207" w:lineRule="exact"/>
        <w:rPr>
          <w:rFonts w:ascii="Arial" w:cs="Arial" w:eastAsia="Arial" w:hAnsi="Arial"/>
          <w:sz w:val="21"/>
          <w:szCs w:val="21"/>
          <w:color w:val="auto"/>
        </w:rPr>
      </w:pPr>
    </w:p>
    <w:p>
      <w:pPr>
        <w:ind w:firstLine="1305"/>
        <w:spacing w:after="0" w:line="297" w:lineRule="auto"/>
        <w:tabs>
          <w:tab w:leader="none" w:pos="1955" w:val="left"/>
        </w:tabs>
        <w:numPr>
          <w:ilvl w:val="1"/>
          <w:numId w:val="139"/>
        </w:numPr>
        <w:rPr>
          <w:rFonts w:ascii="Arial" w:cs="Arial" w:eastAsia="Arial" w:hAnsi="Arial"/>
          <w:sz w:val="19"/>
          <w:szCs w:val="19"/>
          <w:color w:val="auto"/>
        </w:rPr>
      </w:pPr>
      <w:r>
        <w:rPr>
          <w:rFonts w:ascii="Arial" w:cs="Arial" w:eastAsia="Arial" w:hAnsi="Arial"/>
          <w:sz w:val="19"/>
          <w:szCs w:val="19"/>
          <w:color w:val="auto"/>
        </w:rPr>
        <w:t>After payment of the applicable Liquidation Preference to the holders of the Outstanding Series C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33" w:lineRule="exact"/>
        <w:rPr>
          <w:sz w:val="20"/>
          <w:szCs w:val="20"/>
          <w:color w:val="auto"/>
        </w:rPr>
      </w:pPr>
    </w:p>
    <w:p>
      <w:pPr>
        <w:ind w:firstLine="1305"/>
        <w:spacing w:after="0" w:line="328" w:lineRule="auto"/>
        <w:tabs>
          <w:tab w:leader="none" w:pos="195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C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or as otherwise provided by the Marshall Islands Act.</w:t>
      </w:r>
    </w:p>
    <w:p>
      <w:pPr>
        <w:spacing w:after="0" w:line="132" w:lineRule="exact"/>
        <w:rPr>
          <w:rFonts w:ascii="Arial" w:cs="Arial" w:eastAsia="Arial" w:hAnsi="Arial"/>
          <w:sz w:val="19"/>
          <w:szCs w:val="19"/>
          <w:color w:val="auto"/>
        </w:rPr>
      </w:pPr>
    </w:p>
    <w:p>
      <w:pPr>
        <w:ind w:right="100" w:firstLine="1305"/>
        <w:spacing w:after="0" w:line="297" w:lineRule="auto"/>
        <w:tabs>
          <w:tab w:leader="none" w:pos="195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In the event that six quarterly Series C Distributions, whether consecutive or not, are in arrears, the Series C Holders shall have the right, voting as a class together with holders of any other Parity Securities upon which like voting rights have been conferred and are exercisable, at a meeting of the Board of Directors called for such purpose within 30 days after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2" w:name="page113"/>
    <w:bookmarkEnd w:id="112"/>
    <w:p>
      <w:pPr>
        <w:ind w:right="40"/>
        <w:spacing w:after="0" w:line="273" w:lineRule="auto"/>
        <w:rPr>
          <w:sz w:val="20"/>
          <w:szCs w:val="20"/>
          <w:color w:val="auto"/>
        </w:rPr>
      </w:pPr>
      <w:r>
        <w:rPr>
          <w:rFonts w:ascii="Arial" w:cs="Arial" w:eastAsia="Arial" w:hAnsi="Arial"/>
          <w:sz w:val="19"/>
          <w:szCs w:val="19"/>
          <w:color w:val="auto"/>
        </w:rPr>
        <w:t xml:space="preserve">receipt by the General Partner of a request by Series C Holders holding a majority of the Outstanding Series C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right of the Series C Holders shall not apply to the election of another director if</w:t>
      </w:r>
    </w:p>
    <w:p>
      <w:pPr>
        <w:spacing w:after="0" w:line="2" w:lineRule="exact"/>
        <w:rPr>
          <w:sz w:val="20"/>
          <w:szCs w:val="20"/>
          <w:color w:val="auto"/>
        </w:rPr>
      </w:pPr>
    </w:p>
    <w:p>
      <w:pPr>
        <w:ind w:right="60" w:firstLine="8"/>
        <w:spacing w:after="0" w:line="270" w:lineRule="auto"/>
        <w:tabs>
          <w:tab w:leader="none" w:pos="25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Series C Holders and holders of Parity Securities upon which like voting rights have been conferred, voting as a class, have previously elected a member of the Board of Directors and (ii) such director continues then to serve on the Board of Directors. Such right of such Series C Holders to elect a member of the Board of Directors shall continue until the Partnership pays in full, or declares and sets aside funds for the payment of, all Series C Distributions accumulated and in arrears on the Series C Preference Units, at which time such right shall terminate, subject to the revesting of such right in the event of each and every subsequent failure to pay six quarterly Series C Distributions as described above in this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Upon any termination of the right of the Series C Holders and holders of any other Parity Securities to vote as a class for such director, the term of office of the director then in office elected by such Series C Holders and holders voting as a class shall terminate immediately. Any director elected by the Series C Holders and holders of any other Parity Securities shall be entitled to one vote on any matter before the Board of Directors. Upon each election of a member of the Board of Directors by Series C Holders pursuant to this </w:t>
      </w:r>
      <w:r>
        <w:rPr>
          <w:rFonts w:ascii="Arial" w:cs="Arial" w:eastAsia="Arial" w:hAnsi="Arial"/>
          <w:sz w:val="19"/>
          <w:szCs w:val="19"/>
          <w:u w:val="single" w:color="auto"/>
          <w:color w:val="auto"/>
        </w:rPr>
        <w:t>Section 18.5(b)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C Holders.</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20" w:firstLine="1305"/>
        <w:spacing w:after="0" w:line="238" w:lineRule="auto"/>
        <w:tabs>
          <w:tab w:leader="none" w:pos="195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C Preference Units, voting as a separate class, neither the General Partner nor the Board of Directors shall adopt any amendment to this Agreement that would have a material adverse effect on the existing terms of the Series C Preference Units.</w:t>
      </w:r>
    </w:p>
    <w:p>
      <w:pPr>
        <w:spacing w:after="0" w:line="212" w:lineRule="exact"/>
        <w:rPr>
          <w:sz w:val="20"/>
          <w:szCs w:val="20"/>
          <w:color w:val="auto"/>
        </w:rPr>
      </w:pPr>
    </w:p>
    <w:p>
      <w:pPr>
        <w:ind w:left="660" w:firstLine="645"/>
        <w:spacing w:after="0" w:line="236" w:lineRule="auto"/>
        <w:tabs>
          <w:tab w:leader="none" w:pos="197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C Preference Units voting as a class together with holders of any other Parity Securities upon which like voting rights have been conferred and are exercisable, the Partnership shall not (x) issue any Parity Securities if the cumulative dividends payable on Outstanding Series C Preference Units are in arrears or (y) create or issue any Senior Securities.</w:t>
      </w:r>
    </w:p>
    <w:p>
      <w:pPr>
        <w:spacing w:after="0" w:line="215" w:lineRule="exact"/>
        <w:rPr>
          <w:sz w:val="20"/>
          <w:szCs w:val="20"/>
          <w:color w:val="auto"/>
        </w:rPr>
      </w:pPr>
    </w:p>
    <w:p>
      <w:pPr>
        <w:ind w:right="20" w:firstLine="1305"/>
        <w:spacing w:after="0" w:line="238" w:lineRule="auto"/>
        <w:tabs>
          <w:tab w:leader="none" w:pos="19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18.5</w:t>
      </w:r>
      <w:r>
        <w:rPr>
          <w:rFonts w:ascii="Arial" w:cs="Arial" w:eastAsia="Arial" w:hAnsi="Arial"/>
          <w:sz w:val="22"/>
          <w:szCs w:val="22"/>
          <w:color w:val="auto"/>
        </w:rPr>
        <w:t xml:space="preserve"> in which the Series C Holders are entitled to vote as a class (whether separately or together with the holders of any Parity Securities), such Series C Holders shall be entitled to one vote per Series C Preference Unit. Any Series C Preference Units held by the Partnership or any of its subsidiaries or Affiliates shall not be entitled to vote.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33"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color w:val="auto"/>
        </w:rPr>
        <w:t>The Partnership shall have the right at any time, and from time to time, on or after March 15, 2024 to redeem the Series C Preference Units, in whole or in part, from any source of</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13" w:name="page114"/>
    <w:bookmarkEnd w:id="113"/>
    <w:p>
      <w:pPr>
        <w:ind w:right="200"/>
        <w:spacing w:after="0" w:line="251" w:lineRule="auto"/>
        <w:rPr>
          <w:sz w:val="20"/>
          <w:szCs w:val="20"/>
          <w:color w:val="auto"/>
        </w:rPr>
      </w:pPr>
      <w:r>
        <w:rPr>
          <w:rFonts w:ascii="Arial" w:cs="Arial" w:eastAsia="Arial" w:hAnsi="Arial"/>
          <w:sz w:val="22"/>
          <w:szCs w:val="22"/>
          <w:color w:val="auto"/>
        </w:rPr>
        <w:t>funds legally available for such purpose. Any such redemption shall occur on a date set by the Board of Directors (the “</w:t>
      </w:r>
      <w:r>
        <w:rPr>
          <w:rFonts w:ascii="Arial" w:cs="Arial" w:eastAsia="Arial" w:hAnsi="Arial"/>
          <w:sz w:val="22"/>
          <w:szCs w:val="22"/>
          <w:b w:val="1"/>
          <w:bCs w:val="1"/>
          <w:i w:val="1"/>
          <w:iCs w:val="1"/>
          <w:color w:val="auto"/>
        </w:rPr>
        <w:t>Series C</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Redemption Date</w:t>
      </w:r>
      <w:r>
        <w:rPr>
          <w:rFonts w:ascii="Arial" w:cs="Arial" w:eastAsia="Arial" w:hAnsi="Arial"/>
          <w:sz w:val="22"/>
          <w:szCs w:val="22"/>
          <w:color w:val="auto"/>
        </w:rPr>
        <w:t>”).</w:t>
      </w:r>
    </w:p>
    <w:p>
      <w:pPr>
        <w:spacing w:after="0" w:line="200" w:lineRule="exact"/>
        <w:rPr>
          <w:sz w:val="20"/>
          <w:szCs w:val="20"/>
          <w:color w:val="auto"/>
        </w:rPr>
      </w:pPr>
    </w:p>
    <w:p>
      <w:pPr>
        <w:ind w:right="100" w:firstLine="1305"/>
        <w:spacing w:after="0" w:line="287" w:lineRule="auto"/>
        <w:tabs>
          <w:tab w:leader="none" w:pos="1955"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C Preference Unit to be redeemed equal to the Series C Liquidation Preference for such Series C Preference Unit on such Series C Redemption Date (the “</w:t>
      </w:r>
      <w:r>
        <w:rPr>
          <w:rFonts w:ascii="Arial" w:cs="Arial" w:eastAsia="Arial" w:hAnsi="Arial"/>
          <w:sz w:val="19"/>
          <w:szCs w:val="19"/>
          <w:b w:val="1"/>
          <w:bCs w:val="1"/>
          <w:i w:val="1"/>
          <w:iCs w:val="1"/>
          <w:color w:val="auto"/>
        </w:rPr>
        <w:t>Series C Redemption Price</w:t>
      </w:r>
      <w:r>
        <w:rPr>
          <w:rFonts w:ascii="Arial" w:cs="Arial" w:eastAsia="Arial" w:hAnsi="Arial"/>
          <w:sz w:val="19"/>
          <w:szCs w:val="19"/>
          <w:color w:val="auto"/>
        </w:rPr>
        <w:t>”). So long as the Series C Preference Units to be redeemed are held of record by the nominee of the Depository, the Series C Redemption Price shall be paid by the Paying Agent to the Depository on the Series C Redemption Date.</w:t>
      </w:r>
    </w:p>
    <w:p>
      <w:pPr>
        <w:spacing w:after="0" w:line="170" w:lineRule="exact"/>
        <w:rPr>
          <w:rFonts w:ascii="Arial" w:cs="Arial" w:eastAsia="Arial" w:hAnsi="Arial"/>
          <w:sz w:val="19"/>
          <w:szCs w:val="19"/>
          <w:color w:val="auto"/>
        </w:rPr>
      </w:pPr>
    </w:p>
    <w:p>
      <w:pPr>
        <w:ind w:firstLine="1305"/>
        <w:spacing w:after="0" w:line="245" w:lineRule="auto"/>
        <w:tabs>
          <w:tab w:leader="none" w:pos="195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C Redemption Date to the Series C Holders (as of 5:00 p.m. New York City time on the Business Day next preceding the day on which notice is given) of any Series C Preference Units to be redeemed as such Series C Holders’ names appear on the books of the Transfer Agent and at the address of such Series C Holders shown therein. Such notice (the “</w:t>
      </w:r>
      <w:r>
        <w:rPr>
          <w:rFonts w:ascii="Arial" w:cs="Arial" w:eastAsia="Arial" w:hAnsi="Arial"/>
          <w:sz w:val="21"/>
          <w:szCs w:val="21"/>
          <w:b w:val="1"/>
          <w:bCs w:val="1"/>
          <w:i w:val="1"/>
          <w:iCs w:val="1"/>
          <w:color w:val="auto"/>
        </w:rPr>
        <w:t>Series C Redemption Notice</w:t>
      </w:r>
      <w:r>
        <w:rPr>
          <w:rFonts w:ascii="Arial" w:cs="Arial" w:eastAsia="Arial" w:hAnsi="Arial"/>
          <w:sz w:val="21"/>
          <w:szCs w:val="21"/>
          <w:color w:val="auto"/>
        </w:rPr>
        <w:t>”) shall state, as applicable: (1) the Series C Redemption Date, (2) the number of Series C Preference Units to be redeemed and, if less than all Outstanding Series C Preference Units are to be redeemed, the number (and the identification) of Units to be redeemed from such Series C Holder, (3) the Series C Redemption Price, (4) the place where the Series C Preference Units are to be redeemed and shall be presented and surrendered for payment of the Series C Redemption Price therefor and (5) that distributions on the Units to be redeemed shall cease to accumulate from and after such Series C Redemption Date.</w:t>
      </w:r>
    </w:p>
    <w:p>
      <w:pPr>
        <w:spacing w:after="0" w:line="208" w:lineRule="exact"/>
        <w:rPr>
          <w:rFonts w:ascii="Arial" w:cs="Arial" w:eastAsia="Arial" w:hAnsi="Arial"/>
          <w:sz w:val="21"/>
          <w:szCs w:val="21"/>
          <w:color w:val="auto"/>
        </w:rPr>
      </w:pPr>
    </w:p>
    <w:p>
      <w:pPr>
        <w:ind w:right="40" w:firstLine="1305"/>
        <w:spacing w:after="0" w:line="234" w:lineRule="auto"/>
        <w:tabs>
          <w:tab w:leader="none" w:pos="195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C Preference Units, the number of Series C Preference Units to be redeemed shall be determined by the Board of Directors, and such Series C Preference Units shall be redeemed by such method of selection as the Depository shall determine either Pro Rata or by lot, with adjustments to avoid redemption of fractional Series C Preference Units. The aggregate Series C Redemption Price for any such partial redemption of the Outstanding Series C Preference Units shall be allocated correspondingly among the redeemed Series C Preference Units. The Series C Preference Units not redeemed shall remain Outstanding and entitled to all the rights and preferences provided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218" w:lineRule="exact"/>
        <w:rPr>
          <w:rFonts w:ascii="Arial" w:cs="Arial" w:eastAsia="Arial" w:hAnsi="Arial"/>
          <w:sz w:val="22"/>
          <w:szCs w:val="22"/>
          <w:color w:val="auto"/>
        </w:rPr>
      </w:pPr>
    </w:p>
    <w:p>
      <w:pPr>
        <w:ind w:right="40" w:firstLine="1305"/>
        <w:spacing w:after="0" w:line="274" w:lineRule="auto"/>
        <w:tabs>
          <w:tab w:leader="none" w:pos="19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C Redemption Notice, the Partnership shall deposit with the Paying Agent funds, sufficient to redeem the Series C Preference Units, as to which such Series C Redemption Notice shall have been given, no later than 5:00 p.m. New York City time on the Business Day immediately preceding the Series C Redemption Date, and shall give the Paying Agent irrevocable instructions and authority to pay the Series C Redemption Price to the Series C Holders to be redeemed upon surrender or deemed surrender (which shall occur automatically if the Certificate representing such Series C Preference Units is issued in the name of the Depository or its nominee) of the Certificates therefor as set forth in the Series C Redemption Notice. If the Series C Redemption Notice shall have been given, from and after the Series C Redemption Date, unless the Partnership defaults in providing funds sufficient for such redemption at the time and place specified for payment pursuant to the Series C Redemption Notice, all Series C Distributions on such Series C</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114" w:name="page115"/>
    <w:bookmarkEnd w:id="114"/>
    <w:p>
      <w:pPr>
        <w:ind w:right="40"/>
        <w:spacing w:after="0" w:line="272" w:lineRule="auto"/>
        <w:rPr>
          <w:sz w:val="20"/>
          <w:szCs w:val="20"/>
          <w:color w:val="auto"/>
        </w:rPr>
      </w:pPr>
      <w:r>
        <w:rPr>
          <w:rFonts w:ascii="Arial" w:cs="Arial" w:eastAsia="Arial" w:hAnsi="Arial"/>
          <w:sz w:val="19"/>
          <w:szCs w:val="19"/>
          <w:color w:val="auto"/>
        </w:rPr>
        <w:t>Preference Units to be redeemed shall cease to accumulate and all rights of holders of such Series C Preference Units as Limited Partners with respect to such Series C Preference Units to be redeemed shall cease, except the right to receive the Series C Redemption Price, and such Series C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C Redemption Price of the Series C Preference Units to be redeemed), and the holders of any Series C Preference Units so redeemed shall have no claim to any such interest income. Any funds deposited with the Paying Agent hereunder by the Partnership for any reason, including redemption of Series C Preference Units, that remain unclaimed or unpaid after two years after the applicable Series C Redemption Date or other payment date, as applicable, shall be, to the extent permitted by law, repaid to the Partnership upon its written request, after which repayment the Series C Holders entitled to such redemption or other payment shall have recourse only to the Partnership. Notwithstanding any Series C Redemption Notice, there shall be no redemption of any Series C Preference Units called for redemption until funds sufficient to pay the full Series C Redemption Price of such Series C Preference Units shall have been deposited by the Partnership with the Paying Agent.</w:t>
      </w:r>
    </w:p>
    <w:p>
      <w:pPr>
        <w:spacing w:after="0" w:line="184" w:lineRule="exact"/>
        <w:rPr>
          <w:sz w:val="20"/>
          <w:szCs w:val="20"/>
          <w:color w:val="auto"/>
        </w:rPr>
      </w:pPr>
    </w:p>
    <w:p>
      <w:pPr>
        <w:ind w:firstLine="1305"/>
        <w:spacing w:after="0" w:line="248" w:lineRule="auto"/>
        <w:tabs>
          <w:tab w:leader="none" w:pos="195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Any Series C Preference Units that are redeemed or otherwise acquired by the Partnership shall be canceled. If only a portion of the Series C Preference Units represented by a Certificate shall have been called for redemption, upon surrender of the Certificate to the Paying Agent (which shall occur automatically if the Certificate representing such Series C Preference Units is registered in the name of the Depository or its nominee), the Paying Agent shall issue to the Series C Holders a new Certificate (or adjust the applicable book-entry account) representing the number of Series C Preference Units represented by the surrendered Certificate that have not been called for redemption.</w:t>
      </w:r>
    </w:p>
    <w:p>
      <w:pPr>
        <w:spacing w:after="0" w:line="204" w:lineRule="exact"/>
        <w:rPr>
          <w:rFonts w:ascii="Arial" w:cs="Arial" w:eastAsia="Arial" w:hAnsi="Arial"/>
          <w:sz w:val="21"/>
          <w:szCs w:val="21"/>
          <w:color w:val="auto"/>
        </w:rPr>
      </w:pPr>
    </w:p>
    <w:p>
      <w:pPr>
        <w:ind w:right="40" w:firstLine="1305"/>
        <w:spacing w:after="0" w:line="245" w:lineRule="auto"/>
        <w:tabs>
          <w:tab w:leader="none" w:pos="194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 in the event that full cumulative distributions on the Series C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C Preference Units or other Parity Securities except pursuant to a purchase or exchange offer made on the same terms to all Series C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C Preference Units and any other Parity Securities for all prior and the then-ending Series C Distribution Periods shall have been paid or declared and set apart for payment.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18.7.  </w:t>
      </w:r>
      <w:r>
        <w:rPr>
          <w:rFonts w:ascii="Arial" w:cs="Arial" w:eastAsia="Arial" w:hAnsi="Arial"/>
          <w:sz w:val="22"/>
          <w:szCs w:val="22"/>
          <w:i w:val="1"/>
          <w:iCs w:val="1"/>
          <w:color w:val="auto"/>
        </w:rPr>
        <w:t>Rank</w:t>
      </w:r>
      <w:r>
        <w:rPr>
          <w:rFonts w:ascii="Arial" w:cs="Arial" w:eastAsia="Arial" w:hAnsi="Arial"/>
          <w:sz w:val="22"/>
          <w:szCs w:val="22"/>
          <w:color w:val="auto"/>
        </w:rPr>
        <w:t>. The Series C Preference Units shall each be deemed to rank:</w:t>
      </w:r>
    </w:p>
    <w:p>
      <w:pPr>
        <w:spacing w:after="0" w:line="233" w:lineRule="exact"/>
        <w:rPr>
          <w:sz w:val="20"/>
          <w:szCs w:val="20"/>
          <w:color w:val="auto"/>
        </w:rPr>
      </w:pPr>
    </w:p>
    <w:p>
      <w:pPr>
        <w:ind w:left="1960" w:hanging="655"/>
        <w:spacing w:after="0"/>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5" w:name="page116"/>
    <w:bookmarkEnd w:id="115"/>
    <w:p>
      <w:pPr>
        <w:ind w:left="1960" w:hanging="655"/>
        <w:spacing w:after="0"/>
        <w:tabs>
          <w:tab w:leader="none" w:pos="19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33"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C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18.8.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C Preference Units shall not have the benefit of any sinking fund.</w:t>
      </w:r>
    </w:p>
    <w:p>
      <w:pPr>
        <w:spacing w:after="0" w:line="268"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 xml:space="preserve">Section 18.9.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C Holder as the true, lawful and absolute owner of the applicable Series C Preference Units for all purposes, and neither the General Partner, the Partnership nor the Transfer Agent or the Paying Agent shall be affected by any notice to the contrary.</w:t>
      </w:r>
    </w:p>
    <w:p>
      <w:pPr>
        <w:spacing w:after="0" w:line="212"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18.10.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C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 this Agreement or by applicable law.</w:t>
      </w:r>
    </w:p>
    <w:p>
      <w:pPr>
        <w:spacing w:after="0" w:line="213"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18.11.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C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C Holders, other than the implied duty of good faith and fair dealing.</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PROVISIONS</w:t>
      </w:r>
    </w:p>
    <w:p>
      <w:pPr>
        <w:spacing w:after="0" w:line="215" w:lineRule="exact"/>
        <w:rPr>
          <w:sz w:val="20"/>
          <w:szCs w:val="20"/>
          <w:color w:val="auto"/>
        </w:rPr>
      </w:pPr>
    </w:p>
    <w:p>
      <w:pPr>
        <w:ind w:right="20" w:firstLine="1297"/>
        <w:spacing w:after="0" w:line="246" w:lineRule="auto"/>
        <w:rPr>
          <w:sz w:val="20"/>
          <w:szCs w:val="20"/>
          <w:color w:val="auto"/>
        </w:rPr>
      </w:pPr>
      <w:r>
        <w:rPr>
          <w:rFonts w:ascii="Arial" w:cs="Arial" w:eastAsia="Arial" w:hAnsi="Arial"/>
          <w:sz w:val="21"/>
          <w:szCs w:val="21"/>
          <w:color w:val="auto"/>
        </w:rPr>
        <w:t xml:space="preserve">Section 19.1. </w:t>
      </w:r>
      <w:r>
        <w:rPr>
          <w:rFonts w:ascii="Arial" w:cs="Arial" w:eastAsia="Arial" w:hAnsi="Arial"/>
          <w:sz w:val="21"/>
          <w:szCs w:val="21"/>
          <w:i w:val="1"/>
          <w:iCs w:val="1"/>
          <w:color w:val="auto"/>
        </w:rPr>
        <w:t>Addresses and Notices</w:t>
      </w:r>
      <w:r>
        <w:rPr>
          <w:rFonts w:ascii="Arial" w:cs="Arial" w:eastAsia="Arial" w:hAnsi="Arial"/>
          <w:sz w:val="21"/>
          <w:szCs w:val="21"/>
          <w:color w:val="auto"/>
        </w:rPr>
        <w:t>. (a)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6" w:name="page117"/>
    <w:bookmarkEnd w:id="116"/>
    <w:p>
      <w:pPr>
        <w:ind w:right="20"/>
        <w:spacing w:after="0" w:line="272" w:lineRule="auto"/>
        <w:rPr>
          <w:sz w:val="20"/>
          <w:szCs w:val="20"/>
          <w:color w:val="auto"/>
        </w:rPr>
      </w:pPr>
      <w:r>
        <w:rPr>
          <w:rFonts w:ascii="Arial" w:cs="Arial" w:eastAsia="Arial" w:hAnsi="Arial"/>
          <w:sz w:val="19"/>
          <w:szCs w:val="19"/>
          <w:color w:val="auto"/>
        </w:rPr>
        <w:t xml:space="preserve">interest in such Partnership Interests by reason of any assignment or otherwise. An affidavit or certificate of making of any notice, payment or report in accordance with the provisions of this </w:t>
      </w:r>
      <w:r>
        <w:rPr>
          <w:rFonts w:ascii="Arial" w:cs="Arial" w:eastAsia="Arial" w:hAnsi="Arial"/>
          <w:sz w:val="19"/>
          <w:szCs w:val="19"/>
          <w:u w:val="single" w:color="auto"/>
          <w:color w:val="auto"/>
        </w:rPr>
        <w:t>Section 19.1</w:t>
      </w:r>
      <w:r>
        <w:rPr>
          <w:rFonts w:ascii="Arial" w:cs="Arial" w:eastAsia="Arial" w:hAnsi="Arial"/>
          <w:sz w:val="19"/>
          <w:szCs w:val="19"/>
          <w:color w:val="auto"/>
        </w:rPr>
        <w:t xml:space="preserve"> executed by a member of the Board of Directors,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The General Partner and the Board of Directors may rely and shall be protected in relying on any notice or other document from a Partner or other Person if believed by it to be genuine.</w:t>
      </w:r>
    </w:p>
    <w:p>
      <w:pPr>
        <w:spacing w:after="0" w:line="200" w:lineRule="exact"/>
        <w:rPr>
          <w:sz w:val="20"/>
          <w:szCs w:val="20"/>
          <w:color w:val="auto"/>
        </w:rPr>
      </w:pPr>
    </w:p>
    <w:p>
      <w:pPr>
        <w:spacing w:after="0" w:line="232" w:lineRule="exact"/>
        <w:rPr>
          <w:sz w:val="20"/>
          <w:szCs w:val="20"/>
          <w:color w:val="auto"/>
        </w:rPr>
      </w:pPr>
    </w:p>
    <w:p>
      <w:pPr>
        <w:ind w:right="360" w:firstLine="1305"/>
        <w:spacing w:after="0" w:line="251" w:lineRule="auto"/>
        <w:tabs>
          <w:tab w:leader="none" w:pos="195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terms “in writing,” “written communications,” “written notice” and words of similar import shall be deemed satisfied under this Agreement by use of e-mail and other forms of electronic communication.</w:t>
      </w:r>
    </w:p>
    <w:p>
      <w:pPr>
        <w:spacing w:after="0" w:line="200" w:lineRule="exact"/>
        <w:rPr>
          <w:sz w:val="20"/>
          <w:szCs w:val="20"/>
          <w:color w:val="auto"/>
        </w:rPr>
      </w:pPr>
    </w:p>
    <w:p>
      <w:pPr>
        <w:ind w:firstLine="1297"/>
        <w:spacing w:after="0" w:line="274" w:lineRule="auto"/>
        <w:rPr>
          <w:sz w:val="20"/>
          <w:szCs w:val="20"/>
          <w:color w:val="auto"/>
        </w:rPr>
      </w:pPr>
      <w:r>
        <w:rPr>
          <w:rFonts w:ascii="Arial" w:cs="Arial" w:eastAsia="Arial" w:hAnsi="Arial"/>
          <w:sz w:val="21"/>
          <w:szCs w:val="21"/>
          <w:color w:val="auto"/>
        </w:rPr>
        <w:t xml:space="preserve">Section 19.2. </w:t>
      </w:r>
      <w:r>
        <w:rPr>
          <w:rFonts w:ascii="Arial" w:cs="Arial" w:eastAsia="Arial" w:hAnsi="Arial"/>
          <w:sz w:val="21"/>
          <w:szCs w:val="21"/>
          <w:i w:val="1"/>
          <w:iCs w:val="1"/>
          <w:color w:val="auto"/>
        </w:rPr>
        <w:t>Further Action</w:t>
      </w:r>
      <w:r>
        <w:rPr>
          <w:rFonts w:ascii="Arial" w:cs="Arial" w:eastAsia="Arial" w:hAnsi="Arial"/>
          <w:sz w:val="21"/>
          <w:szCs w:val="21"/>
          <w:color w:val="auto"/>
        </w:rPr>
        <w:t>. The parties shall execute and deliver all documents, provide all information and take or refrain from taking action as may be necessary or appropriate to achieve the purposes of this Agreement.</w:t>
      </w:r>
    </w:p>
    <w:p>
      <w:pPr>
        <w:spacing w:after="0" w:line="178" w:lineRule="exact"/>
        <w:rPr>
          <w:sz w:val="20"/>
          <w:szCs w:val="20"/>
          <w:color w:val="auto"/>
        </w:rPr>
      </w:pPr>
    </w:p>
    <w:p>
      <w:pPr>
        <w:ind w:right="200" w:firstLine="1297"/>
        <w:spacing w:after="0" w:line="274" w:lineRule="auto"/>
        <w:rPr>
          <w:sz w:val="20"/>
          <w:szCs w:val="20"/>
          <w:color w:val="auto"/>
        </w:rPr>
      </w:pPr>
      <w:r>
        <w:rPr>
          <w:rFonts w:ascii="Arial" w:cs="Arial" w:eastAsia="Arial" w:hAnsi="Arial"/>
          <w:sz w:val="21"/>
          <w:szCs w:val="21"/>
          <w:color w:val="auto"/>
        </w:rPr>
        <w:t xml:space="preserve">Section 19.3. </w:t>
      </w:r>
      <w:r>
        <w:rPr>
          <w:rFonts w:ascii="Arial" w:cs="Arial" w:eastAsia="Arial" w:hAnsi="Arial"/>
          <w:sz w:val="21"/>
          <w:szCs w:val="21"/>
          <w:i w:val="1"/>
          <w:iCs w:val="1"/>
          <w:color w:val="auto"/>
        </w:rPr>
        <w:t>Binding Effect</w:t>
      </w:r>
      <w:r>
        <w:rPr>
          <w:rFonts w:ascii="Arial" w:cs="Arial" w:eastAsia="Arial" w:hAnsi="Arial"/>
          <w:sz w:val="21"/>
          <w:szCs w:val="21"/>
          <w:color w:val="auto"/>
        </w:rPr>
        <w:t>. This Agreement shall be binding upon and inure to the benefit of the parties hereto and their respective heirs, executors, administrators, successors, legal representatives and permitted assigns.</w:t>
      </w:r>
    </w:p>
    <w:p>
      <w:pPr>
        <w:spacing w:after="0" w:line="178" w:lineRule="exact"/>
        <w:rPr>
          <w:sz w:val="20"/>
          <w:szCs w:val="20"/>
          <w:color w:val="auto"/>
        </w:rPr>
      </w:pPr>
    </w:p>
    <w:p>
      <w:pPr>
        <w:jc w:val="both"/>
        <w:ind w:right="80" w:firstLine="1297"/>
        <w:spacing w:after="0"/>
        <w:rPr>
          <w:sz w:val="20"/>
          <w:szCs w:val="20"/>
          <w:color w:val="auto"/>
        </w:rPr>
      </w:pPr>
      <w:r>
        <w:rPr>
          <w:rFonts w:ascii="Arial" w:cs="Arial" w:eastAsia="Arial" w:hAnsi="Arial"/>
          <w:sz w:val="22"/>
          <w:szCs w:val="22"/>
          <w:color w:val="auto"/>
        </w:rPr>
        <w:t xml:space="preserve">Section 19.4. </w:t>
      </w:r>
      <w:r>
        <w:rPr>
          <w:rFonts w:ascii="Arial" w:cs="Arial" w:eastAsia="Arial" w:hAnsi="Arial"/>
          <w:sz w:val="22"/>
          <w:szCs w:val="22"/>
          <w:i w:val="1"/>
          <w:iCs w:val="1"/>
          <w:color w:val="auto"/>
        </w:rPr>
        <w:t>Integration</w:t>
      </w:r>
      <w:r>
        <w:rPr>
          <w:rFonts w:ascii="Arial" w:cs="Arial" w:eastAsia="Arial" w:hAnsi="Arial"/>
          <w:sz w:val="22"/>
          <w:szCs w:val="22"/>
          <w:color w:val="auto"/>
        </w:rPr>
        <w:t>. This Agreement constitutes the entire agreement among the parties hereto pertaining to the subject matter hereof and supersedes all prior agreements and understandings pertaining thereto, including the Third Amended Agreement.</w:t>
      </w:r>
    </w:p>
    <w:p>
      <w:pPr>
        <w:spacing w:after="0" w:line="213" w:lineRule="exact"/>
        <w:rPr>
          <w:sz w:val="20"/>
          <w:szCs w:val="20"/>
          <w:color w:val="auto"/>
        </w:rPr>
      </w:pPr>
    </w:p>
    <w:p>
      <w:pPr>
        <w:ind w:right="940" w:firstLine="1297"/>
        <w:spacing w:after="0" w:line="251" w:lineRule="auto"/>
        <w:rPr>
          <w:sz w:val="20"/>
          <w:szCs w:val="20"/>
          <w:color w:val="auto"/>
        </w:rPr>
      </w:pPr>
      <w:r>
        <w:rPr>
          <w:rFonts w:ascii="Arial" w:cs="Arial" w:eastAsia="Arial" w:hAnsi="Arial"/>
          <w:sz w:val="22"/>
          <w:szCs w:val="22"/>
          <w:color w:val="auto"/>
        </w:rPr>
        <w:t xml:space="preserve">Section 19.5. </w:t>
      </w:r>
      <w:r>
        <w:rPr>
          <w:rFonts w:ascii="Arial" w:cs="Arial" w:eastAsia="Arial" w:hAnsi="Arial"/>
          <w:sz w:val="22"/>
          <w:szCs w:val="22"/>
          <w:i w:val="1"/>
          <w:iCs w:val="1"/>
          <w:color w:val="auto"/>
        </w:rPr>
        <w:t>Creditors</w:t>
      </w:r>
      <w:r>
        <w:rPr>
          <w:rFonts w:ascii="Arial" w:cs="Arial" w:eastAsia="Arial" w:hAnsi="Arial"/>
          <w:sz w:val="22"/>
          <w:szCs w:val="22"/>
          <w:color w:val="auto"/>
        </w:rPr>
        <w:t>. None of the provisions of this Agreement shall be for the benefit of, or shall be enforceable by, any creditor of the Partnership.</w:t>
      </w:r>
    </w:p>
    <w:p>
      <w:pPr>
        <w:spacing w:after="0" w:line="200" w:lineRule="exact"/>
        <w:rPr>
          <w:sz w:val="20"/>
          <w:szCs w:val="20"/>
          <w:color w:val="auto"/>
        </w:rPr>
      </w:pPr>
    </w:p>
    <w:p>
      <w:pPr>
        <w:ind w:right="440" w:firstLine="1297"/>
        <w:spacing w:after="0"/>
        <w:rPr>
          <w:sz w:val="20"/>
          <w:szCs w:val="20"/>
          <w:color w:val="auto"/>
        </w:rPr>
      </w:pPr>
      <w:r>
        <w:rPr>
          <w:rFonts w:ascii="Arial" w:cs="Arial" w:eastAsia="Arial" w:hAnsi="Arial"/>
          <w:sz w:val="22"/>
          <w:szCs w:val="22"/>
          <w:color w:val="auto"/>
        </w:rPr>
        <w:t xml:space="preserve">Section 19.6. </w:t>
      </w:r>
      <w:r>
        <w:rPr>
          <w:rFonts w:ascii="Arial" w:cs="Arial" w:eastAsia="Arial" w:hAnsi="Arial"/>
          <w:sz w:val="22"/>
          <w:szCs w:val="22"/>
          <w:i w:val="1"/>
          <w:iCs w:val="1"/>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213"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color w:val="auto"/>
        </w:rPr>
        <w:t xml:space="preserve">Section 19.7. </w:t>
      </w:r>
      <w:r>
        <w:rPr>
          <w:rFonts w:ascii="Arial" w:cs="Arial" w:eastAsia="Arial" w:hAnsi="Arial"/>
          <w:sz w:val="19"/>
          <w:szCs w:val="19"/>
          <w:i w:val="1"/>
          <w:iCs w:val="1"/>
          <w:color w:val="auto"/>
        </w:rPr>
        <w:t>Counterparts</w:t>
      </w:r>
      <w:r>
        <w:rPr>
          <w:rFonts w:ascii="Arial" w:cs="Arial" w:eastAsia="Arial" w:hAnsi="Arial"/>
          <w:sz w:val="19"/>
          <w:szCs w:val="19"/>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17" w:name="page118"/>
    <w:bookmarkEnd w:id="117"/>
    <w:p>
      <w:pPr>
        <w:ind w:right="360"/>
        <w:spacing w:after="0" w:line="251" w:lineRule="auto"/>
        <w:rPr>
          <w:sz w:val="20"/>
          <w:szCs w:val="20"/>
          <w:color w:val="auto"/>
        </w:rPr>
      </w:pPr>
      <w:r>
        <w:rPr>
          <w:rFonts w:ascii="Arial" w:cs="Arial" w:eastAsia="Arial" w:hAnsi="Arial"/>
          <w:sz w:val="22"/>
          <w:szCs w:val="22"/>
          <w:color w:val="auto"/>
        </w:rPr>
        <w:t xml:space="preserve">or, in the case of a Person acquiring a Limited Partner Interest,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immediately upon the acquisition of such Limited Partner Interests without execution hereof.</w:t>
      </w:r>
    </w:p>
    <w:p>
      <w:pPr>
        <w:spacing w:after="0" w:line="200"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 xml:space="preserve">Section 19.8. </w:t>
      </w:r>
      <w:r>
        <w:rPr>
          <w:rFonts w:ascii="Arial" w:cs="Arial" w:eastAsia="Arial" w:hAnsi="Arial"/>
          <w:sz w:val="22"/>
          <w:szCs w:val="22"/>
          <w:i w:val="1"/>
          <w:iCs w:val="1"/>
          <w:color w:val="auto"/>
        </w:rPr>
        <w:t>Applicable Law; Forum, Venue and Jurisdiction</w:t>
      </w:r>
      <w:r>
        <w:rPr>
          <w:rFonts w:ascii="Arial" w:cs="Arial" w:eastAsia="Arial" w:hAnsi="Arial"/>
          <w:sz w:val="22"/>
          <w:szCs w:val="22"/>
          <w:color w:val="auto"/>
        </w:rPr>
        <w:t>. (a) This Agreement shall be construed in accordance with and governed by the laws of The Republic of the Marshall Islands, without regard to the principles of conflicts of law.</w:t>
      </w:r>
    </w:p>
    <w:p>
      <w:pPr>
        <w:spacing w:after="0" w:line="213" w:lineRule="exact"/>
        <w:rPr>
          <w:sz w:val="20"/>
          <w:szCs w:val="20"/>
          <w:color w:val="auto"/>
        </w:rPr>
      </w:pPr>
    </w:p>
    <w:p>
      <w:pPr>
        <w:ind w:right="280" w:firstLine="1305"/>
        <w:spacing w:after="0" w:line="274" w:lineRule="auto"/>
        <w:tabs>
          <w:tab w:leader="none" w:pos="1954" w:val="left"/>
        </w:tabs>
        <w:numPr>
          <w:ilvl w:val="0"/>
          <w:numId w:val="149"/>
        </w:numPr>
        <w:rPr>
          <w:rFonts w:ascii="Arial" w:cs="Arial" w:eastAsia="Arial" w:hAnsi="Arial"/>
          <w:sz w:val="21"/>
          <w:szCs w:val="21"/>
          <w:color w:val="auto"/>
        </w:rPr>
      </w:pPr>
      <w:r>
        <w:rPr>
          <w:rFonts w:ascii="Arial" w:cs="Arial" w:eastAsia="Arial" w:hAnsi="Arial"/>
          <w:sz w:val="21"/>
          <w:szCs w:val="21"/>
          <w:color w:val="auto"/>
        </w:rPr>
        <w:t>Each of the Partners and each Person holding any beneficial interest in the Partnership (whether through a broker, dealer, bank, trust company or clearing corporation or an agent of any of the foregoing or otherwise):</w:t>
      </w:r>
    </w:p>
    <w:p>
      <w:pPr>
        <w:spacing w:after="0" w:line="178" w:lineRule="exact"/>
        <w:rPr>
          <w:sz w:val="20"/>
          <w:szCs w:val="20"/>
          <w:color w:val="auto"/>
        </w:rPr>
      </w:pPr>
    </w:p>
    <w:p>
      <w:pPr>
        <w:ind w:left="660" w:firstLine="645"/>
        <w:spacing w:after="0" w:line="273" w:lineRule="auto"/>
        <w:tabs>
          <w:tab w:leader="none" w:pos="197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Marshall Islands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unless otherwise provided for by Marshall Islands law, in each case regardless of whether such claims, suits, actions or proceedings sound in contract, tort, fraud or otherwise, are based on common law, statutory, equitable, legal or other grounds, or are derivative or direct claims;</w:t>
      </w:r>
    </w:p>
    <w:p>
      <w:pPr>
        <w:spacing w:after="0" w:line="183" w:lineRule="exact"/>
        <w:rPr>
          <w:rFonts w:ascii="Arial" w:cs="Arial" w:eastAsia="Arial" w:hAnsi="Arial"/>
          <w:sz w:val="19"/>
          <w:szCs w:val="19"/>
          <w:color w:val="auto"/>
        </w:rPr>
      </w:pPr>
    </w:p>
    <w:p>
      <w:pPr>
        <w:jc w:val="both"/>
        <w:ind w:left="660" w:right="180" w:firstLine="645"/>
        <w:spacing w:after="0" w:line="238" w:lineRule="auto"/>
        <w:tabs>
          <w:tab w:leader="none" w:pos="1977"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irrevocably submits to the exclusive jurisdiction of the Court of Chancery of the State of Delaware (or, if such court does not have subject matter jurisdiction thereof, any other court located in the State of Delaware with subject matter jurisdiction), unless otherwise provided for by Marshall Islands law, in connection with any such claim, suit, action or proceeding;</w:t>
      </w:r>
    </w:p>
    <w:p>
      <w:pPr>
        <w:spacing w:after="0" w:line="212" w:lineRule="exact"/>
        <w:rPr>
          <w:rFonts w:ascii="Arial" w:cs="Arial" w:eastAsia="Arial" w:hAnsi="Arial"/>
          <w:sz w:val="22"/>
          <w:szCs w:val="22"/>
          <w:color w:val="auto"/>
        </w:rPr>
      </w:pPr>
    </w:p>
    <w:p>
      <w:pPr>
        <w:ind w:left="660" w:right="160" w:firstLine="645"/>
        <w:spacing w:after="0" w:line="287" w:lineRule="auto"/>
        <w:tabs>
          <w:tab w:leader="none" w:pos="198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70" w:lineRule="exact"/>
        <w:rPr>
          <w:rFonts w:ascii="Arial" w:cs="Arial" w:eastAsia="Arial" w:hAnsi="Arial"/>
          <w:sz w:val="19"/>
          <w:szCs w:val="19"/>
          <w:color w:val="auto"/>
        </w:rPr>
      </w:pPr>
    </w:p>
    <w:p>
      <w:pPr>
        <w:ind w:left="660" w:right="340" w:firstLine="645"/>
        <w:spacing w:after="0" w:line="251" w:lineRule="auto"/>
        <w:tabs>
          <w:tab w:leader="none" w:pos="197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expressly waives any requirement for the posting of a bond by a party bringing such claim, suit, action or proceeding; and</w:t>
      </w:r>
    </w:p>
    <w:p>
      <w:pPr>
        <w:spacing w:after="0" w:line="200" w:lineRule="exact"/>
        <w:rPr>
          <w:rFonts w:ascii="Arial" w:cs="Arial" w:eastAsia="Arial" w:hAnsi="Arial"/>
          <w:sz w:val="22"/>
          <w:szCs w:val="22"/>
          <w:color w:val="auto"/>
        </w:rPr>
      </w:pPr>
    </w:p>
    <w:p>
      <w:pPr>
        <w:ind w:left="660" w:right="440" w:firstLine="645"/>
        <w:spacing w:after="0" w:line="251" w:lineRule="auto"/>
        <w:tabs>
          <w:tab w:leader="none" w:pos="196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consents to process being served in any such claim, suit, action or proceeding by mailing, certified mail, return receipt requested, a copy thereof to such</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18" w:name="page119"/>
    <w:bookmarkEnd w:id="118"/>
    <w:p>
      <w:pPr>
        <w:jc w:val="both"/>
        <w:ind w:left="660" w:right="40"/>
        <w:spacing w:after="0"/>
        <w:rPr>
          <w:sz w:val="20"/>
          <w:szCs w:val="20"/>
          <w:color w:val="auto"/>
        </w:rPr>
      </w:pPr>
      <w:r>
        <w:rPr>
          <w:rFonts w:ascii="Arial" w:cs="Arial" w:eastAsia="Arial" w:hAnsi="Arial"/>
          <w:sz w:val="22"/>
          <w:szCs w:val="22"/>
          <w:color w:val="auto"/>
        </w:rPr>
        <w:t xml:space="preserve">party at the address in effect for notices hereunder, and agrees that such services shall constitute good and sufficient service of process and notice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nothing in </w:t>
      </w:r>
      <w:r>
        <w:rPr>
          <w:rFonts w:ascii="Arial" w:cs="Arial" w:eastAsia="Arial" w:hAnsi="Arial"/>
          <w:sz w:val="22"/>
          <w:szCs w:val="22"/>
          <w:u w:val="single" w:color="auto"/>
          <w:color w:val="auto"/>
        </w:rPr>
        <w:t>clause (v)</w:t>
      </w:r>
      <w:r>
        <w:rPr>
          <w:rFonts w:ascii="Arial" w:cs="Arial" w:eastAsia="Arial" w:hAnsi="Arial"/>
          <w:sz w:val="22"/>
          <w:szCs w:val="22"/>
          <w:color w:val="auto"/>
        </w:rPr>
        <w:t xml:space="preserve"> hereof shall affect or limit any right to serve process in any other manner permitted by law.</w:t>
      </w:r>
    </w:p>
    <w:p>
      <w:pPr>
        <w:spacing w:after="0" w:line="213"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19.9. </w:t>
      </w:r>
      <w:r>
        <w:rPr>
          <w:rFonts w:ascii="Arial" w:cs="Arial" w:eastAsia="Arial" w:hAnsi="Arial"/>
          <w:sz w:val="19"/>
          <w:szCs w:val="19"/>
          <w:i w:val="1"/>
          <w:iCs w:val="1"/>
          <w:color w:val="auto"/>
        </w:rPr>
        <w:t>Invalidity of Provisions</w:t>
      </w:r>
      <w:r>
        <w:rPr>
          <w:rFonts w:ascii="Arial" w:cs="Arial" w:eastAsia="Arial" w:hAnsi="Arial"/>
          <w:sz w:val="19"/>
          <w:szCs w:val="19"/>
          <w:color w:val="auto"/>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17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Section 19.10. </w:t>
      </w:r>
      <w:r>
        <w:rPr>
          <w:rFonts w:ascii="Arial" w:cs="Arial" w:eastAsia="Arial" w:hAnsi="Arial"/>
          <w:sz w:val="19"/>
          <w:szCs w:val="19"/>
          <w:i w:val="1"/>
          <w:iCs w:val="1"/>
          <w:color w:val="auto"/>
        </w:rPr>
        <w:t>Consent of Partners</w:t>
      </w:r>
      <w:r>
        <w:rPr>
          <w:rFonts w:ascii="Arial" w:cs="Arial" w:eastAsia="Arial" w:hAnsi="Arial"/>
          <w:sz w:val="19"/>
          <w:szCs w:val="19"/>
          <w:color w:val="auto"/>
        </w:rPr>
        <w:t>. Each Partner hereby expressly consents and agrees that, whenever in this Agreement it is specified that an action may be taken upon the affirmative vote or consent of less than all of the Partners (including any amendment to this Agreement), such action may be so taken upon the concurrence of less than all of the Partners and each Partner shall be bound by the results of such action (including any amendment to this Agreement).</w:t>
      </w:r>
    </w:p>
    <w:p>
      <w:pPr>
        <w:spacing w:after="0" w:line="170" w:lineRule="exact"/>
        <w:rPr>
          <w:sz w:val="20"/>
          <w:szCs w:val="20"/>
          <w:color w:val="auto"/>
        </w:rPr>
      </w:pPr>
    </w:p>
    <w:p>
      <w:pPr>
        <w:ind w:right="580" w:firstLine="1297"/>
        <w:spacing w:after="0"/>
        <w:rPr>
          <w:sz w:val="20"/>
          <w:szCs w:val="20"/>
          <w:color w:val="auto"/>
        </w:rPr>
      </w:pPr>
      <w:r>
        <w:rPr>
          <w:rFonts w:ascii="Arial" w:cs="Arial" w:eastAsia="Arial" w:hAnsi="Arial"/>
          <w:sz w:val="22"/>
          <w:szCs w:val="22"/>
          <w:color w:val="auto"/>
        </w:rPr>
        <w:t xml:space="preserve">Section 19.11. </w:t>
      </w:r>
      <w:r>
        <w:rPr>
          <w:rFonts w:ascii="Arial" w:cs="Arial" w:eastAsia="Arial" w:hAnsi="Arial"/>
          <w:sz w:val="22"/>
          <w:szCs w:val="22"/>
          <w:i w:val="1"/>
          <w:iCs w:val="1"/>
          <w:color w:val="auto"/>
        </w:rPr>
        <w:t>Facsimile Signatures</w:t>
      </w:r>
      <w:r>
        <w:rPr>
          <w:rFonts w:ascii="Arial" w:cs="Arial" w:eastAsia="Arial" w:hAnsi="Arial"/>
          <w:sz w:val="22"/>
          <w:szCs w:val="22"/>
          <w:color w:val="auto"/>
        </w:rPr>
        <w:t>. The use of facsimile signatures affixed in the name and on behalf of the transfer agent and registrar of the Partnership on certificates representing Common Units and Preference Units is expressly permitted by this Agreement.</w:t>
      </w:r>
    </w:p>
    <w:p>
      <w:pPr>
        <w:spacing w:after="0" w:line="213"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 xml:space="preserve">Section 19.12. </w:t>
      </w:r>
      <w:r>
        <w:rPr>
          <w:rFonts w:ascii="Arial" w:cs="Arial" w:eastAsia="Arial" w:hAnsi="Arial"/>
          <w:sz w:val="22"/>
          <w:szCs w:val="22"/>
          <w:i w:val="1"/>
          <w:iCs w:val="1"/>
          <w:color w:val="auto"/>
        </w:rPr>
        <w:t>Third-Party Beneficiaries</w:t>
      </w:r>
      <w:r>
        <w:rPr>
          <w:rFonts w:ascii="Arial" w:cs="Arial" w:eastAsia="Arial" w:hAnsi="Arial"/>
          <w:sz w:val="22"/>
          <w:szCs w:val="22"/>
          <w:color w:val="auto"/>
        </w:rPr>
        <w:t>. Each Partner agrees that any Indemnitee shall be entitled to assert rights and remedies hereunder as a third party beneficiary hereto with respect to those provisions of this Agreement affording a right, benefit or privilege to such Indemnitee.</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[REMAINDER OF THIS PAGE INTENTIONALLY LEFT BLANK]</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119" w:name="page120"/>
    <w:bookmarkEnd w:id="119"/>
    <w:p>
      <w:pPr>
        <w:ind w:right="640" w:firstLine="1297"/>
        <w:spacing w:after="0" w:line="251" w:lineRule="auto"/>
        <w:rPr>
          <w:sz w:val="20"/>
          <w:szCs w:val="20"/>
          <w:color w:val="auto"/>
        </w:rPr>
      </w:pPr>
      <w:r>
        <w:rPr>
          <w:rFonts w:ascii="Arial" w:cs="Arial" w:eastAsia="Arial" w:hAnsi="Arial"/>
          <w:sz w:val="22"/>
          <w:szCs w:val="22"/>
          <w:color w:val="auto"/>
        </w:rPr>
        <w:t>IN WITNESS WHEREOF, the parties hereto have executed this Fourth Amended and Restated Agreement of Limited Partnership as a Deed as of the date first written above.</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GENERAL PARTNER:</w:t>
      </w:r>
    </w:p>
    <w:p>
      <w:pPr>
        <w:spacing w:after="0" w:line="21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GP LLC</w:t>
      </w:r>
    </w:p>
    <w:p>
      <w:pPr>
        <w:ind w:left="5720"/>
        <w:spacing w:after="0" w:line="238" w:lineRule="auto"/>
        <w:rPr>
          <w:sz w:val="20"/>
          <w:szCs w:val="20"/>
          <w:color w:val="auto"/>
        </w:rPr>
      </w:pPr>
      <w:r>
        <w:rPr>
          <w:rFonts w:ascii="Arial" w:cs="Arial" w:eastAsia="Arial" w:hAnsi="Arial"/>
          <w:sz w:val="22"/>
          <w:szCs w:val="22"/>
          <w:color w:val="auto"/>
        </w:rPr>
        <w:t>By: GasLog Ltd.,</w:t>
      </w:r>
    </w:p>
    <w:p>
      <w:pPr>
        <w:ind w:left="57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7620</wp:posOffset>
            </wp:positionV>
            <wp:extent cx="31813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6400"/>
        <w:spacing w:after="0"/>
        <w:tabs>
          <w:tab w:leader="none" w:pos="7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Paul Wogan</w:t>
      </w:r>
    </w:p>
    <w:p>
      <w:pPr>
        <w:ind w:left="6400"/>
        <w:spacing w:after="0"/>
        <w:tabs>
          <w:tab w:leader="none" w:pos="7180" w:val="left"/>
        </w:tabs>
        <w:rPr>
          <w:sz w:val="20"/>
          <w:szCs w:val="20"/>
          <w:color w:val="auto"/>
        </w:rPr>
      </w:pPr>
      <w:r>
        <w:rPr>
          <w:rFonts w:ascii="Arial" w:cs="Arial" w:eastAsia="Arial" w:hAnsi="Arial"/>
          <w:sz w:val="22"/>
          <w:szCs w:val="22"/>
          <w:color w:val="auto"/>
        </w:rPr>
        <w:t>Title:</w:t>
        <w:tab/>
        <w:t>Chief Executive Officer</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LIMITED PARTNERS:</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All Limited Partners now and hereafter admitted as Limited</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Partners of the Partnership, pursuant to authority now and</w:t>
      </w:r>
    </w:p>
    <w:p>
      <w:pPr>
        <w:ind w:left="5720"/>
        <w:spacing w:after="0"/>
        <w:rPr>
          <w:sz w:val="20"/>
          <w:szCs w:val="20"/>
          <w:color w:val="auto"/>
        </w:rPr>
      </w:pPr>
      <w:r>
        <w:rPr>
          <w:rFonts w:ascii="Arial" w:cs="Arial" w:eastAsia="Arial" w:hAnsi="Arial"/>
          <w:sz w:val="19"/>
          <w:szCs w:val="19"/>
          <w:color w:val="auto"/>
        </w:rPr>
        <w:t>hereafter executed in favor of, and granted and delivered to, the</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Board of Directors pursuant to Section 13.1 of this Partnership</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12" w:lineRule="exact"/>
        <w:rPr>
          <w:sz w:val="20"/>
          <w:szCs w:val="20"/>
          <w:color w:val="auto"/>
        </w:rPr>
      </w:pPr>
    </w:p>
    <w:tbl>
      <w:tblPr>
        <w:tblLayout w:type="fixed"/>
        <w:tblInd w:w="6400" w:type="dxa"/>
        <w:tblCellMar>
          <w:top w:w="0" w:type="dxa"/>
          <w:left w:w="0" w:type="dxa"/>
          <w:bottom w:w="0" w:type="dxa"/>
          <w:right w:w="0" w:type="dxa"/>
        </w:tblCellMar>
      </w:tblPr>
      <w:tr>
        <w:trPr>
          <w:trHeight w:val="215"/>
        </w:trPr>
        <w:tc>
          <w:tcPr>
            <w:tcW w:w="7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20" w:type="dxa"/>
            <w:vAlign w:val="bottom"/>
            <w:tcBorders>
              <w:top w:val="single" w:sz="8" w:color="auto"/>
            </w:tcBorders>
          </w:tcPr>
          <w:p>
            <w:pPr>
              <w:ind w:left="100"/>
              <w:spacing w:after="0" w:line="216" w:lineRule="exact"/>
              <w:rPr>
                <w:sz w:val="20"/>
                <w:szCs w:val="20"/>
                <w:color w:val="auto"/>
              </w:rPr>
            </w:pPr>
            <w:r>
              <w:rPr>
                <w:rFonts w:ascii="Arial" w:cs="Arial" w:eastAsia="Arial" w:hAnsi="Arial"/>
                <w:sz w:val="22"/>
                <w:szCs w:val="22"/>
                <w:color w:val="auto"/>
              </w:rPr>
              <w:t>Andrew J. Orekar</w:t>
            </w:r>
          </w:p>
        </w:tc>
      </w:tr>
      <w:tr>
        <w:trPr>
          <w:trHeight w:val="275"/>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320" w:type="dxa"/>
            <w:vAlign w:val="bottom"/>
          </w:tcPr>
          <w:p>
            <w:pPr>
              <w:ind w:left="100"/>
              <w:spacing w:after="0"/>
              <w:rPr>
                <w:sz w:val="20"/>
                <w:szCs w:val="20"/>
                <w:color w:val="auto"/>
              </w:rPr>
            </w:pPr>
            <w:r>
              <w:rPr>
                <w:rFonts w:ascii="Arial" w:cs="Arial" w:eastAsia="Arial" w:hAnsi="Arial"/>
                <w:sz w:val="22"/>
                <w:szCs w:val="22"/>
                <w:color w:val="auto"/>
              </w:rPr>
              <w:t>Chief Executive Officer and Director</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AMENDED AND RESTATED</w:t>
      </w:r>
    </w:p>
    <w:p>
      <w:pPr>
        <w:jc w:val="center"/>
        <w:spacing w:after="0"/>
        <w:rPr>
          <w:sz w:val="20"/>
          <w:szCs w:val="20"/>
          <w:color w:val="auto"/>
        </w:rPr>
      </w:pPr>
      <w:r>
        <w:rPr>
          <w:rFonts w:ascii="Arial" w:cs="Arial" w:eastAsia="Arial" w:hAnsi="Arial"/>
          <w:sz w:val="20"/>
          <w:szCs w:val="20"/>
          <w:b w:val="1"/>
          <w:bCs w:val="1"/>
          <w:color w:val="auto"/>
        </w:rPr>
        <w:t>AGREEMENT OF LIMITED PARTNERSHIP</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to the Fourth Amended and Restated</w:t>
      </w:r>
    </w:p>
    <w:p>
      <w:pPr>
        <w:ind w:left="400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Certificate Evidencing Common Units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Representing Limited Partner Interests in</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spacing w:after="0"/>
        <w:tabs>
          <w:tab w:leader="none" w:pos="100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Common Units</w:t>
      </w:r>
    </w:p>
    <w:p>
      <w:pPr>
        <w:spacing w:after="0" w:line="241" w:lineRule="exact"/>
        <w:rPr>
          <w:sz w:val="20"/>
          <w:szCs w:val="20"/>
          <w:color w:val="auto"/>
        </w:rPr>
      </w:pPr>
    </w:p>
    <w:p>
      <w:pPr>
        <w:ind w:right="240" w:firstLine="1297"/>
        <w:spacing w:after="0" w:line="276" w:lineRule="auto"/>
        <w:rPr>
          <w:sz w:val="20"/>
          <w:szCs w:val="20"/>
          <w:color w:val="auto"/>
        </w:rPr>
      </w:pPr>
      <w:r>
        <w:rPr>
          <w:rFonts w:ascii="Arial" w:cs="Arial" w:eastAsia="Arial" w:hAnsi="Arial"/>
          <w:sz w:val="19"/>
          <w:szCs w:val="19"/>
          <w:color w:val="auto"/>
        </w:rPr>
        <w:t>In accordance with Section 4.1 of the Fourth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Common Units representing limited partner interests in the Partnership (the “</w:t>
      </w:r>
      <w:r>
        <w:rPr>
          <w:rFonts w:ascii="Arial" w:cs="Arial" w:eastAsia="Arial" w:hAnsi="Arial"/>
          <w:sz w:val="19"/>
          <w:szCs w:val="19"/>
          <w:b w:val="1"/>
          <w:bCs w:val="1"/>
          <w:i w:val="1"/>
          <w:iCs w:val="1"/>
          <w:color w:val="auto"/>
        </w:rPr>
        <w:t>Common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5"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080" w:type="dxa"/>
            <w:vAlign w:val="bottom"/>
            <w:gridSpan w:val="3"/>
          </w:tcPr>
          <w:p>
            <w:pPr>
              <w:spacing w:after="0"/>
              <w:rPr>
                <w:sz w:val="20"/>
                <w:szCs w:val="20"/>
                <w:color w:val="auto"/>
              </w:rPr>
            </w:pPr>
            <w:r>
              <w:rPr>
                <w:rFonts w:ascii="Arial" w:cs="Arial" w:eastAsia="Arial" w:hAnsi="Arial"/>
                <w:sz w:val="22"/>
                <w:szCs w:val="22"/>
                <w:color w:val="auto"/>
              </w:rPr>
              <w:t>Dated:</w:t>
            </w:r>
          </w:p>
        </w:tc>
        <w:tc>
          <w:tcPr>
            <w:tcW w:w="11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508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340" w:type="dxa"/>
            <w:vAlign w:val="bottom"/>
            <w:gridSpan w:val="2"/>
          </w:tcPr>
          <w:p>
            <w:pPr>
              <w:ind w:left="64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6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340" w:type="dxa"/>
            <w:vAlign w:val="bottom"/>
            <w:gridSpan w:val="2"/>
          </w:tcPr>
          <w:p>
            <w:pPr>
              <w:ind w:left="6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0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180" w:type="dxa"/>
            <w:vAlign w:val="bottom"/>
          </w:tcPr>
          <w:p>
            <w:pPr>
              <w:spacing w:after="0"/>
              <w:rPr>
                <w:sz w:val="23"/>
                <w:szCs w:val="23"/>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28"/>
        </w:trPr>
        <w:tc>
          <w:tcPr>
            <w:tcW w:w="5080" w:type="dxa"/>
            <w:vAlign w:val="bottom"/>
            <w:gridSpan w:val="3"/>
          </w:tcPr>
          <w:p>
            <w:pPr>
              <w:spacing w:after="0"/>
              <w:rPr>
                <w:sz w:val="20"/>
                <w:szCs w:val="20"/>
                <w:color w:val="auto"/>
              </w:rPr>
            </w:pPr>
            <w:r>
              <w:rPr>
                <w:rFonts w:ascii="Arial" w:cs="Arial" w:eastAsia="Arial" w:hAnsi="Arial"/>
                <w:sz w:val="22"/>
                <w:szCs w:val="22"/>
                <w:color w:val="auto"/>
              </w:rPr>
              <w:t>By:</w:t>
            </w:r>
          </w:p>
        </w:tc>
        <w:tc>
          <w:tcPr>
            <w:tcW w:w="6340" w:type="dxa"/>
            <w:vAlign w:val="bottom"/>
            <w:gridSpan w:val="2"/>
          </w:tcPr>
          <w:p>
            <w:pPr>
              <w:ind w:left="6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180" w:type="dxa"/>
            <w:vAlign w:val="bottom"/>
          </w:tcPr>
          <w:p>
            <w:pPr>
              <w:spacing w:after="0"/>
              <w:rPr>
                <w:sz w:val="23"/>
                <w:szCs w:val="23"/>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340" w:type="dxa"/>
            <w:vAlign w:val="bottom"/>
            <w:gridSpan w:val="2"/>
          </w:tcPr>
          <w:p>
            <w:pPr>
              <w:ind w:left="460"/>
              <w:spacing w:after="0"/>
              <w:rPr>
                <w:sz w:val="20"/>
                <w:szCs w:val="20"/>
                <w:color w:val="auto"/>
              </w:rPr>
            </w:pPr>
            <w:r>
              <w:rPr>
                <w:rFonts w:ascii="Arial" w:cs="Arial" w:eastAsia="Arial" w:hAnsi="Arial"/>
                <w:sz w:val="22"/>
                <w:szCs w:val="22"/>
                <w:color w:val="auto"/>
              </w:rPr>
              <w:t>A-1</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26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284"/>
        </w:trPr>
        <w:tc>
          <w:tcPr>
            <w:tcW w:w="116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22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6040" w:type="dxa"/>
            <w:vAlign w:val="bottom"/>
            <w:gridSpan w:val="5"/>
            <w:shd w:val="clear" w:color="auto" w:fill="CCEEFF"/>
          </w:tcPr>
          <w:p>
            <w:pPr>
              <w:ind w:left="80"/>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 as tenants in common</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ASSIGNMENT OF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Common Units representing limited partner interests evidenced by this Certificate, subject to the Partnership</w:t>
      </w:r>
    </w:p>
    <w:p>
      <w:pPr>
        <w:spacing w:after="0" w:line="20" w:lineRule="exact"/>
        <w:rPr>
          <w:sz w:val="20"/>
          <w:szCs w:val="20"/>
          <w:color w:val="auto"/>
        </w:rPr>
      </w:pPr>
    </w:p>
    <w:p>
      <w:pPr>
        <w:ind w:right="1020"/>
        <w:spacing w:after="0" w:line="237"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28" w:right="239" w:bottom="1440" w:gutter="0" w:footer="0" w:header="0"/>
        </w:sectPr>
      </w:pPr>
    </w:p>
    <w:p>
      <w:pPr>
        <w:spacing w:after="0" w:line="185" w:lineRule="exact"/>
        <w:rPr>
          <w:sz w:val="20"/>
          <w:szCs w:val="20"/>
          <w:color w:val="auto"/>
        </w:rPr>
      </w:pPr>
    </w:p>
    <w:p>
      <w:pPr>
        <w:spacing w:after="0"/>
        <w:tabs>
          <w:tab w:leader="none" w:pos="57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6172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60"/>
        <w:spacing w:after="0" w:line="249" w:lineRule="auto"/>
        <w:rPr>
          <w:sz w:val="20"/>
          <w:szCs w:val="20"/>
          <w:color w:val="auto"/>
        </w:rPr>
      </w:pPr>
      <w:r>
        <w:rPr>
          <w:rFonts w:ascii="Arial" w:cs="Arial" w:eastAsia="Arial" w:hAnsi="Arial"/>
          <w:sz w:val="21"/>
          <w:szCs w:val="21"/>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The signature to any endorsement hereon must correspond with the name as written upon the face of this Certificate in every particular, without alteration, enlargement or change.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161925</wp:posOffset>
            </wp:positionV>
            <wp:extent cx="3027045" cy="8489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27045" cy="84899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-154940</wp:posOffset>
            </wp:positionV>
            <wp:extent cx="30270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174" w:lineRule="exact"/>
        <w:rPr>
          <w:sz w:val="20"/>
          <w:szCs w:val="20"/>
          <w:color w:val="auto"/>
        </w:rPr>
      </w:pPr>
    </w:p>
    <w:p>
      <w:pPr>
        <w:sectPr>
          <w:pgSz w:w="11900" w:h="16838" w:orient="portrait"/>
          <w:cols w:equalWidth="0" w:num="2">
            <w:col w:w="6380" w:space="480"/>
            <w:col w:w="4560"/>
          </w:cols>
          <w:pgMar w:left="240" w:top="328" w:right="239" w:bottom="1440" w:gutter="0" w:footer="0" w:header="0"/>
          <w:type w:val="continuous"/>
        </w:sectPr>
      </w:pPr>
    </w:p>
    <w:p>
      <w:pPr>
        <w:spacing w:after="0" w:line="15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No transfer of the Common Units evidenced hereby will be registered on the books of the Partnership, unless the Certificate evidencing the Common Units to be transferred is surrendered for registration or transfer.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23" w:name="page124"/>
    <w:bookmarkEnd w:id="123"/>
    <w:p>
      <w:pPr>
        <w:jc w:val="center"/>
        <w:ind w:right="40"/>
        <w:spacing w:after="0"/>
        <w:rPr>
          <w:sz w:val="20"/>
          <w:szCs w:val="20"/>
          <w:color w:val="auto"/>
        </w:rPr>
      </w:pPr>
      <w:r>
        <w:rPr>
          <w:rFonts w:ascii="Arial" w:cs="Arial" w:eastAsia="Arial" w:hAnsi="Arial"/>
          <w:sz w:val="22"/>
          <w:szCs w:val="22"/>
          <w:b w:val="1"/>
          <w:bCs w:val="1"/>
          <w:color w:val="auto"/>
        </w:rPr>
        <w:t>EXHIBIT B</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Fourth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Certificate Evidencing Series A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A Preference Units</w:t>
      </w:r>
    </w:p>
    <w:p>
      <w:pPr>
        <w:spacing w:after="0" w:line="241" w:lineRule="exact"/>
        <w:rPr>
          <w:sz w:val="20"/>
          <w:szCs w:val="20"/>
          <w:color w:val="auto"/>
        </w:rPr>
      </w:pPr>
    </w:p>
    <w:p>
      <w:pPr>
        <w:ind w:right="240" w:firstLine="1297"/>
        <w:spacing w:after="0" w:line="276" w:lineRule="auto"/>
        <w:rPr>
          <w:sz w:val="20"/>
          <w:szCs w:val="20"/>
          <w:color w:val="auto"/>
        </w:rPr>
      </w:pPr>
      <w:r>
        <w:rPr>
          <w:rFonts w:ascii="Arial" w:cs="Arial" w:eastAsia="Arial" w:hAnsi="Arial"/>
          <w:sz w:val="19"/>
          <w:szCs w:val="19"/>
          <w:color w:val="auto"/>
        </w:rPr>
        <w:t>In accordance with Section 4.1 of the Fourth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A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A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A Preference Units are set forth in, and this Certificate and the Series A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080" w:type="dxa"/>
            <w:vAlign w:val="bottom"/>
            <w:gridSpan w:val="3"/>
          </w:tcPr>
          <w:p>
            <w:pPr>
              <w:spacing w:after="0"/>
              <w:rPr>
                <w:sz w:val="20"/>
                <w:szCs w:val="20"/>
                <w:color w:val="auto"/>
              </w:rPr>
            </w:pPr>
            <w:r>
              <w:rPr>
                <w:rFonts w:ascii="Arial" w:cs="Arial" w:eastAsia="Arial" w:hAnsi="Arial"/>
                <w:sz w:val="22"/>
                <w:szCs w:val="22"/>
                <w:color w:val="auto"/>
              </w:rPr>
              <w:t>Dated:</w:t>
            </w:r>
          </w:p>
        </w:tc>
        <w:tc>
          <w:tcPr>
            <w:tcW w:w="118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508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340" w:type="dxa"/>
            <w:vAlign w:val="bottom"/>
            <w:gridSpan w:val="2"/>
          </w:tcPr>
          <w:p>
            <w:pPr>
              <w:ind w:left="64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6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340" w:type="dxa"/>
            <w:vAlign w:val="bottom"/>
            <w:gridSpan w:val="2"/>
          </w:tcPr>
          <w:p>
            <w:pPr>
              <w:ind w:left="6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0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180" w:type="dxa"/>
            <w:vAlign w:val="bottom"/>
          </w:tcPr>
          <w:p>
            <w:pPr>
              <w:spacing w:after="0"/>
              <w:rPr>
                <w:sz w:val="23"/>
                <w:szCs w:val="23"/>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28"/>
        </w:trPr>
        <w:tc>
          <w:tcPr>
            <w:tcW w:w="5080" w:type="dxa"/>
            <w:vAlign w:val="bottom"/>
            <w:gridSpan w:val="3"/>
          </w:tcPr>
          <w:p>
            <w:pPr>
              <w:spacing w:after="0"/>
              <w:rPr>
                <w:sz w:val="20"/>
                <w:szCs w:val="20"/>
                <w:color w:val="auto"/>
              </w:rPr>
            </w:pPr>
            <w:r>
              <w:rPr>
                <w:rFonts w:ascii="Arial" w:cs="Arial" w:eastAsia="Arial" w:hAnsi="Arial"/>
                <w:sz w:val="22"/>
                <w:szCs w:val="22"/>
                <w:color w:val="auto"/>
              </w:rPr>
              <w:t>By:</w:t>
            </w:r>
          </w:p>
        </w:tc>
        <w:tc>
          <w:tcPr>
            <w:tcW w:w="6340" w:type="dxa"/>
            <w:vAlign w:val="bottom"/>
            <w:gridSpan w:val="2"/>
          </w:tcPr>
          <w:p>
            <w:pPr>
              <w:ind w:left="6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180" w:type="dxa"/>
            <w:vAlign w:val="bottom"/>
          </w:tcPr>
          <w:p>
            <w:pPr>
              <w:spacing w:after="0"/>
              <w:rPr>
                <w:sz w:val="23"/>
                <w:szCs w:val="23"/>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340" w:type="dxa"/>
            <w:vAlign w:val="bottom"/>
            <w:gridSpan w:val="2"/>
          </w:tcPr>
          <w:p>
            <w:pPr>
              <w:ind w:left="480"/>
              <w:spacing w:after="0"/>
              <w:rPr>
                <w:sz w:val="20"/>
                <w:szCs w:val="20"/>
                <w:color w:val="auto"/>
              </w:rPr>
            </w:pPr>
            <w:r>
              <w:rPr>
                <w:rFonts w:ascii="Arial" w:cs="Arial" w:eastAsia="Arial" w:hAnsi="Arial"/>
                <w:sz w:val="22"/>
                <w:szCs w:val="22"/>
                <w:color w:val="auto"/>
              </w:rPr>
              <w:t>B-1</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26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284"/>
        </w:trPr>
        <w:tc>
          <w:tcPr>
            <w:tcW w:w="116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22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6040" w:type="dxa"/>
            <w:vAlign w:val="bottom"/>
            <w:gridSpan w:val="5"/>
            <w:shd w:val="clear" w:color="auto" w:fill="CCEEFF"/>
          </w:tcPr>
          <w:p>
            <w:pPr>
              <w:ind w:left="80"/>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 as tenants in common</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ASSIGNMENT OF SERIES A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A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28" w:right="239" w:bottom="1440" w:gutter="0" w:footer="0" w:header="0"/>
        </w:sectPr>
      </w:pPr>
    </w:p>
    <w:p>
      <w:pPr>
        <w:spacing w:after="0" w:line="185" w:lineRule="exact"/>
        <w:rPr>
          <w:sz w:val="20"/>
          <w:szCs w:val="20"/>
          <w:color w:val="auto"/>
        </w:rPr>
      </w:pPr>
    </w:p>
    <w:p>
      <w:pPr>
        <w:spacing w:after="0"/>
        <w:tabs>
          <w:tab w:leader="none" w:pos="57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6172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60"/>
        <w:spacing w:after="0" w:line="249" w:lineRule="auto"/>
        <w:rPr>
          <w:sz w:val="20"/>
          <w:szCs w:val="20"/>
          <w:color w:val="auto"/>
        </w:rPr>
      </w:pPr>
      <w:r>
        <w:rPr>
          <w:rFonts w:ascii="Arial" w:cs="Arial" w:eastAsia="Arial" w:hAnsi="Arial"/>
          <w:sz w:val="21"/>
          <w:szCs w:val="21"/>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The signature to any endorsement hereon must correspond with the name as written upon the face of this Certificate in every particular, without alteration, enlargement or change.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161925</wp:posOffset>
            </wp:positionV>
            <wp:extent cx="3027045" cy="8489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27045" cy="84899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-154940</wp:posOffset>
            </wp:positionV>
            <wp:extent cx="30270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174" w:lineRule="exact"/>
        <w:rPr>
          <w:sz w:val="20"/>
          <w:szCs w:val="20"/>
          <w:color w:val="auto"/>
        </w:rPr>
      </w:pPr>
    </w:p>
    <w:p>
      <w:pPr>
        <w:sectPr>
          <w:pgSz w:w="11900" w:h="16838" w:orient="portrait"/>
          <w:cols w:equalWidth="0" w:num="2">
            <w:col w:w="6380" w:space="480"/>
            <w:col w:w="4560"/>
          </w:cols>
          <w:pgMar w:left="240" w:top="328" w:right="239" w:bottom="1440" w:gutter="0" w:footer="0" w:header="0"/>
          <w:type w:val="continuous"/>
        </w:sectPr>
      </w:pPr>
    </w:p>
    <w:p>
      <w:pPr>
        <w:spacing w:after="0" w:line="15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A Preference Units evidenced hereby will be registered on the books of the Partnership, unless the Certificate evidencing the Series A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26" w:name="page127"/>
    <w:bookmarkEnd w:id="126"/>
    <w:p>
      <w:pPr>
        <w:jc w:val="center"/>
        <w:ind w:right="40"/>
        <w:spacing w:after="0"/>
        <w:rPr>
          <w:sz w:val="20"/>
          <w:szCs w:val="20"/>
          <w:color w:val="auto"/>
        </w:rPr>
      </w:pPr>
      <w:r>
        <w:rPr>
          <w:rFonts w:ascii="Arial" w:cs="Arial" w:eastAsia="Arial" w:hAnsi="Arial"/>
          <w:sz w:val="22"/>
          <w:szCs w:val="22"/>
          <w:b w:val="1"/>
          <w:bCs w:val="1"/>
          <w:color w:val="auto"/>
        </w:rPr>
        <w:t>EXHIBIT 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Fourth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Certificate Evidencing Series B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B Preference Units</w:t>
      </w:r>
    </w:p>
    <w:p>
      <w:pPr>
        <w:spacing w:after="0" w:line="241" w:lineRule="exact"/>
        <w:rPr>
          <w:sz w:val="20"/>
          <w:szCs w:val="20"/>
          <w:color w:val="auto"/>
        </w:rPr>
      </w:pPr>
    </w:p>
    <w:p>
      <w:pPr>
        <w:ind w:right="240" w:firstLine="1297"/>
        <w:spacing w:after="0" w:line="276" w:lineRule="auto"/>
        <w:rPr>
          <w:sz w:val="20"/>
          <w:szCs w:val="20"/>
          <w:color w:val="auto"/>
        </w:rPr>
      </w:pPr>
      <w:r>
        <w:rPr>
          <w:rFonts w:ascii="Arial" w:cs="Arial" w:eastAsia="Arial" w:hAnsi="Arial"/>
          <w:sz w:val="19"/>
          <w:szCs w:val="19"/>
          <w:color w:val="auto"/>
        </w:rPr>
        <w:t>In accordance with Section 4.1 of the Fourth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B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B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B Preference Units are set forth in, and this Certificate and the Series B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Dated:</w:t>
            </w: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Arial" w:cs="Arial" w:eastAsia="Arial" w:hAnsi="Arial"/>
                <w:sz w:val="22"/>
                <w:szCs w:val="22"/>
                <w:color w:val="auto"/>
              </w:rPr>
              <w:t>GASLOG PARTNERS LP</w:t>
            </w: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Countersigned and Registered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AMERICAN STOCK &amp; TRANSFER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1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80" w:type="dxa"/>
            <w:vAlign w:val="bottom"/>
            <w:gridSpan w:val="2"/>
            <w:vMerge w:val="restart"/>
          </w:tcPr>
          <w:p>
            <w:pPr>
              <w:ind w:left="2760"/>
              <w:spacing w:after="0" w:line="243" w:lineRule="exact"/>
              <w:rPr>
                <w:sz w:val="20"/>
                <w:szCs w:val="20"/>
                <w:color w:val="auto"/>
              </w:rPr>
            </w:pPr>
            <w:r>
              <w:rPr>
                <w:rFonts w:ascii="Arial" w:cs="Arial" w:eastAsia="Arial" w:hAnsi="Arial"/>
                <w:sz w:val="22"/>
                <w:szCs w:val="22"/>
                <w:color w:val="auto"/>
              </w:rPr>
              <w:t>&amp; TRUST COMPANY, LLC</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rPr>
              <w:t>Chief Financial Officer</w:t>
            </w: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as Transfer Agent and Registrar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520" w:type="dxa"/>
            <w:vAlign w:val="bottom"/>
          </w:tcPr>
          <w:p>
            <w:pPr>
              <w:spacing w:after="0" w:line="216" w:lineRule="exact"/>
              <w:rPr>
                <w:sz w:val="20"/>
                <w:szCs w:val="20"/>
                <w:color w:val="auto"/>
              </w:rPr>
            </w:pPr>
            <w:r>
              <w:rPr>
                <w:rFonts w:ascii="Arial" w:cs="Arial" w:eastAsia="Arial" w:hAnsi="Arial"/>
                <w:sz w:val="22"/>
                <w:szCs w:val="22"/>
                <w:color w:val="auto"/>
              </w:rPr>
              <w:t>Authorized 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rPr>
              <w:t>Secretary</w:t>
            </w:r>
          </w:p>
        </w:tc>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80" w:type="dxa"/>
            <w:vAlign w:val="bottom"/>
            <w:gridSpan w:val="2"/>
          </w:tcPr>
          <w:p>
            <w:pPr>
              <w:ind w:left="2220"/>
              <w:spacing w:after="0"/>
              <w:rPr>
                <w:sz w:val="20"/>
                <w:szCs w:val="20"/>
                <w:color w:val="auto"/>
              </w:rPr>
            </w:pPr>
            <w:r>
              <w:rPr>
                <w:rFonts w:ascii="Arial" w:cs="Arial" w:eastAsia="Arial" w:hAnsi="Arial"/>
                <w:sz w:val="22"/>
                <w:szCs w:val="22"/>
                <w:color w:val="auto"/>
              </w:rPr>
              <w:t>C-1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26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284"/>
        </w:trPr>
        <w:tc>
          <w:tcPr>
            <w:tcW w:w="116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22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6040" w:type="dxa"/>
            <w:vAlign w:val="bottom"/>
            <w:gridSpan w:val="5"/>
            <w:shd w:val="clear" w:color="auto" w:fill="CCEEFF"/>
          </w:tcPr>
          <w:p>
            <w:pPr>
              <w:ind w:left="80"/>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 as tenants in common</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ASSIGNMENT OF SERIES B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B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28" w:right="239" w:bottom="1440" w:gutter="0" w:footer="0" w:header="0"/>
        </w:sectPr>
      </w:pPr>
    </w:p>
    <w:p>
      <w:pPr>
        <w:spacing w:after="0" w:line="185" w:lineRule="exact"/>
        <w:rPr>
          <w:sz w:val="20"/>
          <w:szCs w:val="20"/>
          <w:color w:val="auto"/>
        </w:rPr>
      </w:pPr>
    </w:p>
    <w:p>
      <w:pPr>
        <w:spacing w:after="0"/>
        <w:tabs>
          <w:tab w:leader="none" w:pos="57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6172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60"/>
        <w:spacing w:after="0" w:line="249" w:lineRule="auto"/>
        <w:rPr>
          <w:sz w:val="20"/>
          <w:szCs w:val="20"/>
          <w:color w:val="auto"/>
        </w:rPr>
      </w:pPr>
      <w:r>
        <w:rPr>
          <w:rFonts w:ascii="Arial" w:cs="Arial" w:eastAsia="Arial" w:hAnsi="Arial"/>
          <w:sz w:val="21"/>
          <w:szCs w:val="21"/>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The signature to any endorsement hereon must correspond with the name as written upon the face of this Certificate in every particular, without alteration, enlargement or change.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161925</wp:posOffset>
            </wp:positionV>
            <wp:extent cx="3027045" cy="8489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27045" cy="84899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-154940</wp:posOffset>
            </wp:positionV>
            <wp:extent cx="30270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174" w:lineRule="exact"/>
        <w:rPr>
          <w:sz w:val="20"/>
          <w:szCs w:val="20"/>
          <w:color w:val="auto"/>
        </w:rPr>
      </w:pPr>
    </w:p>
    <w:p>
      <w:pPr>
        <w:sectPr>
          <w:pgSz w:w="11900" w:h="16838" w:orient="portrait"/>
          <w:cols w:equalWidth="0" w:num="2">
            <w:col w:w="6380" w:space="480"/>
            <w:col w:w="4560"/>
          </w:cols>
          <w:pgMar w:left="240" w:top="328" w:right="239" w:bottom="1440" w:gutter="0" w:footer="0" w:header="0"/>
          <w:type w:val="continuous"/>
        </w:sectPr>
      </w:pPr>
    </w:p>
    <w:p>
      <w:pPr>
        <w:spacing w:after="0" w:line="15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B Preference Units evidenced hereby will be registered on the books of the Partnership, unless the Certificate evidencing the Series B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29" w:name="page130"/>
    <w:bookmarkEnd w:id="129"/>
    <w:p>
      <w:pPr>
        <w:jc w:val="center"/>
        <w:ind w:right="40"/>
        <w:spacing w:after="0"/>
        <w:rPr>
          <w:sz w:val="20"/>
          <w:szCs w:val="20"/>
          <w:color w:val="auto"/>
        </w:rPr>
      </w:pPr>
      <w:r>
        <w:rPr>
          <w:rFonts w:ascii="Arial" w:cs="Arial" w:eastAsia="Arial" w:hAnsi="Arial"/>
          <w:sz w:val="22"/>
          <w:szCs w:val="22"/>
          <w:b w:val="1"/>
          <w:bCs w:val="1"/>
          <w:color w:val="auto"/>
        </w:rPr>
        <w:t>EXHIBIT 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Fourth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Certificate Evidencing Series C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C Preference Units</w:t>
      </w:r>
    </w:p>
    <w:p>
      <w:pPr>
        <w:spacing w:after="0" w:line="241" w:lineRule="exact"/>
        <w:rPr>
          <w:sz w:val="20"/>
          <w:szCs w:val="20"/>
          <w:color w:val="auto"/>
        </w:rPr>
      </w:pPr>
    </w:p>
    <w:p>
      <w:pPr>
        <w:ind w:right="240" w:firstLine="1297"/>
        <w:spacing w:after="0" w:line="276" w:lineRule="auto"/>
        <w:rPr>
          <w:sz w:val="20"/>
          <w:szCs w:val="20"/>
          <w:color w:val="auto"/>
        </w:rPr>
      </w:pPr>
      <w:r>
        <w:rPr>
          <w:rFonts w:ascii="Arial" w:cs="Arial" w:eastAsia="Arial" w:hAnsi="Arial"/>
          <w:sz w:val="19"/>
          <w:szCs w:val="19"/>
          <w:color w:val="auto"/>
        </w:rPr>
        <w:t>In accordance with Section 4.1 of the Fourth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C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C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C Preference Units are set forth in, and this Certificate and the Series C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Dated:</w:t>
            </w: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Arial" w:cs="Arial" w:eastAsia="Arial" w:hAnsi="Arial"/>
                <w:sz w:val="22"/>
                <w:szCs w:val="22"/>
                <w:color w:val="auto"/>
              </w:rPr>
              <w:t>GASLOG PARTNERS LP</w:t>
            </w: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Countersigned and Registered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AMERICAN STOCK &amp; TRANSFER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1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80" w:type="dxa"/>
            <w:vAlign w:val="bottom"/>
            <w:gridSpan w:val="2"/>
            <w:vMerge w:val="restart"/>
          </w:tcPr>
          <w:p>
            <w:pPr>
              <w:ind w:left="2760"/>
              <w:spacing w:after="0" w:line="243" w:lineRule="exact"/>
              <w:rPr>
                <w:sz w:val="20"/>
                <w:szCs w:val="20"/>
                <w:color w:val="auto"/>
              </w:rPr>
            </w:pPr>
            <w:r>
              <w:rPr>
                <w:rFonts w:ascii="Arial" w:cs="Arial" w:eastAsia="Arial" w:hAnsi="Arial"/>
                <w:sz w:val="22"/>
                <w:szCs w:val="22"/>
                <w:color w:val="auto"/>
              </w:rPr>
              <w:t>&amp; TRUST COMPANY, LLC</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rPr>
              <w:t>Chief Financial Officer</w:t>
            </w: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as Transfer Agent and Registrar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80" w:type="dxa"/>
            <w:vAlign w:val="bottom"/>
            <w:gridSpan w:val="2"/>
          </w:tcPr>
          <w:p>
            <w:pPr>
              <w:ind w:left="276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520" w:type="dxa"/>
            <w:vAlign w:val="bottom"/>
          </w:tcPr>
          <w:p>
            <w:pPr>
              <w:spacing w:after="0" w:line="216" w:lineRule="exact"/>
              <w:rPr>
                <w:sz w:val="20"/>
                <w:szCs w:val="20"/>
                <w:color w:val="auto"/>
              </w:rPr>
            </w:pPr>
            <w:r>
              <w:rPr>
                <w:rFonts w:ascii="Arial" w:cs="Arial" w:eastAsia="Arial" w:hAnsi="Arial"/>
                <w:sz w:val="22"/>
                <w:szCs w:val="22"/>
                <w:color w:val="auto"/>
              </w:rPr>
              <w:t>Authorized 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rPr>
              <w:t>Secretary</w:t>
            </w:r>
          </w:p>
        </w:tc>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80" w:type="dxa"/>
            <w:vAlign w:val="bottom"/>
            <w:gridSpan w:val="2"/>
          </w:tcPr>
          <w:p>
            <w:pPr>
              <w:ind w:left="2200"/>
              <w:spacing w:after="0"/>
              <w:rPr>
                <w:sz w:val="20"/>
                <w:szCs w:val="20"/>
                <w:color w:val="auto"/>
              </w:rPr>
            </w:pPr>
            <w:r>
              <w:rPr>
                <w:rFonts w:ascii="Arial" w:cs="Arial" w:eastAsia="Arial" w:hAnsi="Arial"/>
                <w:sz w:val="22"/>
                <w:szCs w:val="22"/>
                <w:color w:val="auto"/>
              </w:rPr>
              <w:t>D-1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45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as tenants in common</w:t>
            </w: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8"/>
                <w:szCs w:val="18"/>
                <w:color w:val="auto"/>
                <w:w w:val="93"/>
              </w:rPr>
              <w:t>Custodian</w:t>
            </w:r>
          </w:p>
        </w:tc>
        <w:tc>
          <w:tcPr>
            <w:tcW w:w="126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60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284"/>
        </w:trPr>
        <w:tc>
          <w:tcPr>
            <w:tcW w:w="116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220" w:type="dxa"/>
            <w:vAlign w:val="bottom"/>
          </w:tcPr>
          <w:p>
            <w:pPr>
              <w:ind w:left="360"/>
              <w:spacing w:after="0"/>
              <w:rPr>
                <w:sz w:val="20"/>
                <w:szCs w:val="20"/>
                <w:color w:val="auto"/>
              </w:rPr>
            </w:pPr>
            <w:r>
              <w:rPr>
                <w:rFonts w:ascii="Arial" w:cs="Arial" w:eastAsia="Arial" w:hAnsi="Arial"/>
                <w:sz w:val="18"/>
                <w:szCs w:val="18"/>
                <w:color w:val="auto"/>
              </w:rPr>
              <w:t>—    as tenants by the entireties</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    as joint tenants with right of survivorship and</w:t>
            </w:r>
          </w:p>
        </w:tc>
        <w:tc>
          <w:tcPr>
            <w:tcW w:w="6040" w:type="dxa"/>
            <w:vAlign w:val="bottom"/>
            <w:gridSpan w:val="5"/>
            <w:shd w:val="clear" w:color="auto" w:fill="CCEEFF"/>
          </w:tcPr>
          <w:p>
            <w:pPr>
              <w:ind w:left="80"/>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 as tenants in common</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ASSIGNMENT OF SERIES C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C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28" w:right="239" w:bottom="1440" w:gutter="0" w:footer="0" w:header="0"/>
        </w:sectPr>
      </w:pPr>
    </w:p>
    <w:p>
      <w:pPr>
        <w:spacing w:after="0" w:line="185" w:lineRule="exact"/>
        <w:rPr>
          <w:sz w:val="20"/>
          <w:szCs w:val="20"/>
          <w:color w:val="auto"/>
        </w:rPr>
      </w:pPr>
    </w:p>
    <w:p>
      <w:pPr>
        <w:spacing w:after="0"/>
        <w:tabs>
          <w:tab w:leader="none" w:pos="57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6172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60"/>
        <w:spacing w:after="0" w:line="249" w:lineRule="auto"/>
        <w:rPr>
          <w:sz w:val="20"/>
          <w:szCs w:val="20"/>
          <w:color w:val="auto"/>
        </w:rPr>
      </w:pPr>
      <w:r>
        <w:rPr>
          <w:rFonts w:ascii="Arial" w:cs="Arial" w:eastAsia="Arial" w:hAnsi="Arial"/>
          <w:sz w:val="21"/>
          <w:szCs w:val="21"/>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The signature to any endorsement hereon must correspond with the name as written upon the face of this Certificate in every particular, without alteration, enlargement or change.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161925</wp:posOffset>
            </wp:positionV>
            <wp:extent cx="3027045" cy="8489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27045" cy="84899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-154940</wp:posOffset>
            </wp:positionV>
            <wp:extent cx="30270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ectPr>
          <w:pgSz w:w="11900" w:h="16838" w:orient="portrait"/>
          <w:cols w:equalWidth="0" w:num="2">
            <w:col w:w="6380" w:space="480"/>
            <w:col w:w="4560"/>
          </w:cols>
          <w:pgMar w:left="240" w:top="328" w:right="239" w:bottom="1440" w:gutter="0" w:footer="0" w:header="0"/>
          <w:type w:val="continuous"/>
        </w:sectPr>
      </w:pPr>
    </w:p>
    <w:p>
      <w:pPr>
        <w:spacing w:after="0" w:line="6"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C Preference Units evidenced hereby will be registered on the books of the Partnership, unless the Certificate evidencing the Series C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Closing of its Public Offering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4,000,000 8.500% Series C Cumulative Redeemable Perpetual Fixed to Floating Rate Preference Units</w:t>
      </w:r>
    </w:p>
    <w:p>
      <w:pPr>
        <w:spacing w:after="0" w:line="2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MONACO, November 15, 2018 – GasLog Partners LP (“GasLog Partners”, the “Partnership” or “we”) (NYSE: GLOP) announced today the closing of its public offering of 4,000,000 8.500% Series C Cumulative Redeemable Perpetual Fixed to Floating Rate Preference Units, liquidation preference $25.00 per unit (the “Series C Preference Units”) at a price to the public of $25.00 per unit. The net proceeds from the offering, after deducting underwriting discounts and other offering expenses, were approximately $96.3 million. The Series C Preference Units will be listed on the New York Stock Exchange under the symbol GLOP PR C.</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UBS Investment Bank, Morgan Stanley, Stifel, Citigroup and Credit Suisse acted as joint book-runners for the offering.</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offering was made only by means of a prospectus. A copy of the prospectus relating to the offering may be obtained from UBS Securities LLC, Attention: Prospectus Specialist, 1285 Avenue of the Americas, New York, New York 10019, telephone: (888) 827-7275, Morgan Stanley &amp; Co. LLC, Attention: Prospectus Department, 180 Varick Street, 2nd Floor, New York, New York 10014, telephone: 1-866-718-1649, Stifel, Nicolaus &amp; Company, Incorporated, Attention: Syndicate Department, One South Street, 15th Floor, Baltimore, MD 21202, telephone: (855) 300-7136, email: syndprospectus@stifel.com, Citigroup Global Markets Inc., c/o Broadridge Financial Solutions, 1155 Long Island Avenue, Edgewood, NY 11717, telephone:</w:t>
      </w:r>
    </w:p>
    <w:p>
      <w:pPr>
        <w:spacing w:after="0" w:line="2"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831-9146 and Credit Suisse Securities (USA) LLC, Attention: Prospectus Department, One Madison Avenue, New York, New York 10010, telephone:</w:t>
      </w:r>
    </w:p>
    <w:p>
      <w:pPr>
        <w:spacing w:after="0" w:line="32" w:lineRule="exact"/>
        <w:rPr>
          <w:rFonts w:ascii="Arial" w:cs="Arial" w:eastAsia="Arial" w:hAnsi="Arial"/>
          <w:sz w:val="16"/>
          <w:szCs w:val="16"/>
          <w:color w:val="auto"/>
        </w:rPr>
      </w:pPr>
    </w:p>
    <w:p>
      <w:pPr>
        <w:ind w:left="440" w:hanging="432"/>
        <w:spacing w:after="0"/>
        <w:tabs>
          <w:tab w:leader="none" w:pos="4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221-1307, email: newyork.prospectus@credit-suisse.com.</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October 10, 2017.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ir@gaslogmlp.com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GasLog Partners is a growth-oriented master limited partnership focused on owning, operating and acquiring LNG carriers under multi-year charters. GasLog Partners’ fleet consists of 14 LNG carriers with an average carrying capacity of approximately 157,000 cbm. GasLog Partners’ principal executive offices are located at Gildo Pastor Center, 7 Rue du Gabian, MC 98000, Monaco.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3" w:name="page134"/>
    <w:bookmarkEnd w:id="133"/>
    <w:p>
      <w:pPr>
        <w:spacing w:after="0" w:line="297" w:lineRule="auto"/>
        <w:rPr>
          <w:sz w:val="20"/>
          <w:szCs w:val="20"/>
          <w:color w:val="auto"/>
        </w:rPr>
      </w:pPr>
      <w:r>
        <w:rPr>
          <w:rFonts w:ascii="Arial" w:cs="Arial" w:eastAsia="Arial" w:hAnsi="Arial"/>
          <w:sz w:val="16"/>
          <w:szCs w:val="16"/>
          <w:color w:val="auto"/>
        </w:rPr>
        <w:t>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60" w:right="520" w:hanging="328"/>
        <w:spacing w:after="0" w:line="264" w:lineRule="auto"/>
        <w:tabs>
          <w:tab w:leader="none" w:pos="6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660" w:right="420" w:hanging="328"/>
        <w:spacing w:after="0" w:line="264" w:lineRule="auto"/>
        <w:tabs>
          <w:tab w:leader="none" w:pos="6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rFonts w:ascii="Arial" w:cs="Arial" w:eastAsia="Arial" w:hAnsi="Arial"/>
          <w:sz w:val="18"/>
          <w:szCs w:val="18"/>
          <w:color w:val="auto"/>
        </w:rPr>
      </w:pPr>
    </w:p>
    <w:p>
      <w:pPr>
        <w:ind w:left="660" w:right="120" w:hanging="328"/>
        <w:spacing w:after="0" w:line="264" w:lineRule="auto"/>
        <w:tabs>
          <w:tab w:leader="none" w:pos="6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34" w:name="page135"/>
    <w:bookmarkEnd w:id="134"/>
    <w:p>
      <w:pPr>
        <w:ind w:left="660" w:right="320" w:hanging="328"/>
        <w:spacing w:after="0" w:line="264" w:lineRule="auto"/>
        <w:tabs>
          <w:tab w:leader="none" w:pos="6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1)"/>
      <w:numFmt w:val="lowerRoman"/>
      <w:start w:val="2"/>
    </w:lvl>
  </w:abstractNum>
  <w:abstractNum w:abstractNumId="1">
    <w:nsid w:val="68EB2F63"/>
    <w:multiLevelType w:val="hybridMultilevel"/>
    <w:lvl w:ilvl="0">
      <w:lvlJc w:val="left"/>
      <w:lvlText w:val="%1"/>
      <w:numFmt w:val="lowerLetter"/>
      <w:start w:val="1"/>
    </w:lvl>
    <w:lvl w:ilvl="1">
      <w:lvlJc w:val="left"/>
      <w:lvlText w:val="(%2)"/>
      <w:numFmt w:val="lowerLetter"/>
      <w:start w:val="1"/>
    </w:lvl>
  </w:abstractNum>
  <w:abstractNum w:abstractNumId="2">
    <w:nsid w:val="4962813B"/>
    <w:multiLevelType w:val="hybridMultilevel"/>
    <w:lvl w:ilvl="0">
      <w:lvlJc w:val="left"/>
      <w:lvlText w:val="(%1)"/>
      <w:numFmt w:val="lowerLetter"/>
      <w:start w:val="61"/>
    </w:lvl>
    <w:lvl w:ilvl="1">
      <w:lvlJc w:val="left"/>
      <w:lvlText w:val="(%2)"/>
      <w:numFmt w:val="lowerLetter"/>
      <w:start w:val="2"/>
    </w:lvl>
  </w:abstractNum>
  <w:abstractNum w:abstractNumId="3">
    <w:nsid w:val="60B6DF70"/>
    <w:multiLevelType w:val="hybridMultilevel"/>
    <w:lvl w:ilvl="0">
      <w:lvlJc w:val="left"/>
      <w:lvlText w:val="(%1)"/>
      <w:numFmt w:val="lowerLetter"/>
      <w:start w:val="2"/>
    </w:lvl>
  </w:abstractNum>
  <w:abstractNum w:abstractNumId="4">
    <w:nsid w:val="6A5EE64"/>
    <w:multiLevelType w:val="hybridMultilevel"/>
    <w:lvl w:ilvl="0">
      <w:lvlJc w:val="left"/>
      <w:lvlText w:val="(%1)"/>
      <w:numFmt w:val="lowerLetter"/>
      <w:start w:val="1"/>
    </w:lvl>
  </w:abstractNum>
  <w:abstractNum w:abstractNumId="5">
    <w:nsid w:val="14330624"/>
    <w:multiLevelType w:val="hybridMultilevel"/>
    <w:lvl w:ilvl="0">
      <w:lvlJc w:val="left"/>
      <w:lvlText w:val="%1"/>
      <w:numFmt w:val="lowerLetter"/>
      <w:start w:val="1"/>
    </w:lvl>
    <w:lvl w:ilvl="1">
      <w:lvlJc w:val="left"/>
      <w:lvlText w:val="(%2)"/>
      <w:numFmt w:val="lowerLetter"/>
      <w:start w:val="1"/>
    </w:lvl>
  </w:abstractNum>
  <w:abstractNum w:abstractNumId="6">
    <w:nsid w:val="7FFFCA11"/>
    <w:multiLevelType w:val="hybridMultilevel"/>
    <w:lvl w:ilvl="0">
      <w:lvlJc w:val="left"/>
      <w:lvlText w:val="(%1)"/>
      <w:numFmt w:val="lowerLetter"/>
      <w:start w:val="61"/>
    </w:lvl>
    <w:lvl w:ilvl="1">
      <w:lvlJc w:val="left"/>
      <w:lvlText w:val="%2"/>
      <w:numFmt w:val="lowerLetter"/>
      <w:start w:val="1"/>
    </w:lvl>
  </w:abstractNum>
  <w:abstractNum w:abstractNumId="7">
    <w:nsid w:val="1A27709E"/>
    <w:multiLevelType w:val="hybridMultilevel"/>
    <w:lvl w:ilvl="0">
      <w:lvlJc w:val="left"/>
      <w:lvlText w:val="%1"/>
      <w:numFmt w:val="lowerLetter"/>
      <w:start w:val="1"/>
    </w:lvl>
    <w:lvl w:ilvl="1">
      <w:lvlJc w:val="left"/>
      <w:lvlText w:val="(%2)"/>
      <w:numFmt w:val="lowerLetter"/>
      <w:start w:val="2"/>
    </w:lvl>
  </w:abstractNum>
  <w:abstractNum w:abstractNumId="8">
    <w:nsid w:val="71EA1109"/>
    <w:multiLevelType w:val="hybridMultilevel"/>
    <w:lvl w:ilvl="0">
      <w:lvlJc w:val="left"/>
      <w:lvlText w:val="(%1)"/>
      <w:numFmt w:val="lowerLetter"/>
      <w:start w:val="61"/>
    </w:lvl>
    <w:lvl w:ilvl="1">
      <w:lvlJc w:val="left"/>
      <w:lvlText w:val="%2"/>
      <w:numFmt w:val="lowerLetter"/>
      <w:start w:val="1"/>
    </w:lvl>
  </w:abstractNum>
  <w:abstractNum w:abstractNumId="9">
    <w:nsid w:val="100F59DC"/>
    <w:multiLevelType w:val="hybridMultilevel"/>
    <w:lvl w:ilvl="0">
      <w:lvlJc w:val="left"/>
      <w:lvlText w:val="(%1)"/>
      <w:numFmt w:val="lowerLetter"/>
      <w:start w:val="22"/>
    </w:lvl>
    <w:lvl w:ilvl="1">
      <w:lvlJc w:val="left"/>
      <w:lvlText w:val="%2"/>
      <w:numFmt w:val="lowerLetter"/>
      <w:start w:val="1"/>
    </w:lvl>
  </w:abstractNum>
  <w:abstractNum w:abstractNumId="10">
    <w:nsid w:val="7FB7E0AA"/>
    <w:multiLevelType w:val="hybridMultilevel"/>
    <w:lvl w:ilvl="0">
      <w:lvlJc w:val="left"/>
      <w:lvlText w:val="(%1)"/>
      <w:numFmt w:val="lowerLetter"/>
      <w:start w:val="1"/>
    </w:lvl>
  </w:abstractNum>
  <w:abstractNum w:abstractNumId="11">
    <w:nsid w:val="6EB5BD4"/>
    <w:multiLevelType w:val="hybridMultilevel"/>
    <w:lvl w:ilvl="0">
      <w:lvlJc w:val="left"/>
      <w:lvlText w:val="(%1)"/>
      <w:numFmt w:val="lowerLetter"/>
      <w:start w:val="2"/>
    </w:lvl>
  </w:abstractNum>
  <w:abstractNum w:abstractNumId="12">
    <w:nsid w:val="6F6DD9AC"/>
    <w:multiLevelType w:val="hybridMultilevel"/>
    <w:lvl w:ilvl="0">
      <w:lvlJc w:val="left"/>
      <w:lvlText w:val="(%1)"/>
      <w:numFmt w:val="lowerRoman"/>
      <w:start w:val="1"/>
    </w:lvl>
  </w:abstractNum>
  <w:abstractNum w:abstractNumId="13">
    <w:nsid w:val="94211F2"/>
    <w:multiLevelType w:val="hybridMultilevel"/>
    <w:lvl w:ilvl="0">
      <w:lvlJc w:val="left"/>
      <w:lvlText w:val="(%1)"/>
      <w:numFmt w:val="lowerLetter"/>
      <w:start w:val="2"/>
    </w:lvl>
  </w:abstractNum>
  <w:abstractNum w:abstractNumId="14">
    <w:nsid w:val="885E1B"/>
    <w:multiLevelType w:val="hybridMultilevel"/>
    <w:lvl w:ilvl="0">
      <w:lvlJc w:val="left"/>
      <w:lvlText w:val="(%1)"/>
      <w:numFmt w:val="lowerRoman"/>
      <w:start w:val="2"/>
    </w:lvl>
  </w:abstractNum>
  <w:abstractNum w:abstractNumId="15">
    <w:nsid w:val="76272110"/>
    <w:multiLevelType w:val="hybridMultilevel"/>
    <w:lvl w:ilvl="0">
      <w:lvlJc w:val="left"/>
      <w:lvlText w:val="(%1)"/>
      <w:numFmt w:val="lowerRoman"/>
      <w:start w:val="1"/>
    </w:lvl>
  </w:abstractNum>
  <w:abstractNum w:abstractNumId="16">
    <w:nsid w:val="4C04A8AF"/>
    <w:multiLevelType w:val="hybridMultilevel"/>
    <w:lvl w:ilvl="0">
      <w:lvlJc w:val="left"/>
      <w:lvlText w:val="(%1)"/>
      <w:numFmt w:val="lowerRoman"/>
      <w:start w:val="2"/>
    </w:lvl>
  </w:abstractNum>
  <w:abstractNum w:abstractNumId="17">
    <w:nsid w:val="1716703B"/>
    <w:multiLevelType w:val="hybridMultilevel"/>
    <w:lvl w:ilvl="0">
      <w:lvlJc w:val="left"/>
      <w:lvlText w:val="(%1)"/>
      <w:numFmt w:val="lowerLetter"/>
      <w:start w:val="2"/>
    </w:lvl>
  </w:abstractNum>
  <w:abstractNum w:abstractNumId="18">
    <w:nsid w:val="14E17E33"/>
    <w:multiLevelType w:val="hybridMultilevel"/>
    <w:lvl w:ilvl="0">
      <w:lvlJc w:val="left"/>
      <w:lvlText w:val="(%1)"/>
      <w:numFmt w:val="lowerLetter"/>
      <w:start w:val="2"/>
    </w:lvl>
  </w:abstractNum>
  <w:abstractNum w:abstractNumId="19">
    <w:nsid w:val="3222E7CD"/>
    <w:multiLevelType w:val="hybridMultilevel"/>
    <w:lvl w:ilvl="0">
      <w:lvlJc w:val="left"/>
      <w:lvlText w:val="(%1)"/>
      <w:numFmt w:val="lowerRoman"/>
      <w:start w:val="1"/>
    </w:lvl>
  </w:abstractNum>
  <w:abstractNum w:abstractNumId="20">
    <w:nsid w:val="74DE0EE3"/>
    <w:multiLevelType w:val="hybridMultilevel"/>
    <w:lvl w:ilvl="0">
      <w:lvlJc w:val="left"/>
      <w:lvlText w:val="(%1)"/>
      <w:numFmt w:val="lowerLetter"/>
      <w:start w:val="3"/>
    </w:lvl>
  </w:abstractNum>
  <w:abstractNum w:abstractNumId="21">
    <w:nsid w:val="68EBC550"/>
    <w:multiLevelType w:val="hybridMultilevel"/>
    <w:lvl w:ilvl="0">
      <w:lvlJc w:val="left"/>
      <w:lvlText w:val="(%1)"/>
      <w:numFmt w:val="lowerLetter"/>
      <w:start w:val="2"/>
    </w:lvl>
  </w:abstractNum>
  <w:abstractNum w:abstractNumId="22">
    <w:nsid w:val="2DF6D648"/>
    <w:multiLevelType w:val="hybridMultilevel"/>
    <w:lvl w:ilvl="0">
      <w:lvlJc w:val="left"/>
      <w:lvlText w:val="(%1)"/>
      <w:numFmt w:val="lowerLetter"/>
      <w:start w:val="2"/>
    </w:lvl>
  </w:abstractNum>
  <w:abstractNum w:abstractNumId="23">
    <w:nsid w:val="46B7D447"/>
    <w:multiLevelType w:val="hybridMultilevel"/>
    <w:lvl w:ilvl="0">
      <w:lvlJc w:val="left"/>
      <w:lvlText w:val="%1"/>
      <w:numFmt w:val="lowerLetter"/>
      <w:start w:val="1"/>
    </w:lvl>
    <w:lvl w:ilvl="1">
      <w:lvlJc w:val="left"/>
      <w:lvlText w:val="(%2)"/>
      <w:numFmt w:val="lowerLetter"/>
      <w:start w:val="3"/>
    </w:lvl>
  </w:abstractNum>
  <w:abstractNum w:abstractNumId="24">
    <w:nsid w:val="4A2AC315"/>
    <w:multiLevelType w:val="hybridMultilevel"/>
    <w:lvl w:ilvl="0">
      <w:lvlJc w:val="left"/>
      <w:lvlText w:val="(%1)"/>
      <w:numFmt w:val="lowerLetter"/>
      <w:start w:val="61"/>
    </w:lvl>
    <w:lvl w:ilvl="1">
      <w:lvlJc w:val="left"/>
      <w:lvlText w:val="(%2)"/>
      <w:numFmt w:val="lowerLetter"/>
      <w:start w:val="4"/>
    </w:lvl>
  </w:abstractNum>
  <w:abstractNum w:abstractNumId="25">
    <w:nsid w:val="39EE015C"/>
    <w:multiLevelType w:val="hybridMultilevel"/>
    <w:lvl w:ilvl="0">
      <w:lvlJc w:val="left"/>
      <w:lvlText w:val="(%1)"/>
      <w:numFmt w:val="upperLetter"/>
      <w:start w:val="2"/>
    </w:lvl>
    <w:lvl w:ilvl="1">
      <w:lvlJc w:val="left"/>
      <w:lvlText w:val="(%2)"/>
      <w:numFmt w:val="lowerLetter"/>
      <w:start w:val="2"/>
    </w:lvl>
  </w:abstractNum>
  <w:abstractNum w:abstractNumId="26">
    <w:nsid w:val="57FC4FBB"/>
    <w:multiLevelType w:val="hybridMultilevel"/>
    <w:lvl w:ilvl="0">
      <w:lvlJc w:val="left"/>
      <w:lvlText w:val="(%1)"/>
      <w:numFmt w:val="lowerLetter"/>
      <w:start w:val="1"/>
    </w:lvl>
  </w:abstractNum>
  <w:abstractNum w:abstractNumId="27">
    <w:nsid w:val="CC1016F"/>
    <w:multiLevelType w:val="hybridMultilevel"/>
    <w:lvl w:ilvl="0">
      <w:lvlJc w:val="left"/>
      <w:lvlText w:val="(%1)"/>
      <w:numFmt w:val="lowerLetter"/>
      <w:start w:val="35"/>
    </w:lvl>
    <w:lvl w:ilvl="1">
      <w:lvlJc w:val="left"/>
      <w:lvlText w:val="(%2)"/>
      <w:numFmt w:val="lowerLetter"/>
      <w:start w:val="2"/>
    </w:lvl>
  </w:abstractNum>
  <w:abstractNum w:abstractNumId="28">
    <w:nsid w:val="43F18422"/>
    <w:multiLevelType w:val="hybridMultilevel"/>
    <w:lvl w:ilvl="0">
      <w:lvlJc w:val="left"/>
      <w:lvlText w:val="(%1)"/>
      <w:numFmt w:val="lowerLetter"/>
      <w:start w:val="2"/>
    </w:lvl>
  </w:abstractNum>
  <w:abstractNum w:abstractNumId="29">
    <w:nsid w:val="60EF0119"/>
    <w:multiLevelType w:val="hybridMultilevel"/>
    <w:lvl w:ilvl="0">
      <w:lvlJc w:val="left"/>
      <w:lvlText w:val="(%1)"/>
      <w:numFmt w:val="lowerLetter"/>
      <w:start w:val="2"/>
    </w:lvl>
  </w:abstractNum>
  <w:abstractNum w:abstractNumId="30">
    <w:nsid w:val="26F324BA"/>
    <w:multiLevelType w:val="hybridMultilevel"/>
    <w:lvl w:ilvl="0">
      <w:lvlJc w:val="left"/>
      <w:lvlText w:val="(%1)"/>
      <w:numFmt w:val="lowerLetter"/>
      <w:start w:val="3"/>
    </w:lvl>
  </w:abstractNum>
  <w:abstractNum w:abstractNumId="31">
    <w:nsid w:val="7F01579B"/>
    <w:multiLevelType w:val="hybridMultilevel"/>
    <w:lvl w:ilvl="0">
      <w:lvlJc w:val="left"/>
      <w:lvlText w:val="(%1)"/>
      <w:numFmt w:val="lowerLetter"/>
      <w:start w:val="2"/>
    </w:lvl>
  </w:abstractNum>
  <w:abstractNum w:abstractNumId="32">
    <w:nsid w:val="49DA307D"/>
    <w:multiLevelType w:val="hybridMultilevel"/>
    <w:lvl w:ilvl="0">
      <w:lvlJc w:val="left"/>
      <w:lvlText w:val="(%1)"/>
      <w:numFmt w:val="lowerLetter"/>
      <w:start w:val="2"/>
    </w:lvl>
  </w:abstractNum>
  <w:abstractNum w:abstractNumId="33">
    <w:nsid w:val="7055A5F5"/>
    <w:multiLevelType w:val="hybridMultilevel"/>
    <w:lvl w:ilvl="0">
      <w:lvlJc w:val="left"/>
      <w:lvlText w:val="(%1)"/>
      <w:numFmt w:val="lowerLetter"/>
      <w:start w:val="3"/>
    </w:lvl>
  </w:abstractNum>
  <w:abstractNum w:abstractNumId="34">
    <w:nsid w:val="5FB8370B"/>
    <w:multiLevelType w:val="hybridMultilevel"/>
    <w:lvl w:ilvl="0">
      <w:lvlJc w:val="left"/>
      <w:lvlText w:val="(%1)"/>
      <w:numFmt w:val="lowerLetter"/>
      <w:start w:val="2"/>
    </w:lvl>
  </w:abstractNum>
  <w:abstractNum w:abstractNumId="35">
    <w:nsid w:val="50801EE1"/>
    <w:multiLevelType w:val="hybridMultilevel"/>
    <w:lvl w:ilvl="0">
      <w:lvlJc w:val="left"/>
      <w:lvlText w:val="(%1)"/>
      <w:numFmt w:val="lowerLetter"/>
      <w:start w:val="5"/>
    </w:lvl>
  </w:abstractNum>
  <w:abstractNum w:abstractNumId="36">
    <w:nsid w:val="488AC1A"/>
    <w:multiLevelType w:val="hybridMultilevel"/>
    <w:lvl w:ilvl="0">
      <w:lvlJc w:val="left"/>
      <w:lvlText w:val="(%1)"/>
      <w:numFmt w:val="lowerLetter"/>
      <w:start w:val="2"/>
    </w:lvl>
  </w:abstractNum>
  <w:abstractNum w:abstractNumId="37">
    <w:nsid w:val="5FB8011C"/>
    <w:multiLevelType w:val="hybridMultilevel"/>
    <w:lvl w:ilvl="0">
      <w:lvlJc w:val="left"/>
      <w:lvlText w:val="(%1)"/>
      <w:numFmt w:val="lowerLetter"/>
      <w:start w:val="1"/>
    </w:lvl>
  </w:abstractNum>
  <w:abstractNum w:abstractNumId="38">
    <w:nsid w:val="6AA78F7F"/>
    <w:multiLevelType w:val="hybridMultilevel"/>
    <w:lvl w:ilvl="0">
      <w:lvlJc w:val="left"/>
      <w:lvlText w:val="(%1)"/>
      <w:numFmt w:val="lowerLetter"/>
      <w:start w:val="5"/>
    </w:lvl>
  </w:abstractNum>
  <w:abstractNum w:abstractNumId="39">
    <w:nsid w:val="7672BD23"/>
    <w:multiLevelType w:val="hybridMultilevel"/>
    <w:lvl w:ilvl="0">
      <w:lvlJc w:val="left"/>
      <w:lvlText w:val="(%1)"/>
      <w:numFmt w:val="lowerRoman"/>
      <w:start w:val="2"/>
    </w:lvl>
  </w:abstractNum>
  <w:abstractNum w:abstractNumId="40">
    <w:nsid w:val="6FC75AF8"/>
    <w:multiLevelType w:val="hybridMultilevel"/>
    <w:lvl w:ilvl="0">
      <w:lvlJc w:val="left"/>
      <w:lvlText w:val="%1"/>
      <w:numFmt w:val="lowerRoman"/>
      <w:start w:val="1"/>
    </w:lvl>
    <w:lvl w:ilvl="1">
      <w:lvlJc w:val="left"/>
      <w:lvlText w:val="(%2)"/>
      <w:numFmt w:val="lowerLetter"/>
      <w:start w:val="2"/>
    </w:lvl>
  </w:abstractNum>
  <w:abstractNum w:abstractNumId="41">
    <w:nsid w:val="6A5F7029"/>
    <w:multiLevelType w:val="hybridMultilevel"/>
    <w:lvl w:ilvl="0">
      <w:lvlJc w:val="left"/>
      <w:lvlText w:val="(%1)"/>
      <w:numFmt w:val="lowerRoman"/>
      <w:start w:val="2"/>
    </w:lvl>
    <w:lvl w:ilvl="1">
      <w:lvlJc w:val="left"/>
      <w:lvlText w:val="%2"/>
      <w:numFmt w:val="lowerLetter"/>
      <w:start w:val="1"/>
    </w:lvl>
  </w:abstractNum>
  <w:abstractNum w:abstractNumId="42">
    <w:nsid w:val="7D5E18F8"/>
    <w:multiLevelType w:val="hybridMultilevel"/>
    <w:lvl w:ilvl="0">
      <w:lvlJc w:val="left"/>
      <w:lvlText w:val="(%1)"/>
      <w:numFmt w:val="lowerRoman"/>
      <w:start w:val="4"/>
    </w:lvl>
    <w:lvl w:ilvl="1">
      <w:lvlJc w:val="left"/>
      <w:lvlText w:val="%2"/>
      <w:numFmt w:val="lowerLetter"/>
      <w:start w:val="1"/>
    </w:lvl>
  </w:abstractNum>
  <w:abstractNum w:abstractNumId="43">
    <w:nsid w:val="5F3534A4"/>
    <w:multiLevelType w:val="hybridMultilevel"/>
    <w:lvl w:ilvl="0">
      <w:lvlJc w:val="left"/>
      <w:lvlText w:val="(%1)"/>
      <w:numFmt w:val="lowerRoman"/>
      <w:start w:val="1"/>
    </w:lvl>
  </w:abstractNum>
  <w:abstractNum w:abstractNumId="44">
    <w:nsid w:val="73A1821B"/>
    <w:multiLevelType w:val="hybridMultilevel"/>
    <w:lvl w:ilvl="0">
      <w:lvlJc w:val="left"/>
      <w:lvlText w:val="(%1)"/>
      <w:numFmt w:val="lowerLetter"/>
      <w:start w:val="2"/>
    </w:lvl>
  </w:abstractNum>
  <w:abstractNum w:abstractNumId="45">
    <w:nsid w:val="7DE67713"/>
    <w:multiLevelType w:val="hybridMultilevel"/>
    <w:lvl w:ilvl="0">
      <w:lvlJc w:val="left"/>
      <w:lvlText w:val="(%1)"/>
      <w:numFmt w:val="lowerLetter"/>
      <w:start w:val="4"/>
    </w:lvl>
  </w:abstractNum>
  <w:abstractNum w:abstractNumId="46">
    <w:nsid w:val="555C55B5"/>
    <w:multiLevelType w:val="hybridMultilevel"/>
    <w:lvl w:ilvl="0">
      <w:lvlJc w:val="left"/>
      <w:lvlText w:val="%1"/>
      <w:numFmt w:val="lowerLetter"/>
      <w:start w:val="1"/>
    </w:lvl>
    <w:lvl w:ilvl="1">
      <w:lvlJc w:val="left"/>
      <w:lvlText w:val="(%2)"/>
      <w:numFmt w:val="lowerLetter"/>
      <w:start w:val="1"/>
    </w:lvl>
  </w:abstractNum>
  <w:abstractNum w:abstractNumId="47">
    <w:nsid w:val="3FA62ACA"/>
    <w:multiLevelType w:val="hybridMultilevel"/>
    <w:lvl w:ilvl="0">
      <w:lvlJc w:val="left"/>
      <w:lvlText w:val="(%1)"/>
      <w:numFmt w:val="lowerLetter"/>
      <w:start w:val="35"/>
    </w:lvl>
    <w:lvl w:ilvl="1">
      <w:lvlJc w:val="left"/>
      <w:lvlText w:val="(%2)"/>
      <w:numFmt w:val="lowerLetter"/>
      <w:start w:val="2"/>
    </w:lvl>
  </w:abstractNum>
  <w:abstractNum w:abstractNumId="48">
    <w:nsid w:val="14FCE74E"/>
    <w:multiLevelType w:val="hybridMultilevel"/>
    <w:lvl w:ilvl="0">
      <w:lvlJc w:val="left"/>
      <w:lvlText w:val="(%1)"/>
      <w:numFmt w:val="lowerLetter"/>
      <w:start w:val="1"/>
    </w:lvl>
  </w:abstractNum>
  <w:abstractNum w:abstractNumId="49">
    <w:nsid w:val="6A3DD3E8"/>
    <w:multiLevelType w:val="hybridMultilevel"/>
    <w:lvl w:ilvl="0">
      <w:lvlJc w:val="left"/>
      <w:lvlText w:val="(%1)"/>
      <w:numFmt w:val="lowerLetter"/>
      <w:start w:val="2"/>
    </w:lvl>
  </w:abstractNum>
  <w:abstractNum w:abstractNumId="50">
    <w:nsid w:val="71C91298"/>
    <w:multiLevelType w:val="hybridMultilevel"/>
    <w:lvl w:ilvl="0">
      <w:lvlJc w:val="left"/>
      <w:lvlText w:val="(%1)"/>
      <w:numFmt w:val="lowerLetter"/>
      <w:start w:val="3"/>
    </w:lvl>
  </w:abstractNum>
  <w:abstractNum w:abstractNumId="51">
    <w:nsid w:val="9DAF632"/>
    <w:multiLevelType w:val="hybridMultilevel"/>
    <w:lvl w:ilvl="0">
      <w:lvlJc w:val="left"/>
      <w:lvlText w:val="(%1)"/>
      <w:numFmt w:val="lowerLetter"/>
      <w:start w:val="2"/>
    </w:lvl>
  </w:abstractNum>
  <w:abstractNum w:abstractNumId="52">
    <w:nsid w:val="53299938"/>
    <w:multiLevelType w:val="hybridMultilevel"/>
    <w:lvl w:ilvl="0">
      <w:lvlJc w:val="left"/>
      <w:lvlText w:val="(%1)"/>
      <w:numFmt w:val="lowerLetter"/>
      <w:start w:val="2"/>
    </w:lvl>
  </w:abstractNum>
  <w:abstractNum w:abstractNumId="53">
    <w:nsid w:val="1FBFE8E0"/>
    <w:multiLevelType w:val="hybridMultilevel"/>
    <w:lvl w:ilvl="0">
      <w:lvlJc w:val="left"/>
      <w:lvlText w:val="(%1)"/>
      <w:numFmt w:val="lowerLetter"/>
      <w:start w:val="2"/>
    </w:lvl>
  </w:abstractNum>
  <w:abstractNum w:abstractNumId="54">
    <w:nsid w:val="5092CA79"/>
    <w:multiLevelType w:val="hybridMultilevel"/>
    <w:lvl w:ilvl="0">
      <w:lvlJc w:val="left"/>
      <w:lvlText w:val="(%1)"/>
      <w:numFmt w:val="lowerLetter"/>
      <w:start w:val="3"/>
    </w:lvl>
  </w:abstractNum>
  <w:abstractNum w:abstractNumId="55">
    <w:nsid w:val="1D545C4D"/>
    <w:multiLevelType w:val="hybridMultilevel"/>
    <w:lvl w:ilvl="0">
      <w:lvlJc w:val="left"/>
      <w:lvlText w:val="(%1)"/>
      <w:numFmt w:val="lowerLetter"/>
      <w:start w:val="2"/>
    </w:lvl>
  </w:abstractNum>
  <w:abstractNum w:abstractNumId="56">
    <w:nsid w:val="59ADEA3D"/>
    <w:multiLevelType w:val="hybridMultilevel"/>
    <w:lvl w:ilvl="0">
      <w:lvlJc w:val="left"/>
      <w:lvlText w:val="(%1)"/>
      <w:numFmt w:val="lowerLetter"/>
      <w:start w:val="1"/>
    </w:lvl>
    <w:lvl w:ilvl="1">
      <w:lvlJc w:val="left"/>
      <w:lvlText w:val="(%2)"/>
      <w:numFmt w:val="lowerLetter"/>
      <w:start w:val="2"/>
    </w:lvl>
  </w:abstractNum>
  <w:abstractNum w:abstractNumId="57">
    <w:nsid w:val="288F1A34"/>
    <w:multiLevelType w:val="hybridMultilevel"/>
    <w:lvl w:ilvl="0">
      <w:lvlJc w:val="left"/>
      <w:lvlText w:val="(%1)"/>
      <w:numFmt w:val="lowerLetter"/>
      <w:start w:val="2"/>
    </w:lvl>
  </w:abstractNum>
  <w:abstractNum w:abstractNumId="58">
    <w:nsid w:val="2A155DBC"/>
    <w:multiLevelType w:val="hybridMultilevel"/>
    <w:lvl w:ilvl="0">
      <w:lvlJc w:val="left"/>
      <w:lvlText w:val="(%1)"/>
      <w:numFmt w:val="lowerLetter"/>
      <w:start w:val="8"/>
    </w:lvl>
  </w:abstractNum>
  <w:abstractNum w:abstractNumId="59">
    <w:nsid w:val="1D9F6E5F"/>
    <w:multiLevelType w:val="hybridMultilevel"/>
    <w:lvl w:ilvl="0">
      <w:lvlJc w:val="left"/>
      <w:lvlText w:val="(%1)"/>
      <w:numFmt w:val="lowerLetter"/>
      <w:start w:val="2"/>
    </w:lvl>
  </w:abstractNum>
  <w:abstractNum w:abstractNumId="60">
    <w:nsid w:val="97E1B4E"/>
    <w:multiLevelType w:val="hybridMultilevel"/>
    <w:lvl w:ilvl="0">
      <w:lvlJc w:val="left"/>
      <w:lvlText w:val="(%1)"/>
      <w:numFmt w:val="lowerRoman"/>
      <w:start w:val="3"/>
    </w:lvl>
    <w:lvl w:ilvl="1">
      <w:lvlJc w:val="left"/>
      <w:lvlText w:val="(%2)"/>
      <w:numFmt w:val="lowerLetter"/>
      <w:start w:val="2"/>
    </w:lvl>
  </w:abstractNum>
  <w:abstractNum w:abstractNumId="61">
    <w:nsid w:val="51088277"/>
    <w:multiLevelType w:val="hybridMultilevel"/>
    <w:lvl w:ilvl="0">
      <w:lvlJc w:val="left"/>
      <w:lvlText w:val="(%1)"/>
      <w:numFmt w:val="lowerLetter"/>
      <w:start w:val="3"/>
    </w:lvl>
  </w:abstractNum>
  <w:abstractNum w:abstractNumId="62">
    <w:nsid w:val="1CA0C5FA"/>
    <w:multiLevelType w:val="hybridMultilevel"/>
    <w:lvl w:ilvl="0">
      <w:lvlJc w:val="left"/>
      <w:lvlText w:val="(%1)"/>
      <w:numFmt w:val="lowerLetter"/>
      <w:start w:val="7"/>
    </w:lvl>
  </w:abstractNum>
  <w:abstractNum w:abstractNumId="63">
    <w:nsid w:val="53584BCB"/>
    <w:multiLevelType w:val="hybridMultilevel"/>
    <w:lvl w:ilvl="0">
      <w:lvlJc w:val="left"/>
      <w:lvlText w:val="(%1)"/>
      <w:numFmt w:val="lowerLetter"/>
      <w:start w:val="2"/>
    </w:lvl>
  </w:abstractNum>
  <w:abstractNum w:abstractNumId="64">
    <w:nsid w:val="415E286C"/>
    <w:multiLevelType w:val="hybridMultilevel"/>
    <w:lvl w:ilvl="0">
      <w:lvlJc w:val="left"/>
      <w:lvlText w:val="(%1)"/>
      <w:numFmt w:val="upperLetter"/>
      <w:start w:val="2"/>
    </w:lvl>
    <w:lvl w:ilvl="1">
      <w:lvlJc w:val="left"/>
      <w:lvlText w:val="(%2)"/>
      <w:numFmt w:val="lowerLetter"/>
      <w:start w:val="2"/>
    </w:lvl>
  </w:abstractNum>
  <w:abstractNum w:abstractNumId="65">
    <w:nsid w:val="7C58FD05"/>
    <w:multiLevelType w:val="hybridMultilevel"/>
    <w:lvl w:ilvl="0">
      <w:lvlJc w:val="left"/>
      <w:lvlText w:val="(%1)"/>
      <w:numFmt w:val="lowerLetter"/>
      <w:start w:val="3"/>
    </w:lvl>
  </w:abstractNum>
  <w:abstractNum w:abstractNumId="66">
    <w:nsid w:val="23D86AAC"/>
    <w:multiLevelType w:val="hybridMultilevel"/>
    <w:lvl w:ilvl="0">
      <w:lvlJc w:val="left"/>
      <w:lvlText w:val="%1"/>
      <w:numFmt w:val="lowerRoman"/>
      <w:start w:val="1"/>
    </w:lvl>
    <w:lvl w:ilvl="1">
      <w:lvlJc w:val="left"/>
      <w:lvlText w:val="(%2)"/>
      <w:numFmt w:val="lowerLetter"/>
      <w:start w:val="5"/>
    </w:lvl>
  </w:abstractNum>
  <w:abstractNum w:abstractNumId="67">
    <w:nsid w:val="45E6D486"/>
    <w:multiLevelType w:val="hybridMultilevel"/>
    <w:lvl w:ilvl="0">
      <w:lvlJc w:val="left"/>
      <w:lvlText w:val="(%1)"/>
      <w:numFmt w:val="lowerRoman"/>
      <w:start w:val="4"/>
    </w:lvl>
    <w:lvl w:ilvl="1">
      <w:lvlJc w:val="left"/>
      <w:lvlText w:val="%2"/>
      <w:numFmt w:val="lowerLetter"/>
      <w:start w:val="1"/>
    </w:lvl>
  </w:abstractNum>
  <w:abstractNum w:abstractNumId="68">
    <w:nsid w:val="5C10FE21"/>
    <w:multiLevelType w:val="hybridMultilevel"/>
    <w:lvl w:ilvl="0">
      <w:lvlJc w:val="left"/>
      <w:lvlText w:val="(%1)"/>
      <w:numFmt w:val="lowerLetter"/>
      <w:start w:val="2"/>
    </w:lvl>
  </w:abstractNum>
  <w:abstractNum w:abstractNumId="69">
    <w:nsid w:val="E7FFA2B"/>
    <w:multiLevelType w:val="hybridMultilevel"/>
    <w:lvl w:ilvl="0">
      <w:lvlJc w:val="left"/>
      <w:lvlText w:val="(%1)"/>
      <w:numFmt w:val="lowerLetter"/>
      <w:start w:val="2"/>
    </w:lvl>
  </w:abstractNum>
  <w:abstractNum w:abstractNumId="70">
    <w:nsid w:val="3C5991AA"/>
    <w:multiLevelType w:val="hybridMultilevel"/>
    <w:lvl w:ilvl="0">
      <w:lvlJc w:val="left"/>
      <w:lvlText w:val="(%1)"/>
      <w:numFmt w:val="lowerRoman"/>
      <w:start w:val="3"/>
    </w:lvl>
  </w:abstractNum>
  <w:abstractNum w:abstractNumId="71">
    <w:nsid w:val="4BD8591A"/>
    <w:multiLevelType w:val="hybridMultilevel"/>
    <w:lvl w:ilvl="0">
      <w:lvlJc w:val="left"/>
      <w:lvlText w:val="(%1)"/>
      <w:numFmt w:val="lowerLetter"/>
      <w:start w:val="2"/>
    </w:lvl>
  </w:abstractNum>
  <w:abstractNum w:abstractNumId="72">
    <w:nsid w:val="78DF6A55"/>
    <w:multiLevelType w:val="hybridMultilevel"/>
    <w:lvl w:ilvl="0">
      <w:lvlJc w:val="left"/>
      <w:lvlText w:val="(%1)"/>
      <w:numFmt w:val="lowerRoman"/>
      <w:start w:val="1"/>
    </w:lvl>
  </w:abstractNum>
  <w:abstractNum w:abstractNumId="73">
    <w:nsid w:val="39B7AAA2"/>
    <w:multiLevelType w:val="hybridMultilevel"/>
    <w:lvl w:ilvl="0">
      <w:lvlJc w:val="left"/>
      <w:lvlText w:val="(%1)"/>
      <w:numFmt w:val="upperLetter"/>
      <w:start w:val="5"/>
    </w:lvl>
    <w:lvl w:ilvl="1">
      <w:lvlJc w:val="left"/>
      <w:lvlText w:val="(%2)"/>
      <w:numFmt w:val="lowerLetter"/>
      <w:start w:val="2"/>
    </w:lvl>
  </w:abstractNum>
  <w:abstractNum w:abstractNumId="74">
    <w:nsid w:val="2B0D8DBE"/>
    <w:multiLevelType w:val="hybridMultilevel"/>
    <w:lvl w:ilvl="0">
      <w:lvlJc w:val="left"/>
      <w:lvlText w:val="(%1)"/>
      <w:numFmt w:val="lowerRoman"/>
      <w:start w:val="1"/>
    </w:lvl>
  </w:abstractNum>
  <w:abstractNum w:abstractNumId="75">
    <w:nsid w:val="6C80EC70"/>
    <w:multiLevelType w:val="hybridMultilevel"/>
    <w:lvl w:ilvl="0">
      <w:lvlJc w:val="left"/>
      <w:lvlText w:val="(%1)"/>
      <w:numFmt w:val="lowerRoman"/>
      <w:start w:val="2"/>
    </w:lvl>
  </w:abstractNum>
  <w:abstractNum w:abstractNumId="76">
    <w:nsid w:val="379E21B5"/>
    <w:multiLevelType w:val="hybridMultilevel"/>
    <w:lvl w:ilvl="0">
      <w:lvlJc w:val="left"/>
      <w:lvlText w:val="(%1)"/>
      <w:numFmt w:val="lowerRoman"/>
      <w:start w:val="1"/>
    </w:lvl>
  </w:abstractNum>
  <w:abstractNum w:abstractNumId="77">
    <w:nsid w:val="69E373"/>
    <w:multiLevelType w:val="hybridMultilevel"/>
    <w:lvl w:ilvl="0">
      <w:lvlJc w:val="left"/>
      <w:lvlText w:val="(%1)"/>
      <w:numFmt w:val="lowerLetter"/>
      <w:start w:val="2"/>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lowerRoman"/>
      <w:start w:val="1"/>
    </w:lvl>
  </w:abstractNum>
  <w:abstractNum w:abstractNumId="80">
    <w:nsid w:val="6AA7B75C"/>
    <w:multiLevelType w:val="hybridMultilevel"/>
    <w:lvl w:ilvl="0">
      <w:lvlJc w:val="left"/>
      <w:lvlText w:val="(%1)"/>
      <w:numFmt w:val="lowerRoman"/>
      <w:start w:val="2"/>
    </w:lvl>
  </w:abstractNum>
  <w:abstractNum w:abstractNumId="81">
    <w:nsid w:val="1DF029D3"/>
    <w:multiLevelType w:val="hybridMultilevel"/>
    <w:lvl w:ilvl="0">
      <w:lvlJc w:val="left"/>
      <w:lvlText w:val="(%1)"/>
      <w:numFmt w:val="lowerLetter"/>
      <w:start w:val="1"/>
    </w:lvl>
  </w:abstractNum>
  <w:abstractNum w:abstractNumId="82">
    <w:nsid w:val="5675FF36"/>
    <w:multiLevelType w:val="hybridMultilevel"/>
    <w:lvl w:ilvl="0">
      <w:lvlJc w:val="left"/>
      <w:lvlText w:val="(%1)"/>
      <w:numFmt w:val="lowerLetter"/>
      <w:start w:val="2"/>
    </w:lvl>
  </w:abstractNum>
  <w:abstractNum w:abstractNumId="83">
    <w:nsid w:val="3DD15094"/>
    <w:multiLevelType w:val="hybridMultilevel"/>
    <w:lvl w:ilvl="0">
      <w:lvlJc w:val="left"/>
      <w:lvlText w:val="(%1)"/>
      <w:numFmt w:val="lowerRoman"/>
      <w:start w:val="1"/>
    </w:lvl>
    <w:lvl w:ilvl="1">
      <w:lvlJc w:val="left"/>
      <w:lvlText w:val="(%2)"/>
      <w:numFmt w:val="upperLetter"/>
      <w:start w:val="1"/>
    </w:lvl>
  </w:abstractNum>
  <w:abstractNum w:abstractNumId="84">
    <w:nsid w:val="3DB012B3"/>
    <w:multiLevelType w:val="hybridMultilevel"/>
    <w:lvl w:ilvl="0">
      <w:lvlJc w:val="left"/>
      <w:lvlText w:val="(%1)"/>
      <w:numFmt w:val="lowerLetter"/>
      <w:start w:val="1"/>
    </w:lvl>
  </w:abstractNum>
  <w:abstractNum w:abstractNumId="85">
    <w:nsid w:val="2708C9AF"/>
    <w:multiLevelType w:val="hybridMultilevel"/>
    <w:lvl w:ilvl="0">
      <w:lvlJc w:val="left"/>
      <w:lvlText w:val="(%1)"/>
      <w:numFmt w:val="lowerLetter"/>
      <w:start w:val="4"/>
    </w:lvl>
    <w:lvl w:ilvl="1">
      <w:lvlJc w:val="left"/>
      <w:lvlText w:val="(%2)"/>
      <w:numFmt w:val="lowerRoman"/>
      <w:start w:val="1"/>
    </w:lvl>
  </w:abstractNum>
  <w:abstractNum w:abstractNumId="86">
    <w:nsid w:val="5B25ACE2"/>
    <w:multiLevelType w:val="hybridMultilevel"/>
    <w:lvl w:ilvl="0">
      <w:lvlJc w:val="left"/>
      <w:lvlText w:val="%1"/>
      <w:numFmt w:val="lowerLetter"/>
      <w:start w:val="1"/>
    </w:lvl>
    <w:lvl w:ilvl="1">
      <w:lvlJc w:val="left"/>
      <w:lvlText w:val="(%2)"/>
      <w:numFmt w:val="lowerRoman"/>
      <w:start w:val="3"/>
    </w:lvl>
  </w:abstractNum>
  <w:abstractNum w:abstractNumId="87">
    <w:nsid w:val="175DFCF0"/>
    <w:multiLevelType w:val="hybridMultilevel"/>
    <w:lvl w:ilvl="0">
      <w:lvlJc w:val="left"/>
      <w:lvlText w:val="(%1)"/>
      <w:numFmt w:val="lowerLetter"/>
      <w:start w:val="9"/>
    </w:lvl>
    <w:lvl w:ilvl="1">
      <w:lvlJc w:val="left"/>
      <w:lvlText w:val="%2"/>
      <w:numFmt w:val="lowerRoman"/>
      <w:start w:val="1"/>
    </w:lvl>
  </w:abstractNum>
  <w:abstractNum w:abstractNumId="88">
    <w:nsid w:val="4F97E3E4"/>
    <w:multiLevelType w:val="hybridMultilevel"/>
    <w:lvl w:ilvl="0">
      <w:lvlJc w:val="left"/>
      <w:lvlText w:val="(%1)"/>
      <w:numFmt w:val="lowerRoman"/>
      <w:start w:val="1"/>
    </w:lvl>
  </w:abstractNum>
  <w:abstractNum w:abstractNumId="89">
    <w:nsid w:val="53B0A9E"/>
    <w:multiLevelType w:val="hybridMultilevel"/>
    <w:lvl w:ilvl="0">
      <w:lvlJc w:val="left"/>
      <w:lvlText w:val="%1"/>
      <w:numFmt w:val="lowerLetter"/>
      <w:start w:val="1"/>
    </w:lvl>
    <w:lvl w:ilvl="1">
      <w:lvlJc w:val="left"/>
      <w:lvlText w:val="(%2)"/>
      <w:numFmt w:val="lowerLetter"/>
      <w:start w:val="2"/>
    </w:lvl>
  </w:abstractNum>
  <w:abstractNum w:abstractNumId="90">
    <w:nsid w:val="34FD6B4F"/>
    <w:multiLevelType w:val="hybridMultilevel"/>
    <w:lvl w:ilvl="0">
      <w:lvlJc w:val="left"/>
      <w:lvlText w:val="(%1)"/>
      <w:numFmt w:val="lowerLetter"/>
      <w:start w:val="9"/>
    </w:lvl>
    <w:lvl w:ilvl="1">
      <w:lvlJc w:val="left"/>
      <w:lvlText w:val="(%2)"/>
      <w:numFmt w:val="lowerLetter"/>
      <w:start w:val="3"/>
    </w:lvl>
  </w:abstractNum>
  <w:abstractNum w:abstractNumId="91">
    <w:nsid w:val="5915FF32"/>
    <w:multiLevelType w:val="hybridMultilevel"/>
    <w:lvl w:ilvl="0">
      <w:lvlJc w:val="left"/>
      <w:lvlText w:val="(%1)"/>
      <w:numFmt w:val="lowerLetter"/>
      <w:start w:val="2"/>
    </w:lvl>
  </w:abstractNum>
  <w:abstractNum w:abstractNumId="92">
    <w:nsid w:val="56438D15"/>
    <w:multiLevelType w:val="hybridMultilevel"/>
    <w:lvl w:ilvl="0">
      <w:lvlJc w:val="left"/>
      <w:lvlText w:val="(%1)"/>
      <w:numFmt w:val="lowerLetter"/>
      <w:start w:val="2"/>
    </w:lvl>
  </w:abstractNum>
  <w:abstractNum w:abstractNumId="93">
    <w:nsid w:val="519E3149"/>
    <w:multiLevelType w:val="hybridMultilevel"/>
    <w:lvl w:ilvl="0">
      <w:lvlJc w:val="left"/>
      <w:lvlText w:val="(%1)"/>
      <w:numFmt w:val="lowerRoman"/>
      <w:start w:val="1"/>
    </w:lvl>
  </w:abstractNum>
  <w:abstractNum w:abstractNumId="94">
    <w:nsid w:val="2C6E4AFD"/>
    <w:multiLevelType w:val="hybridMultilevel"/>
    <w:lvl w:ilvl="0">
      <w:lvlJc w:val="left"/>
      <w:lvlText w:val="(%1)"/>
      <w:numFmt w:val="lowerRoman"/>
      <w:start w:val="5"/>
    </w:lvl>
  </w:abstractNum>
  <w:abstractNum w:abstractNumId="95">
    <w:nsid w:val="17A1B582"/>
    <w:multiLevelType w:val="hybridMultilevel"/>
    <w:lvl w:ilvl="0">
      <w:lvlJc w:val="left"/>
      <w:lvlText w:val="(%1)"/>
      <w:numFmt w:val="lowerLetter"/>
      <w:start w:val="3"/>
    </w:lvl>
  </w:abstractNum>
  <w:abstractNum w:abstractNumId="96">
    <w:nsid w:val="4DF72E4E"/>
    <w:multiLevelType w:val="hybridMultilevel"/>
    <w:lvl w:ilvl="0">
      <w:lvlJc w:val="left"/>
      <w:lvlText w:val="(%1)"/>
      <w:numFmt w:val="lowerRoman"/>
      <w:start w:val="1"/>
    </w:lvl>
  </w:abstractNum>
  <w:abstractNum w:abstractNumId="97">
    <w:nsid w:val="5046B5A9"/>
    <w:multiLevelType w:val="hybridMultilevel"/>
    <w:lvl w:ilvl="0">
      <w:lvlJc w:val="left"/>
      <w:lvlText w:val="(%1)"/>
      <w:numFmt w:val="lowerRoman"/>
      <w:start w:val="7"/>
    </w:lvl>
  </w:abstractNum>
  <w:abstractNum w:abstractNumId="98">
    <w:nsid w:val="5D888A08"/>
    <w:multiLevelType w:val="hybridMultilevel"/>
    <w:lvl w:ilvl="0">
      <w:lvlJc w:val="left"/>
      <w:lvlText w:val="(%1)"/>
      <w:numFmt w:val="lowerLetter"/>
      <w:start w:val="2"/>
    </w:lvl>
  </w:abstractNum>
  <w:abstractNum w:abstractNumId="99">
    <w:nsid w:val="2A082C70"/>
    <w:multiLevelType w:val="hybridMultilevel"/>
    <w:lvl w:ilvl="0">
      <w:lvlJc w:val="left"/>
      <w:lvlText w:val="(%1)"/>
      <w:numFmt w:val="lowerRoman"/>
      <w:start w:val="1"/>
    </w:lvl>
  </w:abstractNum>
  <w:abstractNum w:abstractNumId="100">
    <w:nsid w:val="5EC6AFD4"/>
    <w:multiLevelType w:val="hybridMultilevel"/>
    <w:lvl w:ilvl="0">
      <w:lvlJc w:val="left"/>
      <w:lvlText w:val="(%1)"/>
      <w:numFmt w:val="lowerLetter"/>
      <w:start w:val="2"/>
    </w:lvl>
  </w:abstractNum>
  <w:abstractNum w:abstractNumId="101">
    <w:nsid w:val="19E21BB2"/>
    <w:multiLevelType w:val="hybridMultilevel"/>
    <w:lvl w:ilvl="0">
      <w:lvlJc w:val="left"/>
      <w:lvlText w:val="(%1)"/>
      <w:numFmt w:val="lowerRoman"/>
      <w:start w:val="1"/>
    </w:lvl>
  </w:abstractNum>
  <w:abstractNum w:abstractNumId="102">
    <w:nsid w:val="75E0858A"/>
    <w:multiLevelType w:val="hybridMultilevel"/>
    <w:lvl w:ilvl="0">
      <w:lvlJc w:val="left"/>
      <w:lvlText w:val="(%1)"/>
      <w:numFmt w:val="lowerLetter"/>
      <w:start w:val="2"/>
    </w:lvl>
  </w:abstractNum>
  <w:abstractNum w:abstractNumId="103">
    <w:nsid w:val="57A61A29"/>
    <w:multiLevelType w:val="hybridMultilevel"/>
    <w:lvl w:ilvl="0">
      <w:lvlJc w:val="left"/>
      <w:lvlText w:val="(%1)"/>
      <w:numFmt w:val="lowerLetter"/>
      <w:start w:val="3"/>
    </w:lvl>
  </w:abstractNum>
  <w:abstractNum w:abstractNumId="104">
    <w:nsid w:val="5399C654"/>
    <w:multiLevelType w:val="hybridMultilevel"/>
    <w:lvl w:ilvl="0">
      <w:lvlJc w:val="left"/>
      <w:lvlText w:val="(%1)"/>
      <w:numFmt w:val="lowerLetter"/>
      <w:start w:val="1"/>
    </w:lvl>
  </w:abstractNum>
  <w:abstractNum w:abstractNumId="105">
    <w:nsid w:val="20EE1348"/>
    <w:multiLevelType w:val="hybridMultilevel"/>
    <w:lvl w:ilvl="0">
      <w:lvlJc w:val="left"/>
      <w:lvlText w:val="(%1)"/>
      <w:numFmt w:val="lowerLetter"/>
      <w:start w:val="1"/>
    </w:lvl>
  </w:abstractNum>
  <w:abstractNum w:abstractNumId="106">
    <w:nsid w:val="4427069A"/>
    <w:multiLevelType w:val="hybridMultilevel"/>
    <w:lvl w:ilvl="0">
      <w:lvlJc w:val="left"/>
      <w:lvlText w:val="(%1)"/>
      <w:numFmt w:val="lowerLetter"/>
      <w:start w:val="2"/>
    </w:lvl>
  </w:abstractNum>
  <w:abstractNum w:abstractNumId="107">
    <w:nsid w:val="B37E80A"/>
    <w:multiLevelType w:val="hybridMultilevel"/>
    <w:lvl w:ilvl="0">
      <w:lvlJc w:val="left"/>
      <w:lvlText w:val="(%1)"/>
      <w:numFmt w:val="lowerRoman"/>
      <w:start w:val="1"/>
    </w:lvl>
  </w:abstractNum>
  <w:abstractNum w:abstractNumId="108">
    <w:nsid w:val="2157F6BC"/>
    <w:multiLevelType w:val="hybridMultilevel"/>
    <w:lvl w:ilvl="0">
      <w:lvlJc w:val="left"/>
      <w:lvlText w:val="(%1)"/>
      <w:numFmt w:val="lowerLetter"/>
      <w:start w:val="3"/>
    </w:lvl>
  </w:abstractNum>
  <w:abstractNum w:abstractNumId="109">
    <w:nsid w:val="704E1DD5"/>
    <w:multiLevelType w:val="hybridMultilevel"/>
    <w:lvl w:ilvl="0">
      <w:lvlJc w:val="left"/>
      <w:lvlText w:val="(%1)"/>
      <w:numFmt w:val="lowerLetter"/>
      <w:start w:val="1"/>
    </w:lvl>
  </w:abstractNum>
  <w:abstractNum w:abstractNumId="110">
    <w:nsid w:val="57D2F10E"/>
    <w:multiLevelType w:val="hybridMultilevel"/>
    <w:lvl w:ilvl="0">
      <w:lvlJc w:val="left"/>
      <w:lvlText w:val="(%1)"/>
      <w:numFmt w:val="lowerLetter"/>
      <w:start w:val="1"/>
    </w:lvl>
  </w:abstractNum>
  <w:abstractNum w:abstractNumId="111">
    <w:nsid w:val="BFFAE18"/>
    <w:multiLevelType w:val="hybridMultilevel"/>
    <w:lvl w:ilvl="0">
      <w:lvlJc w:val="left"/>
      <w:lvlText w:val="(%1)"/>
      <w:numFmt w:val="lowerRoman"/>
      <w:start w:val="2"/>
    </w:lvl>
  </w:abstractNum>
  <w:abstractNum w:abstractNumId="112">
    <w:nsid w:val="E3E47A8"/>
    <w:multiLevelType w:val="hybridMultilevel"/>
    <w:lvl w:ilvl="0">
      <w:lvlJc w:val="left"/>
      <w:lvlText w:val="(%1)"/>
      <w:numFmt w:val="lowerLetter"/>
      <w:start w:val="4"/>
    </w:lvl>
  </w:abstractNum>
  <w:abstractNum w:abstractNumId="113">
    <w:nsid w:val="2E48F044"/>
    <w:multiLevelType w:val="hybridMultilevel"/>
    <w:lvl w:ilvl="0">
      <w:lvlJc w:val="left"/>
      <w:lvlText w:val="(%1)"/>
      <w:numFmt w:val="lowerLetter"/>
      <w:start w:val="1"/>
    </w:lvl>
  </w:abstractNum>
  <w:abstractNum w:abstractNumId="114">
    <w:nsid w:val="49D0FEAC"/>
    <w:multiLevelType w:val="hybridMultilevel"/>
    <w:lvl w:ilvl="0">
      <w:lvlJc w:val="left"/>
      <w:lvlText w:val="(%1)"/>
      <w:numFmt w:val="lowerLetter"/>
      <w:start w:val="5"/>
    </w:lvl>
  </w:abstractNum>
  <w:abstractNum w:abstractNumId="115">
    <w:nsid w:val="4BEE5A5B"/>
    <w:multiLevelType w:val="hybridMultilevel"/>
    <w:lvl w:ilvl="0">
      <w:lvlJc w:val="left"/>
      <w:lvlText w:val="(%1)"/>
      <w:numFmt w:val="lowerLetter"/>
      <w:start w:val="1"/>
    </w:lvl>
  </w:abstractNum>
  <w:abstractNum w:abstractNumId="116">
    <w:nsid w:val="5551B9F3"/>
    <w:multiLevelType w:val="hybridMultilevel"/>
    <w:lvl w:ilvl="0">
      <w:lvlJc w:val="left"/>
      <w:lvlText w:val="(%1)"/>
      <w:numFmt w:val="lowerLetter"/>
      <w:start w:val="1"/>
    </w:lvl>
  </w:abstractNum>
  <w:abstractNum w:abstractNumId="117">
    <w:nsid w:val="24F6AB8E"/>
    <w:multiLevelType w:val="hybridMultilevel"/>
    <w:lvl w:ilvl="0">
      <w:lvlJc w:val="left"/>
      <w:lvlText w:val="(%1)"/>
      <w:numFmt w:val="lowerLetter"/>
      <w:start w:val="1"/>
    </w:lvl>
  </w:abstractNum>
  <w:abstractNum w:abstractNumId="118">
    <w:nsid w:val="634C574C"/>
    <w:multiLevelType w:val="hybridMultilevel"/>
    <w:lvl w:ilvl="0">
      <w:lvlJc w:val="left"/>
      <w:lvlText w:val="(%1)"/>
      <w:numFmt w:val="lowerLetter"/>
      <w:start w:val="2"/>
    </w:lvl>
  </w:abstractNum>
  <w:abstractNum w:abstractNumId="119">
    <w:nsid w:val="24E99DD7"/>
    <w:multiLevelType w:val="hybridMultilevel"/>
    <w:lvl w:ilvl="0">
      <w:lvlJc w:val="left"/>
      <w:lvlText w:val="(%1)"/>
      <w:numFmt w:val="lowerRoman"/>
      <w:start w:val="1"/>
    </w:lvl>
  </w:abstractNum>
  <w:abstractNum w:abstractNumId="120">
    <w:nsid w:val="2A31B62D"/>
    <w:multiLevelType w:val="hybridMultilevel"/>
    <w:lvl w:ilvl="0">
      <w:lvlJc w:val="left"/>
      <w:lvlText w:val="(%1)"/>
      <w:numFmt w:val="lowerRoman"/>
      <w:start w:val="3"/>
    </w:lvl>
  </w:abstractNum>
  <w:abstractNum w:abstractNumId="121">
    <w:nsid w:val="1849C29B"/>
    <w:multiLevelType w:val="hybridMultilevel"/>
    <w:lvl w:ilvl="0">
      <w:lvlJc w:val="left"/>
      <w:lvlText w:val="(%1)"/>
      <w:numFmt w:val="lowerLetter"/>
      <w:start w:val="3"/>
    </w:lvl>
  </w:abstractNum>
  <w:abstractNum w:abstractNumId="122">
    <w:nsid w:val="7DFF9D09"/>
    <w:multiLevelType w:val="hybridMultilevel"/>
    <w:lvl w:ilvl="0">
      <w:lvlJc w:val="left"/>
      <w:lvlText w:val="(%1)"/>
      <w:numFmt w:val="lowerLetter"/>
      <w:start w:val="1"/>
    </w:lvl>
  </w:abstractNum>
  <w:abstractNum w:abstractNumId="123">
    <w:nsid w:val="754342"/>
    <w:multiLevelType w:val="hybridMultilevel"/>
    <w:lvl w:ilvl="0">
      <w:lvlJc w:val="left"/>
      <w:lvlText w:val="(%1)"/>
      <w:numFmt w:val="lowerLetter"/>
      <w:start w:val="2"/>
    </w:lvl>
  </w:abstractNum>
  <w:abstractNum w:abstractNumId="124">
    <w:nsid w:val="69E7F3E5"/>
    <w:multiLevelType w:val="hybridMultilevel"/>
    <w:lvl w:ilvl="0">
      <w:lvlJc w:val="left"/>
      <w:lvlText w:val="(%1)"/>
      <w:numFmt w:val="lowerLetter"/>
      <w:start w:val="1"/>
    </w:lvl>
  </w:abstractNum>
  <w:abstractNum w:abstractNumId="125">
    <w:nsid w:val="2A6DE806"/>
    <w:multiLevelType w:val="hybridMultilevel"/>
    <w:lvl w:ilvl="0">
      <w:lvlJc w:val="left"/>
      <w:lvlText w:val="(%1)"/>
      <w:numFmt w:val="lowerLetter"/>
      <w:start w:val="3"/>
    </w:lvl>
  </w:abstractNum>
  <w:abstractNum w:abstractNumId="126">
    <w:nsid w:val="1816F8C4"/>
    <w:multiLevelType w:val="hybridMultilevel"/>
    <w:lvl w:ilvl="0">
      <w:lvlJc w:val="left"/>
      <w:lvlText w:val="(%1)"/>
      <w:numFmt w:val="lowerRoman"/>
      <w:start w:val="1"/>
    </w:lvl>
  </w:abstractNum>
  <w:abstractNum w:abstractNumId="127">
    <w:nsid w:val="37DF2233"/>
    <w:multiLevelType w:val="hybridMultilevel"/>
    <w:lvl w:ilvl="0">
      <w:lvlJc w:val="left"/>
      <w:lvlText w:val="(%1)"/>
      <w:numFmt w:val="lowerLetter"/>
      <w:start w:val="4"/>
    </w:lvl>
  </w:abstractNum>
  <w:abstractNum w:abstractNumId="128">
    <w:nsid w:val="7AB49DAF"/>
    <w:multiLevelType w:val="hybridMultilevel"/>
    <w:lvl w:ilvl="0">
      <w:lvlJc w:val="left"/>
      <w:lvlText w:val="(%1)"/>
      <w:numFmt w:val="lowerLetter"/>
      <w:start w:val="1"/>
    </w:lvl>
  </w:abstractNum>
  <w:abstractNum w:abstractNumId="129">
    <w:nsid w:val="759F82CD"/>
    <w:multiLevelType w:val="hybridMultilevel"/>
    <w:lvl w:ilvl="0">
      <w:lvlJc w:val="left"/>
      <w:lvlText w:val="(%1)"/>
      <w:numFmt w:val="lowerLetter"/>
      <w:start w:val="3"/>
    </w:lvl>
  </w:abstractNum>
  <w:abstractNum w:abstractNumId="130">
    <w:nsid w:val="61E74EA3"/>
    <w:multiLevelType w:val="hybridMultilevel"/>
    <w:lvl w:ilvl="0">
      <w:lvlJc w:val="left"/>
      <w:lvlText w:val="(%1)"/>
      <w:numFmt w:val="lowerLetter"/>
      <w:start w:val="5"/>
    </w:lvl>
  </w:abstractNum>
  <w:abstractNum w:abstractNumId="131">
    <w:nsid w:val="597B4D84"/>
    <w:multiLevelType w:val="hybridMultilevel"/>
    <w:lvl w:ilvl="0">
      <w:lvlJc w:val="left"/>
      <w:lvlText w:val="(%1)"/>
      <w:numFmt w:val="lowerLetter"/>
      <w:start w:val="1"/>
    </w:lvl>
  </w:abstractNum>
  <w:abstractNum w:abstractNumId="132">
    <w:nsid w:val="F819E7F"/>
    <w:multiLevelType w:val="hybridMultilevel"/>
    <w:lvl w:ilvl="0">
      <w:lvlJc w:val="left"/>
      <w:lvlText w:val="(%1)"/>
      <w:numFmt w:val="lowerLetter"/>
      <w:start w:val="1"/>
    </w:lvl>
  </w:abstractNum>
  <w:abstractNum w:abstractNumId="133">
    <w:nsid w:val="57C7D42D"/>
    <w:multiLevelType w:val="hybridMultilevel"/>
    <w:lvl w:ilvl="0">
      <w:lvlJc w:val="left"/>
      <w:lvlText w:val="(%1)"/>
      <w:numFmt w:val="lowerLetter"/>
      <w:start w:val="1"/>
    </w:lvl>
  </w:abstractNum>
  <w:abstractNum w:abstractNumId="134">
    <w:nsid w:val="312167AD"/>
    <w:multiLevelType w:val="hybridMultilevel"/>
    <w:lvl w:ilvl="0">
      <w:lvlJc w:val="left"/>
      <w:lvlText w:val="(%1)"/>
      <w:numFmt w:val="lowerRoman"/>
      <w:start w:val="1"/>
    </w:lvl>
  </w:abstractNum>
  <w:abstractNum w:abstractNumId="135">
    <w:nsid w:val="631B64D4"/>
    <w:multiLevelType w:val="hybridMultilevel"/>
    <w:lvl w:ilvl="0">
      <w:lvlJc w:val="left"/>
      <w:lvlText w:val="(%1)"/>
      <w:numFmt w:val="lowerRoman"/>
      <w:start w:val="3"/>
    </w:lvl>
  </w:abstractNum>
  <w:abstractNum w:abstractNumId="136">
    <w:nsid w:val="78B5E776"/>
    <w:multiLevelType w:val="hybridMultilevel"/>
    <w:lvl w:ilvl="0">
      <w:lvlJc w:val="left"/>
      <w:lvlText w:val="(%1)"/>
      <w:numFmt w:val="lowerLetter"/>
      <w:start w:val="3"/>
    </w:lvl>
  </w:abstractNum>
  <w:abstractNum w:abstractNumId="137">
    <w:nsid w:val="75486E47"/>
    <w:multiLevelType w:val="hybridMultilevel"/>
    <w:lvl w:ilvl="0">
      <w:lvlJc w:val="left"/>
      <w:lvlText w:val="(%1)"/>
      <w:numFmt w:val="lowerLetter"/>
      <w:start w:val="1"/>
    </w:lvl>
  </w:abstractNum>
  <w:abstractNum w:abstractNumId="138">
    <w:nsid w:val="6E534CDE"/>
    <w:multiLevelType w:val="hybridMultilevel"/>
    <w:lvl w:ilvl="0">
      <w:lvlJc w:val="left"/>
      <w:lvlText w:val="(%1)"/>
      <w:numFmt w:val="lowerLetter"/>
      <w:start w:val="24"/>
    </w:lvl>
    <w:lvl w:ilvl="1">
      <w:lvlJc w:val="left"/>
      <w:lvlText w:val="(%2)"/>
      <w:numFmt w:val="lowerLetter"/>
      <w:start w:val="2"/>
    </w:lvl>
  </w:abstractNum>
  <w:abstractNum w:abstractNumId="139">
    <w:nsid w:val="1A0DDE32"/>
    <w:multiLevelType w:val="hybridMultilevel"/>
    <w:lvl w:ilvl="0">
      <w:lvlJc w:val="left"/>
      <w:lvlText w:val="(%1)"/>
      <w:numFmt w:val="lowerLetter"/>
      <w:start w:val="1"/>
    </w:lvl>
  </w:abstractNum>
  <w:abstractNum w:abstractNumId="140">
    <w:nsid w:val="65968C1C"/>
    <w:multiLevelType w:val="hybridMultilevel"/>
    <w:lvl w:ilvl="0">
      <w:lvlJc w:val="left"/>
      <w:lvlText w:val="(%1)"/>
      <w:numFmt w:val="lowerLetter"/>
      <w:start w:val="9"/>
    </w:lvl>
    <w:lvl w:ilvl="1">
      <w:lvlJc w:val="left"/>
      <w:lvlText w:val="(%2)"/>
      <w:numFmt w:val="lowerLetter"/>
      <w:start w:val="3"/>
    </w:lvl>
  </w:abstractNum>
  <w:abstractNum w:abstractNumId="141">
    <w:nsid w:val="46263DEC"/>
    <w:multiLevelType w:val="hybridMultilevel"/>
    <w:lvl w:ilvl="0">
      <w:lvlJc w:val="left"/>
      <w:lvlText w:val="(%1)"/>
      <w:numFmt w:val="lowerRoman"/>
      <w:start w:val="1"/>
    </w:lvl>
  </w:abstractNum>
  <w:abstractNum w:abstractNumId="142">
    <w:nsid w:val="260D8C4A"/>
    <w:multiLevelType w:val="hybridMultilevel"/>
    <w:lvl w:ilvl="0">
      <w:lvlJc w:val="left"/>
      <w:lvlText w:val="(%1)"/>
      <w:numFmt w:val="lowerLetter"/>
      <w:start w:val="4"/>
    </w:lvl>
  </w:abstractNum>
  <w:abstractNum w:abstractNumId="143">
    <w:nsid w:val="73D4D3C4"/>
    <w:multiLevelType w:val="hybridMultilevel"/>
    <w:lvl w:ilvl="0">
      <w:lvlJc w:val="left"/>
      <w:lvlText w:val="(%1)"/>
      <w:numFmt w:val="lowerLetter"/>
      <w:start w:val="1"/>
    </w:lvl>
  </w:abstractNum>
  <w:abstractNum w:abstractNumId="144">
    <w:nsid w:val="746F2E30"/>
    <w:multiLevelType w:val="hybridMultilevel"/>
    <w:lvl w:ilvl="0">
      <w:lvlJc w:val="left"/>
      <w:lvlText w:val="(%1)"/>
      <w:numFmt w:val="lowerLetter"/>
      <w:start w:val="5"/>
    </w:lvl>
  </w:abstractNum>
  <w:abstractNum w:abstractNumId="145">
    <w:nsid w:val="6FDE8AF6"/>
    <w:multiLevelType w:val="hybridMultilevel"/>
    <w:lvl w:ilvl="0">
      <w:lvlJc w:val="left"/>
      <w:lvlText w:val="(%1)"/>
      <w:numFmt w:val="lowerLetter"/>
      <w:start w:val="1"/>
    </w:lvl>
  </w:abstractNum>
  <w:abstractNum w:abstractNumId="146">
    <w:nsid w:val="3FC32E20"/>
    <w:multiLevelType w:val="hybridMultilevel"/>
    <w:lvl w:ilvl="0">
      <w:lvlJc w:val="left"/>
      <w:lvlText w:val="(%1)"/>
      <w:numFmt w:val="lowerLetter"/>
      <w:start w:val="2"/>
    </w:lvl>
  </w:abstractNum>
  <w:abstractNum w:abstractNumId="147">
    <w:nsid w:val="49C0E823"/>
    <w:multiLevelType w:val="hybridMultilevel"/>
    <w:lvl w:ilvl="0">
      <w:lvlJc w:val="left"/>
      <w:lvlText w:val="(%1)"/>
      <w:numFmt w:val="lowerLetter"/>
      <w:start w:val="2"/>
    </w:lvl>
  </w:abstractNum>
  <w:abstractNum w:abstractNumId="148">
    <w:nsid w:val="14D53685"/>
    <w:multiLevelType w:val="hybridMultilevel"/>
    <w:lvl w:ilvl="0">
      <w:lvlJc w:val="left"/>
      <w:lvlText w:val="(%1)"/>
      <w:numFmt w:val="lowerLetter"/>
      <w:start w:val="2"/>
    </w:lvl>
  </w:abstractNum>
  <w:abstractNum w:abstractNumId="149">
    <w:nsid w:val="230F856C"/>
    <w:multiLevelType w:val="hybridMultilevel"/>
    <w:lvl w:ilvl="0">
      <w:lvlJc w:val="left"/>
      <w:lvlText w:val="(%1)"/>
      <w:numFmt w:val="lowerRoman"/>
      <w:start w:val="1"/>
    </w:lvl>
  </w:abstractNum>
  <w:abstractNum w:abstractNumId="150">
    <w:nsid w:val="6EAA85FB"/>
    <w:multiLevelType w:val="hybridMultilevel"/>
    <w:lvl w:ilvl="0">
      <w:lvlJc w:val="left"/>
      <w:lvlText w:val="(%1)"/>
      <w:numFmt w:val="lowerLetter"/>
      <w:start w:val="2"/>
    </w:lvl>
  </w:abstractNum>
  <w:abstractNum w:abstractNumId="151">
    <w:nsid w:val="3F06ECB2"/>
    <w:multiLevelType w:val="hybridMultilevel"/>
    <w:lvl w:ilvl="0">
      <w:lvlJc w:val="left"/>
      <w:lvlText w:val="(%1)"/>
      <w:numFmt w:val="lowerLetter"/>
      <w:start w:val="2"/>
    </w:lvl>
  </w:abstractNum>
  <w:abstractNum w:abstractNumId="152">
    <w:nsid w:val="3B594807"/>
    <w:multiLevelType w:val="hybridMultilevel"/>
    <w:lvl w:ilvl="0">
      <w:lvlJc w:val="left"/>
      <w:lvlText w:val="(%1)"/>
      <w:numFmt w:val="lowerLetter"/>
      <w:start w:val="2"/>
    </w:lvl>
  </w:abstractNum>
  <w:abstractNum w:abstractNumId="153">
    <w:nsid w:val="6CAA2304"/>
    <w:multiLevelType w:val="hybridMultilevel"/>
    <w:lvl w:ilvl="0">
      <w:lvlJc w:val="left"/>
      <w:lvlText w:val="(%1)"/>
      <w:numFmt w:val="lowerLetter"/>
      <w:start w:val="2"/>
    </w:lvl>
  </w:abstractNum>
  <w:abstractNum w:abstractNumId="154">
    <w:nsid w:val="3F7C2FF4"/>
    <w:multiLevelType w:val="hybridMultilevel"/>
    <w:lvl w:ilvl="0">
      <w:lvlJc w:val="left"/>
      <w:lvlText w:val="(%1)"/>
      <w:numFmt w:val="decimal"/>
      <w:start w:val="800"/>
    </w:lvl>
  </w:abstractNum>
  <w:abstractNum w:abstractNumId="155">
    <w:nsid w:val="25413BEC"/>
    <w:multiLevelType w:val="hybridMultilevel"/>
    <w:lvl w:ilvl="0">
      <w:lvlJc w:val="left"/>
      <w:lvlText w:val="(%1)"/>
      <w:numFmt w:val="decimal"/>
      <w:start w:val="800"/>
    </w:lvl>
  </w:abstractNum>
  <w:abstractNum w:abstractNumId="156">
    <w:nsid w:val="17180B0B"/>
    <w:multiLevelType w:val="hybridMultilevel"/>
    <w:lvl w:ilvl="0">
      <w:lvlJc w:val="left"/>
      <w:lvlText w:val="·"/>
      <w:numFmt w:val="bullet"/>
      <w:start w:val="1"/>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2019-12-08T10:04:57Z</dcterms:created>
  <dcterms:modified xsi:type="dcterms:W3CDTF">2019-12-08T10:04:57Z</dcterms:modified>
</cp:coreProperties>
</file>