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380365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500380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218440</wp:posOffset>
            </wp:positionV>
            <wp:extent cx="106299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220980</wp:posOffset>
            </wp:positionV>
            <wp:extent cx="106299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040" w:right="1360" w:hanging="18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CERTIFICATION AND NOTICE OF TERMINATION OF REGISTRATION UNDER SECTION 12(g) OF THE SECURITIES EXCHANGE ACT OF 1934</w:t>
      </w:r>
    </w:p>
    <w:p>
      <w:pPr>
        <w:jc w:val="center"/>
        <w:ind w:right="-67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OR SUSPENSION OF DUTY TO FILE REPORTS UNDER SECTIONS 13 AND 15(d)</w:t>
      </w: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Commission File Number: 001-36433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233680</wp:posOffset>
            </wp:positionV>
            <wp:extent cx="106299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GasLog Partners LP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218440</wp:posOffset>
            </wp:positionV>
            <wp:extent cx="106299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c/o GasLog LNG Services Ltd.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69 Akti Miaouli 18537</w:t>
      </w:r>
    </w:p>
    <w:p>
      <w:pPr>
        <w:jc w:val="center"/>
        <w:ind w:right="-67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Pireaus Greece</w:t>
      </w:r>
    </w:p>
    <w:p>
      <w:pPr>
        <w:jc w:val="center"/>
        <w:ind w:right="-679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+30 210 459 1000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(Address, including zip code, and telephone number, including area code, of registrant’s principal executive offices)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Common Units Representing Limited Partner Interests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(Title of each class of securities covered by this Form)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Series A Preference Units*</w:t>
      </w:r>
      <w:r>
        <w:rPr>
          <w:rFonts w:ascii="Arial" w:cs="Arial" w:eastAsia="Arial" w:hAnsi="Arial"/>
          <w:sz w:val="35"/>
          <w:szCs w:val="35"/>
          <w:b w:val="1"/>
          <w:bCs w:val="1"/>
          <w:color w:val="FFFFFF"/>
          <w:vertAlign w:val="superscript"/>
        </w:rPr>
        <w:t>1</w:t>
      </w:r>
    </w:p>
    <w:p>
      <w:pPr>
        <w:ind w:left="44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Series B Preference Units*</w:t>
      </w:r>
    </w:p>
    <w:p>
      <w:pPr>
        <w:ind w:left="44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Series C Preference Units*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(Titles of all other classes of securities for which a duty to file reports under section 13(a) or 15(d) remains)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219075</wp:posOffset>
            </wp:positionV>
            <wp:extent cx="106299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Please place an X in the box(es) to designate the appropriate rule provision(s) relied upon to terminate or suspend the duty to file reports:</w:t>
      </w:r>
    </w:p>
    <w:p>
      <w:pPr>
        <w:sectPr>
          <w:pgSz w:w="11900" w:h="16838" w:orient="portrait"/>
          <w:cols w:equalWidth="0" w:num="1">
            <w:col w:w="10580"/>
          </w:cols>
          <w:pgMar w:left="320" w:top="1111" w:right="999" w:bottom="1440" w:gutter="0" w:footer="0" w:header="0"/>
        </w:sect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12g-4(a)(1)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12g-4(a)(2)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12h-3(b)(1)(i)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12h-3(b)(1)(ii)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15d-6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960" w:space="720"/>
            <w:col w:w="3900"/>
          </w:cols>
          <w:pgMar w:left="320" w:top="1111" w:right="999" w:bottom="1440" w:gutter="0" w:footer="0" w:header="0"/>
          <w:type w:val="continuous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Approximate number of holders of record as of the certification or notice date: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538480</wp:posOffset>
            </wp:positionV>
            <wp:extent cx="16459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firstLine="8"/>
        <w:spacing w:after="0" w:line="256" w:lineRule="auto"/>
        <w:tabs>
          <w:tab w:leader="none" w:pos="162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Explanatory Note</w:t>
      </w:r>
      <w:r>
        <w:rPr>
          <w:rFonts w:ascii="Arial" w:cs="Arial" w:eastAsia="Arial" w:hAnsi="Arial"/>
          <w:sz w:val="22"/>
          <w:szCs w:val="22"/>
          <w:color w:val="auto"/>
        </w:rPr>
        <w:t>: For the avoidance of doubt, the Series A Preference Shares, Series B Preference Shares and Series C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2"/>
          <w:szCs w:val="22"/>
          <w:color w:val="auto"/>
        </w:rPr>
        <w:t>Preference Shares will remain registered at this time.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257810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80"/>
          </w:cols>
          <w:pgMar w:left="320" w:top="1111" w:right="999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GasLog Partners LP has caused this certification/notice to be signed on its behalf by the undersigned duly authorized person.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GASLOG PARTNERS LP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Paolo Enoizi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14605</wp:posOffset>
            </wp:positionV>
            <wp:extent cx="250317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17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Name:Paolo Enoizi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Chief Executive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Date: July 24, 2023</w:t>
      </w:r>
    </w:p>
    <w:sectPr>
      <w:pgSz w:w="11900" w:h="16838" w:orient="portrait"/>
      <w:cols w:equalWidth="0" w:num="1">
        <w:col w:w="11040"/>
      </w:cols>
      <w:pgMar w:left="320" w:top="361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2023-07-24T07:46:21Z</dcterms:created>
  <dcterms:modified xsi:type="dcterms:W3CDTF">2023-07-24T07:46:21Z</dcterms:modified>
</cp:coreProperties>
</file>