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For the month of April 2019</w:t>
            </w:r>
          </w:p>
        </w:tc>
        <w:tc>
          <w:tcPr>
            <w:tcW w:w="2260" w:type="dxa"/>
            <w:vAlign w:val="bottom"/>
          </w:tcPr>
          <w:p>
            <w:pPr>
              <w:spacing w:after="0"/>
              <w:rPr>
                <w:sz w:val="20"/>
                <w:szCs w:val="20"/>
                <w:color w:val="auto"/>
              </w:rPr>
            </w:pP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260" w:type="dxa"/>
            <w:vAlign w:val="bottom"/>
          </w:tcPr>
          <w:p>
            <w:pPr>
              <w:spacing w:after="0"/>
              <w:rPr>
                <w:sz w:val="24"/>
                <w:szCs w:val="24"/>
                <w:color w:val="auto"/>
              </w:rPr>
            </w:pPr>
          </w:p>
        </w:tc>
      </w:tr>
      <w:tr>
        <w:trPr>
          <w:trHeight w:val="418"/>
        </w:trPr>
        <w:tc>
          <w:tcPr>
            <w:tcW w:w="920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GasLog Partners LP</w:t>
            </w:r>
          </w:p>
        </w:tc>
        <w:tc>
          <w:tcPr>
            <w:tcW w:w="2260" w:type="dxa"/>
            <w:vAlign w:val="bottom"/>
          </w:tcPr>
          <w:p>
            <w:pPr>
              <w:spacing w:after="0"/>
              <w:rPr>
                <w:sz w:val="24"/>
                <w:szCs w:val="24"/>
                <w:color w:val="auto"/>
              </w:rPr>
            </w:pPr>
          </w:p>
        </w:tc>
      </w:tr>
      <w:tr>
        <w:trPr>
          <w:trHeight w:val="230"/>
        </w:trPr>
        <w:tc>
          <w:tcPr>
            <w:tcW w:w="9200" w:type="dxa"/>
            <w:vAlign w:val="bottom"/>
          </w:tcPr>
          <w:p>
            <w:pPr>
              <w:jc w:val="center"/>
              <w:ind w:left="2150"/>
              <w:spacing w:after="0"/>
              <w:rPr>
                <w:sz w:val="20"/>
                <w:szCs w:val="20"/>
                <w:color w:val="auto"/>
              </w:rPr>
            </w:pPr>
            <w:r>
              <w:rPr>
                <w:rFonts w:ascii="Arial" w:cs="Arial" w:eastAsia="Arial" w:hAnsi="Arial"/>
                <w:sz w:val="18"/>
                <w:szCs w:val="18"/>
                <w:color w:val="auto"/>
                <w:w w:val="91"/>
              </w:rPr>
              <w:t>(Translation of registrant’s name into English)</w:t>
            </w:r>
          </w:p>
        </w:tc>
        <w:tc>
          <w:tcPr>
            <w:tcW w:w="2260" w:type="dxa"/>
            <w:vAlign w:val="bottom"/>
          </w:tcPr>
          <w:p>
            <w:pPr>
              <w:spacing w:after="0"/>
              <w:rPr>
                <w:sz w:val="20"/>
                <w:szCs w:val="20"/>
                <w:color w:val="auto"/>
              </w:rPr>
            </w:pPr>
          </w:p>
        </w:tc>
      </w:tr>
      <w:tr>
        <w:trPr>
          <w:trHeight w:val="418"/>
        </w:trPr>
        <w:tc>
          <w:tcPr>
            <w:tcW w:w="9200" w:type="dxa"/>
            <w:vAlign w:val="bottom"/>
          </w:tcPr>
          <w:p>
            <w:pPr>
              <w:jc w:val="center"/>
              <w:ind w:left="2150"/>
              <w:spacing w:after="0"/>
              <w:rPr>
                <w:sz w:val="20"/>
                <w:szCs w:val="20"/>
                <w:color w:val="auto"/>
              </w:rPr>
            </w:pPr>
            <w:r>
              <w:rPr>
                <w:rFonts w:ascii="Arial" w:cs="Arial" w:eastAsia="Arial" w:hAnsi="Arial"/>
                <w:sz w:val="18"/>
                <w:szCs w:val="18"/>
                <w:color w:val="auto"/>
                <w:w w:val="92"/>
              </w:rPr>
              <w:t>c/o GasLog Monaco S.A.M.</w:t>
            </w:r>
          </w:p>
        </w:tc>
        <w:tc>
          <w:tcPr>
            <w:tcW w:w="2260" w:type="dxa"/>
            <w:vAlign w:val="bottom"/>
          </w:tcPr>
          <w:p>
            <w:pPr>
              <w:spacing w:after="0"/>
              <w:rPr>
                <w:sz w:val="24"/>
                <w:szCs w:val="24"/>
                <w:color w:val="auto"/>
              </w:rPr>
            </w:pPr>
          </w:p>
        </w:tc>
      </w:tr>
      <w:tr>
        <w:trPr>
          <w:trHeight w:val="216"/>
        </w:trPr>
        <w:tc>
          <w:tcPr>
            <w:tcW w:w="9200" w:type="dxa"/>
            <w:vAlign w:val="bottom"/>
          </w:tcPr>
          <w:p>
            <w:pPr>
              <w:jc w:val="center"/>
              <w:ind w:left="2130"/>
              <w:spacing w:after="0"/>
              <w:rPr>
                <w:sz w:val="20"/>
                <w:szCs w:val="20"/>
                <w:color w:val="auto"/>
              </w:rPr>
            </w:pPr>
            <w:r>
              <w:rPr>
                <w:rFonts w:ascii="Arial" w:cs="Arial" w:eastAsia="Arial" w:hAnsi="Arial"/>
                <w:sz w:val="18"/>
                <w:szCs w:val="18"/>
                <w:color w:val="auto"/>
                <w:w w:val="89"/>
              </w:rPr>
              <w:t>Gildo Pastor Center</w:t>
            </w:r>
          </w:p>
        </w:tc>
        <w:tc>
          <w:tcPr>
            <w:tcW w:w="2260" w:type="dxa"/>
            <w:vAlign w:val="bottom"/>
          </w:tcPr>
          <w:p>
            <w:pPr>
              <w:spacing w:after="0"/>
              <w:rPr>
                <w:sz w:val="18"/>
                <w:szCs w:val="18"/>
                <w:color w:val="auto"/>
              </w:rPr>
            </w:pPr>
          </w:p>
        </w:tc>
      </w:tr>
      <w:tr>
        <w:trPr>
          <w:trHeight w:val="216"/>
        </w:trPr>
        <w:tc>
          <w:tcPr>
            <w:tcW w:w="9200" w:type="dxa"/>
            <w:vAlign w:val="bottom"/>
          </w:tcPr>
          <w:p>
            <w:pPr>
              <w:jc w:val="center"/>
              <w:ind w:left="2130"/>
              <w:spacing w:after="0"/>
              <w:rPr>
                <w:sz w:val="20"/>
                <w:szCs w:val="20"/>
                <w:color w:val="auto"/>
              </w:rPr>
            </w:pPr>
            <w:r>
              <w:rPr>
                <w:rFonts w:ascii="Arial" w:cs="Arial" w:eastAsia="Arial" w:hAnsi="Arial"/>
                <w:sz w:val="18"/>
                <w:szCs w:val="18"/>
                <w:color w:val="auto"/>
                <w:w w:val="89"/>
              </w:rPr>
              <w:t>7 Rue du Gabian</w:t>
            </w:r>
          </w:p>
        </w:tc>
        <w:tc>
          <w:tcPr>
            <w:tcW w:w="2260" w:type="dxa"/>
            <w:vAlign w:val="bottom"/>
          </w:tcPr>
          <w:p>
            <w:pPr>
              <w:spacing w:after="0"/>
              <w:rPr>
                <w:sz w:val="18"/>
                <w:szCs w:val="18"/>
                <w:color w:val="auto"/>
              </w:rPr>
            </w:pPr>
          </w:p>
        </w:tc>
      </w:tr>
      <w:tr>
        <w:trPr>
          <w:trHeight w:val="216"/>
        </w:trPr>
        <w:tc>
          <w:tcPr>
            <w:tcW w:w="9200" w:type="dxa"/>
            <w:vAlign w:val="bottom"/>
          </w:tcPr>
          <w:p>
            <w:pPr>
              <w:jc w:val="center"/>
              <w:ind w:left="2130"/>
              <w:spacing w:after="0"/>
              <w:rPr>
                <w:sz w:val="20"/>
                <w:szCs w:val="20"/>
                <w:color w:val="auto"/>
              </w:rPr>
            </w:pPr>
            <w:r>
              <w:rPr>
                <w:rFonts w:ascii="Arial" w:cs="Arial" w:eastAsia="Arial" w:hAnsi="Arial"/>
                <w:sz w:val="18"/>
                <w:szCs w:val="18"/>
                <w:color w:val="auto"/>
                <w:w w:val="92"/>
              </w:rPr>
              <w:t>MC 98000, Monaco</w:t>
            </w:r>
          </w:p>
        </w:tc>
        <w:tc>
          <w:tcPr>
            <w:tcW w:w="2260" w:type="dxa"/>
            <w:vAlign w:val="bottom"/>
          </w:tcPr>
          <w:p>
            <w:pPr>
              <w:spacing w:after="0"/>
              <w:rPr>
                <w:sz w:val="18"/>
                <w:szCs w:val="18"/>
                <w:color w:val="auto"/>
              </w:rPr>
            </w:pPr>
          </w:p>
        </w:tc>
      </w:tr>
      <w:tr>
        <w:trPr>
          <w:trHeight w:val="230"/>
        </w:trPr>
        <w:tc>
          <w:tcPr>
            <w:tcW w:w="9200" w:type="dxa"/>
            <w:vAlign w:val="bottom"/>
          </w:tcPr>
          <w:p>
            <w:pPr>
              <w:jc w:val="center"/>
              <w:ind w:left="2130"/>
              <w:spacing w:after="0"/>
              <w:rPr>
                <w:sz w:val="20"/>
                <w:szCs w:val="20"/>
                <w:color w:val="auto"/>
              </w:rPr>
            </w:pPr>
            <w:r>
              <w:rPr>
                <w:rFonts w:ascii="Arial" w:cs="Arial" w:eastAsia="Arial" w:hAnsi="Arial"/>
                <w:sz w:val="18"/>
                <w:szCs w:val="18"/>
                <w:color w:val="auto"/>
                <w:w w:val="92"/>
              </w:rPr>
              <w:t>(Address of principal executive office)</w:t>
            </w:r>
          </w:p>
        </w:tc>
        <w:tc>
          <w:tcPr>
            <w:tcW w:w="2260" w:type="dxa"/>
            <w:vAlign w:val="bottom"/>
          </w:tcPr>
          <w:p>
            <w:pPr>
              <w:spacing w:after="0"/>
              <w:rPr>
                <w:sz w:val="20"/>
                <w:szCs w:val="20"/>
                <w:color w:val="auto"/>
              </w:rPr>
            </w:pP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60" w:type="dxa"/>
            <w:vAlign w:val="bottom"/>
          </w:tcPr>
          <w:p>
            <w:pPr>
              <w:spacing w:after="0"/>
              <w:rPr>
                <w:sz w:val="24"/>
                <w:szCs w:val="24"/>
                <w:color w:val="auto"/>
              </w:rPr>
            </w:pPr>
          </w:p>
        </w:tc>
      </w:tr>
      <w:tr>
        <w:trPr>
          <w:trHeight w:val="452"/>
        </w:trPr>
        <w:tc>
          <w:tcPr>
            <w:tcW w:w="920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60" w:type="dxa"/>
            <w:vAlign w:val="bottom"/>
          </w:tcPr>
          <w:p>
            <w:pPr>
              <w:spacing w:after="0"/>
              <w:rPr>
                <w:sz w:val="24"/>
                <w:szCs w:val="24"/>
                <w:color w:val="auto"/>
              </w:rPr>
            </w:pPr>
          </w:p>
        </w:tc>
      </w:tr>
      <w:tr>
        <w:trPr>
          <w:trHeight w:val="412"/>
        </w:trPr>
        <w:tc>
          <w:tcPr>
            <w:tcW w:w="920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60" w:type="dxa"/>
            <w:vAlign w:val="bottom"/>
          </w:tcPr>
          <w:p>
            <w:pPr>
              <w:ind w:left="240"/>
              <w:spacing w:after="0"/>
              <w:rPr>
                <w:sz w:val="20"/>
                <w:szCs w:val="20"/>
                <w:color w:val="auto"/>
              </w:rPr>
            </w:pPr>
            <w:r>
              <w:rPr>
                <w:rFonts w:ascii="Arial" w:cs="Arial" w:eastAsia="Arial" w:hAnsi="Arial"/>
                <w:sz w:val="18"/>
                <w:szCs w:val="18"/>
                <w:color w:val="auto"/>
              </w:rPr>
              <w:t>o</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60" w:type="dxa"/>
            <w:vAlign w:val="bottom"/>
          </w:tcPr>
          <w:p>
            <w:pPr>
              <w:ind w:left="240"/>
              <w:spacing w:after="0"/>
              <w:rPr>
                <w:sz w:val="20"/>
                <w:szCs w:val="20"/>
                <w:color w:val="auto"/>
              </w:rPr>
            </w:pPr>
            <w:r>
              <w:rPr>
                <w:rFonts w:ascii="Arial" w:cs="Arial" w:eastAsia="Arial" w:hAnsi="Arial"/>
                <w:sz w:val="18"/>
                <w:szCs w:val="18"/>
                <w:color w:val="auto"/>
              </w:rPr>
              <w:t>o</w:t>
            </w:r>
          </w:p>
        </w:tc>
      </w:tr>
      <w:tr>
        <w:trPr>
          <w:trHeight w:val="348"/>
        </w:trPr>
        <w:tc>
          <w:tcPr>
            <w:tcW w:w="92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40" w:firstLine="376"/>
        <w:spacing w:after="0" w:line="293" w:lineRule="auto"/>
        <w:rPr>
          <w:sz w:val="20"/>
          <w:szCs w:val="20"/>
          <w:color w:val="auto"/>
        </w:rPr>
      </w:pPr>
      <w:r>
        <w:rPr>
          <w:rFonts w:ascii="Arial" w:cs="Arial" w:eastAsia="Arial" w:hAnsi="Arial"/>
          <w:sz w:val="16"/>
          <w:szCs w:val="16"/>
          <w:color w:val="auto"/>
        </w:rPr>
        <w:t>The press release issued by GasLog Partners LP on April 25, 2019 relating to its results for the three-month period ended March 31, 2019 and the related financial report are attached hereto as Exhibits 99.1 and 99.2, respectively.</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firstLine="376"/>
        <w:spacing w:after="0" w:line="297" w:lineRule="auto"/>
        <w:rPr>
          <w:sz w:val="20"/>
          <w:szCs w:val="20"/>
          <w:color w:val="auto"/>
        </w:rPr>
      </w:pPr>
      <w:r>
        <w:rPr>
          <w:rFonts w:ascii="Arial" w:cs="Arial" w:eastAsia="Arial" w:hAnsi="Arial"/>
          <w:sz w:val="15"/>
          <w:szCs w:val="15"/>
          <w:color w:val="auto"/>
        </w:rPr>
        <w:t>Exhibit 99.2, including Appendix A thereto, to this Report on Form 6-K shall be incorporated by reference into our registration statement on Form F-3 (File No. 333-220736), filed with the Securities and Exchange Commission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6000" w:type="dxa"/>
            <w:vAlign w:val="bottom"/>
          </w:tcPr>
          <w:p>
            <w:pPr>
              <w:ind w:left="4480"/>
              <w:spacing w:after="0"/>
              <w:rPr>
                <w:sz w:val="20"/>
                <w:szCs w:val="20"/>
                <w:color w:val="auto"/>
              </w:rPr>
            </w:pPr>
            <w:r>
              <w:rPr>
                <w:rFonts w:ascii="Arial" w:cs="Arial" w:eastAsia="Arial" w:hAnsi="Arial"/>
                <w:sz w:val="16"/>
                <w:szCs w:val="16"/>
                <w:color w:val="auto"/>
              </w:rPr>
              <w:t>EXHIBIT LIST</w:t>
            </w:r>
          </w:p>
        </w:tc>
      </w:tr>
      <w:tr>
        <w:trPr>
          <w:trHeight w:val="419"/>
        </w:trPr>
        <w:tc>
          <w:tcPr>
            <w:tcW w:w="720" w:type="dxa"/>
            <w:vAlign w:val="bottom"/>
          </w:tcPr>
          <w:p>
            <w:pPr>
              <w:spacing w:after="0"/>
              <w:rPr>
                <w:sz w:val="20"/>
                <w:szCs w:val="20"/>
                <w:color w:val="auto"/>
              </w:rPr>
            </w:pPr>
            <w:r>
              <w:rPr>
                <w:rFonts w:ascii="Arial" w:cs="Arial" w:eastAsia="Arial" w:hAnsi="Arial"/>
                <w:sz w:val="16"/>
                <w:szCs w:val="16"/>
                <w:color w:val="auto"/>
              </w:rPr>
              <w:t>Exhibit</w:t>
            </w:r>
          </w:p>
        </w:tc>
        <w:tc>
          <w:tcPr>
            <w:tcW w:w="6000" w:type="dxa"/>
            <w:vAlign w:val="bottom"/>
          </w:tcPr>
          <w:p>
            <w:pPr>
              <w:ind w:left="240"/>
              <w:spacing w:after="0"/>
              <w:rPr>
                <w:sz w:val="20"/>
                <w:szCs w:val="20"/>
                <w:color w:val="auto"/>
              </w:rPr>
            </w:pPr>
            <w:r>
              <w:rPr>
                <w:rFonts w:ascii="Arial" w:cs="Arial" w:eastAsia="Arial" w:hAnsi="Arial"/>
                <w:sz w:val="16"/>
                <w:szCs w:val="16"/>
                <w:color w:val="auto"/>
              </w:rPr>
              <w:t>Description</w:t>
            </w:r>
          </w:p>
        </w:tc>
      </w:tr>
      <w:tr>
        <w:trPr>
          <w:trHeight w:val="419"/>
        </w:trPr>
        <w:tc>
          <w:tcPr>
            <w:tcW w:w="720" w:type="dxa"/>
            <w:vAlign w:val="bottom"/>
          </w:tcPr>
          <w:p>
            <w:pPr>
              <w:spacing w:after="0"/>
              <w:rPr>
                <w:sz w:val="20"/>
                <w:szCs w:val="20"/>
                <w:color w:val="auto"/>
              </w:rPr>
            </w:pPr>
            <w:r>
              <w:rPr>
                <w:rFonts w:ascii="Arial" w:cs="Arial" w:eastAsia="Arial" w:hAnsi="Arial"/>
                <w:sz w:val="16"/>
                <w:szCs w:val="16"/>
                <w:color w:val="auto"/>
              </w:rPr>
              <w:t>99.1</w:t>
            </w:r>
          </w:p>
        </w:tc>
        <w:tc>
          <w:tcPr>
            <w:tcW w:w="6000" w:type="dxa"/>
            <w:vAlign w:val="bottom"/>
          </w:tcPr>
          <w:p>
            <w:pPr>
              <w:ind w:left="240"/>
              <w:spacing w:after="0"/>
              <w:rPr>
                <w:sz w:val="20"/>
                <w:szCs w:val="20"/>
                <w:color w:val="auto"/>
              </w:rPr>
            </w:pPr>
            <w:r>
              <w:rPr>
                <w:rFonts w:ascii="Arial" w:cs="Arial" w:eastAsia="Arial" w:hAnsi="Arial"/>
                <w:sz w:val="16"/>
                <w:szCs w:val="16"/>
                <w:color w:val="auto"/>
              </w:rPr>
              <w:t>Press Release dated April 25, 2019</w:t>
            </w:r>
          </w:p>
        </w:tc>
      </w:tr>
      <w:tr>
        <w:trPr>
          <w:trHeight w:val="419"/>
        </w:trPr>
        <w:tc>
          <w:tcPr>
            <w:tcW w:w="720" w:type="dxa"/>
            <w:vAlign w:val="bottom"/>
          </w:tcPr>
          <w:p>
            <w:pPr>
              <w:spacing w:after="0"/>
              <w:rPr>
                <w:sz w:val="20"/>
                <w:szCs w:val="20"/>
                <w:color w:val="auto"/>
              </w:rPr>
            </w:pPr>
            <w:r>
              <w:rPr>
                <w:rFonts w:ascii="Arial" w:cs="Arial" w:eastAsia="Arial" w:hAnsi="Arial"/>
                <w:sz w:val="16"/>
                <w:szCs w:val="16"/>
                <w:color w:val="auto"/>
              </w:rPr>
              <w:t>99.2</w:t>
            </w:r>
          </w:p>
        </w:tc>
        <w:tc>
          <w:tcPr>
            <w:tcW w:w="6000" w:type="dxa"/>
            <w:vAlign w:val="bottom"/>
          </w:tcPr>
          <w:p>
            <w:pPr>
              <w:ind w:left="240"/>
              <w:spacing w:after="0"/>
              <w:rPr>
                <w:sz w:val="20"/>
                <w:szCs w:val="20"/>
                <w:color w:val="auto"/>
              </w:rPr>
            </w:pPr>
            <w:r>
              <w:rPr>
                <w:rFonts w:ascii="Arial" w:cs="Arial" w:eastAsia="Arial" w:hAnsi="Arial"/>
                <w:sz w:val="16"/>
                <w:szCs w:val="16"/>
                <w:color w:val="auto"/>
              </w:rPr>
              <w:t>Financial Report for the Three Months Ended March 31, 2019</w:t>
            </w:r>
          </w:p>
        </w:tc>
      </w:tr>
      <w:tr>
        <w:trPr>
          <w:trHeight w:val="419"/>
        </w:trPr>
        <w:tc>
          <w:tcPr>
            <w:tcW w:w="720" w:type="dxa"/>
            <w:vAlign w:val="bottom"/>
          </w:tcPr>
          <w:p>
            <w:pPr>
              <w:spacing w:after="0"/>
              <w:rPr>
                <w:sz w:val="24"/>
                <w:szCs w:val="24"/>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r>
        <w:trPr>
          <w:trHeight w:val="419"/>
        </w:trPr>
        <w:tc>
          <w:tcPr>
            <w:tcW w:w="720" w:type="dxa"/>
            <w:vAlign w:val="bottom"/>
          </w:tcPr>
          <w:p>
            <w:pPr>
              <w:spacing w:after="0"/>
              <w:rPr>
                <w:sz w:val="24"/>
                <w:szCs w:val="24"/>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Unaudited Condensed Consolidated Financial Statements</w:t>
            </w:r>
          </w:p>
        </w:tc>
      </w:tr>
    </w:tbl>
    <w:p>
      <w:pPr>
        <w:spacing w:after="0" w:line="212" w:lineRule="exact"/>
        <w:rPr>
          <w:sz w:val="20"/>
          <w:szCs w:val="20"/>
          <w:color w:val="auto"/>
        </w:rPr>
      </w:pPr>
    </w:p>
    <w:p>
      <w:pPr>
        <w:ind w:left="5660" w:right="3640" w:hanging="4701"/>
        <w:spacing w:after="0" w:line="534" w:lineRule="auto"/>
        <w:rPr>
          <w:sz w:val="20"/>
          <w:szCs w:val="20"/>
          <w:color w:val="auto"/>
        </w:rPr>
      </w:pPr>
      <w:r>
        <w:rPr>
          <w:rFonts w:ascii="Arial" w:cs="Arial" w:eastAsia="Arial" w:hAnsi="Arial"/>
          <w:sz w:val="16"/>
          <w:szCs w:val="16"/>
          <w:color w:val="auto"/>
        </w:rPr>
        <w:t xml:space="preserve">Appendix A: Supplemental Non-GAAP Partnership Performance Information and Reconciliation Tables </w:t>
      </w: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April 25, 2019</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GASLOG PARTNERS LP</w:t>
      </w:r>
    </w:p>
    <w:p>
      <w:pPr>
        <w:spacing w:after="0" w:line="221" w:lineRule="exact"/>
        <w:rPr>
          <w:sz w:val="20"/>
          <w:szCs w:val="20"/>
          <w:color w:val="auto"/>
        </w:rPr>
      </w:pPr>
    </w:p>
    <w:tbl>
      <w:tblPr>
        <w:tblLayout w:type="fixed"/>
        <w:tblInd w:w="6080" w:type="dxa"/>
        <w:tblCellMar>
          <w:top w:w="0" w:type="dxa"/>
          <w:left w:w="0" w:type="dxa"/>
          <w:bottom w:w="0" w:type="dxa"/>
          <w:right w:w="0" w:type="dxa"/>
        </w:tblCellMar>
      </w:tblPr>
      <w:tr>
        <w:trPr>
          <w:trHeight w:val="209"/>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Andrew Orekar</w:t>
            </w:r>
          </w:p>
        </w:tc>
      </w:tr>
      <w:tr>
        <w:trPr>
          <w:trHeight w:val="189"/>
        </w:trPr>
        <w:tc>
          <w:tcPr>
            <w:tcW w:w="5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Name:  Andrew Orekar</w:t>
            </w:r>
          </w:p>
        </w:tc>
      </w:tr>
      <w:tr>
        <w:trPr>
          <w:trHeight w:val="206"/>
        </w:trPr>
        <w:tc>
          <w:tcPr>
            <w:tcW w:w="50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Title:   Chief Executive Officer</w:t>
            </w:r>
          </w:p>
        </w:tc>
      </w:tr>
    </w:tbl>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346"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Ended March 31, 2019 and Declares Cash Distribution</w:t>
      </w:r>
    </w:p>
    <w:p>
      <w:pPr>
        <w:spacing w:after="0" w:line="23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 xml:space="preserve">Monaco, April 25, 2019, GasLog Partners LP (“GasLog Partners” or the “Partnership”) (NYSE: GLOP), </w:t>
      </w:r>
      <w:r>
        <w:rPr>
          <w:rFonts w:ascii="Arial" w:cs="Arial" w:eastAsia="Arial" w:hAnsi="Arial"/>
          <w:sz w:val="16"/>
          <w:szCs w:val="16"/>
          <w:color w:val="auto"/>
        </w:rPr>
        <w:t>an international owner and operator of liquefied natural gas</w:t>
      </w:r>
      <w:r>
        <w:rPr>
          <w:rFonts w:ascii="Arial" w:cs="Arial" w:eastAsia="Arial" w:hAnsi="Arial"/>
          <w:sz w:val="16"/>
          <w:szCs w:val="16"/>
          <w:b w:val="1"/>
          <w:bCs w:val="1"/>
          <w:color w:val="auto"/>
        </w:rPr>
        <w:t xml:space="preserve"> </w:t>
      </w:r>
      <w:r>
        <w:rPr>
          <w:rFonts w:ascii="Arial" w:cs="Arial" w:eastAsia="Arial" w:hAnsi="Arial"/>
          <w:sz w:val="16"/>
          <w:szCs w:val="16"/>
          <w:color w:val="auto"/>
        </w:rPr>
        <w:t>(“LNG”) carriers, today reported its financial results for the three-month period ended March 31, 2019.</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39" w:lineRule="exact"/>
        <w:rPr>
          <w:sz w:val="20"/>
          <w:szCs w:val="20"/>
          <w:color w:val="auto"/>
        </w:rPr>
      </w:pPr>
    </w:p>
    <w:p>
      <w:pPr>
        <w:ind w:left="340" w:right="80" w:hanging="332"/>
        <w:spacing w:after="0" w:line="266" w:lineRule="auto"/>
        <w:tabs>
          <w:tab w:leader="none" w:pos="299"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Announced and, post quarter-end, completed the acquisition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from GasLog Ltd. (“GasLog”) for $214.0 million, with attached multi-year charter to a subsidiary of Royal Dutch Shell plc (“Shell”).</w:t>
      </w:r>
    </w:p>
    <w:p>
      <w:pPr>
        <w:spacing w:after="0" w:line="1" w:lineRule="exact"/>
        <w:rPr>
          <w:rFonts w:ascii="Arial" w:cs="Arial" w:eastAsia="Arial" w:hAnsi="Arial"/>
          <w:sz w:val="16"/>
          <w:szCs w:val="16"/>
          <w:color w:val="auto"/>
        </w:rPr>
      </w:pPr>
    </w:p>
    <w:p>
      <w:pPr>
        <w:ind w:left="340" w:right="160" w:hanging="332"/>
        <w:spacing w:after="0" w:line="264" w:lineRule="auto"/>
        <w:tabs>
          <w:tab w:leader="none" w:pos="299" w:val="left"/>
        </w:tabs>
        <w:numPr>
          <w:ilvl w:val="0"/>
          <w:numId w:val="1"/>
        </w:numPr>
        <w:rPr>
          <w:rFonts w:ascii="Arial" w:cs="Arial" w:eastAsia="Arial" w:hAnsi="Arial"/>
          <w:sz w:val="16"/>
          <w:szCs w:val="16"/>
          <w:color w:val="auto"/>
        </w:rPr>
      </w:pPr>
      <w:r>
        <w:rPr>
          <w:rFonts w:ascii="Arial" w:cs="Arial" w:eastAsia="Arial" w:hAnsi="Arial"/>
          <w:sz w:val="16"/>
          <w:szCs w:val="16"/>
          <w:color w:val="auto"/>
        </w:rPr>
        <w:t>Entered into a new five-year amortizing revolving credit facility on February 20, 2019 (the “2019 Partnership Facility”), which successfully refinanced $354.4 million of current debt, due in November 2019, and delivered $90.0 million of incremental liquidity.</w:t>
      </w:r>
    </w:p>
    <w:p>
      <w:pPr>
        <w:ind w:left="300" w:hanging="292"/>
        <w:spacing w:after="0"/>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Authorized a unit repurchase programme of up to $25.0 million of the Partnership’s common units.</w:t>
      </w:r>
    </w:p>
    <w:p>
      <w:pPr>
        <w:spacing w:after="0" w:line="18" w:lineRule="exact"/>
        <w:rPr>
          <w:rFonts w:ascii="Arial" w:cs="Arial" w:eastAsia="Arial" w:hAnsi="Arial"/>
          <w:sz w:val="16"/>
          <w:szCs w:val="16"/>
          <w:color w:val="auto"/>
        </w:rPr>
      </w:pPr>
    </w:p>
    <w:p>
      <w:pPr>
        <w:ind w:left="340" w:right="700" w:hanging="332"/>
        <w:spacing w:after="0" w:line="264" w:lineRule="auto"/>
        <w:tabs>
          <w:tab w:leader="none" w:pos="299"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Drop-down pipeline increased to 13 vessels following successful chartering by GasLog of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and Hull No. 2274 to subsidiaries of Endesa S.A. (“Endesa”) and JERA Co., Inc. (“JERA”), respectively.</w:t>
      </w:r>
    </w:p>
    <w:p>
      <w:pPr>
        <w:ind w:left="300" w:hanging="292"/>
        <w:spacing w:after="0"/>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Post quarter-end, announced the appointment of Paolo Enoizi as Chief Operating Officer (“COO”) Designate with effect from August, 2019.</w:t>
      </w:r>
    </w:p>
    <w:p>
      <w:pPr>
        <w:spacing w:after="0" w:line="18" w:lineRule="exact"/>
        <w:rPr>
          <w:rFonts w:ascii="Arial" w:cs="Arial" w:eastAsia="Arial" w:hAnsi="Arial"/>
          <w:sz w:val="16"/>
          <w:szCs w:val="16"/>
          <w:color w:val="auto"/>
        </w:rPr>
      </w:pPr>
    </w:p>
    <w:p>
      <w:pPr>
        <w:ind w:left="340" w:right="240" w:hanging="332"/>
        <w:spacing w:after="0" w:line="228" w:lineRule="auto"/>
        <w:tabs>
          <w:tab w:leader="none" w:pos="299"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IFRS (as defined below) and Partnership Performance Results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for Revenues, Profit, Adjusted Profit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$86.3 million, $20.4 million, $27.0 million and $62.9 million, respectively.</w:t>
      </w:r>
    </w:p>
    <w:p>
      <w:pPr>
        <w:ind w:left="300" w:hanging="292"/>
        <w:spacing w:after="0"/>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Cash distribution of $0.55 per common unit for the first quarter of 2019, unchanged from the fourth quarter of 2018 and 3.8% higher than the first quarter of 2018.</w:t>
      </w:r>
    </w:p>
    <w:p>
      <w:pPr>
        <w:spacing w:after="0" w:line="30" w:lineRule="exact"/>
        <w:rPr>
          <w:rFonts w:ascii="Arial" w:cs="Arial" w:eastAsia="Arial" w:hAnsi="Arial"/>
          <w:sz w:val="15"/>
          <w:szCs w:val="15"/>
          <w:color w:val="auto"/>
        </w:rPr>
      </w:pPr>
    </w:p>
    <w:p>
      <w:pPr>
        <w:ind w:left="300" w:hanging="292"/>
        <w:spacing w:after="0"/>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Distribution coverage ratio</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of 1.03x.</w:t>
      </w:r>
    </w:p>
    <w:p>
      <w:pPr>
        <w:spacing w:after="0" w:line="164" w:lineRule="exact"/>
        <w:rPr>
          <w:sz w:val="20"/>
          <w:szCs w:val="20"/>
          <w:color w:val="auto"/>
        </w:rPr>
      </w:pPr>
    </w:p>
    <w:p>
      <w:pPr>
        <w:ind w:left="340" w:right="120" w:hanging="332"/>
        <w:spacing w:after="0" w:line="207" w:lineRule="auto"/>
        <w:tabs>
          <w:tab w:leader="none" w:pos="337"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Adjusted Profit and EBITDA are non-GAAP financial measures and should not be used in isolation or as a substitute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III at the end of this press release.</w:t>
      </w:r>
    </w:p>
    <w:p>
      <w:pPr>
        <w:spacing w:after="0" w:line="1" w:lineRule="exact"/>
        <w:rPr>
          <w:rFonts w:ascii="Arial" w:cs="Arial" w:eastAsia="Arial" w:hAnsi="Arial"/>
          <w:sz w:val="18"/>
          <w:szCs w:val="18"/>
          <w:color w:val="auto"/>
          <w:vertAlign w:val="superscript"/>
        </w:rPr>
      </w:pPr>
    </w:p>
    <w:p>
      <w:pPr>
        <w:ind w:left="340" w:right="40" w:hanging="332"/>
        <w:spacing w:after="0" w:line="202" w:lineRule="auto"/>
        <w:tabs>
          <w:tab w:leader="none" w:pos="337"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Partnership Performance Results represent the results attributable to GasLog Partners which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 at the end of this press release.</w:t>
      </w:r>
    </w:p>
    <w:p>
      <w:pPr>
        <w:ind w:left="340" w:right="160" w:hanging="332"/>
        <w:spacing w:after="0" w:line="207" w:lineRule="auto"/>
        <w:tabs>
          <w:tab w:leader="none" w:pos="337"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Distribution coverage ratio represents the ratio of Distributable cash flow to the cash distribution declared. For the definition and reconciliation of Distributable cash flow to the most directly comparable financial measure calculated and presented in accordance with IFRS, please refer to Exhibit III at the end of this press release.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Mr. Andrew Orekar, Chief Executive Officer, commented: “In the first quarter, GasLog Partners continued to execute our strategy, announcing the accretive acquisition of the </w:t>
      </w:r>
      <w:r>
        <w:rPr>
          <w:rFonts w:ascii="Arial" w:cs="Arial" w:eastAsia="Arial" w:hAnsi="Arial"/>
          <w:sz w:val="16"/>
          <w:szCs w:val="16"/>
          <w:i w:val="1"/>
          <w:iCs w:val="1"/>
          <w:color w:val="auto"/>
        </w:rPr>
        <w:t xml:space="preserve">GasLog Glasgow </w:t>
      </w:r>
      <w:r>
        <w:rPr>
          <w:rFonts w:ascii="Arial" w:cs="Arial" w:eastAsia="Arial" w:hAnsi="Arial"/>
          <w:sz w:val="16"/>
          <w:szCs w:val="16"/>
          <w:color w:val="auto"/>
        </w:rPr>
        <w:t>and expanding our fleet to 15 LNG carriers. This transaction is the Partnership’s third completed drop-down in the last 12 months, and significantly increases</w:t>
      </w:r>
      <w:r>
        <w:rPr>
          <w:rFonts w:ascii="Arial" w:cs="Arial" w:eastAsia="Arial" w:hAnsi="Arial"/>
          <w:sz w:val="16"/>
          <w:szCs w:val="16"/>
          <w:i w:val="1"/>
          <w:iCs w:val="1"/>
          <w:color w:val="auto"/>
        </w:rPr>
        <w:t xml:space="preserve"> </w:t>
      </w:r>
      <w:r>
        <w:rPr>
          <w:rFonts w:ascii="Arial" w:cs="Arial" w:eastAsia="Arial" w:hAnsi="Arial"/>
          <w:sz w:val="16"/>
          <w:szCs w:val="16"/>
          <w:color w:val="auto"/>
        </w:rPr>
        <w:t>our contracted Revenues, EBITDA, Distributable cash flow and contracted days to 91% in 2019 and 74% in 2020. As previously communicated, no new common equity was issued to fund this acquisition.</w:t>
      </w:r>
    </w:p>
    <w:p>
      <w:pPr>
        <w:spacing w:after="0" w:line="189" w:lineRule="exact"/>
        <w:rPr>
          <w:sz w:val="20"/>
          <w:szCs w:val="20"/>
          <w:color w:val="auto"/>
        </w:rPr>
      </w:pPr>
    </w:p>
    <w:p>
      <w:pPr>
        <w:ind w:right="480"/>
        <w:spacing w:after="0" w:line="278" w:lineRule="auto"/>
        <w:rPr>
          <w:sz w:val="20"/>
          <w:szCs w:val="20"/>
          <w:color w:val="auto"/>
        </w:rPr>
      </w:pPr>
      <w:r>
        <w:rPr>
          <w:rFonts w:ascii="Arial" w:cs="Arial" w:eastAsia="Arial" w:hAnsi="Arial"/>
          <w:sz w:val="16"/>
          <w:szCs w:val="16"/>
          <w:color w:val="auto"/>
        </w:rPr>
        <w:t>During the quarter, we refinanced in full our 2019 debt maturity with a new loan agreement at a reduced margin above the London Interbank Offered Rate (“LIBOR”) compared to the previous facility. The refinancing provides $90.0 million of incremental liquidity for the Partnership with an improved covenant package. Following the transaction, the Partnership’s next debt maturity is not until 2021.</w:t>
      </w:r>
    </w:p>
    <w:p>
      <w:pPr>
        <w:spacing w:after="0" w:line="184" w:lineRule="exact"/>
        <w:rPr>
          <w:sz w:val="20"/>
          <w:szCs w:val="20"/>
          <w:color w:val="auto"/>
        </w:rPr>
      </w:pPr>
    </w:p>
    <w:p>
      <w:pPr>
        <w:ind w:right="20"/>
        <w:spacing w:after="0" w:line="318" w:lineRule="auto"/>
        <w:rPr>
          <w:sz w:val="20"/>
          <w:szCs w:val="20"/>
          <w:color w:val="auto"/>
        </w:rPr>
      </w:pPr>
      <w:r>
        <w:rPr>
          <w:rFonts w:ascii="Arial" w:cs="Arial" w:eastAsia="Arial" w:hAnsi="Arial"/>
          <w:sz w:val="14"/>
          <w:szCs w:val="14"/>
          <w:color w:val="auto"/>
        </w:rPr>
        <w:t xml:space="preserve">Looking ahead, GasLog’s recent commercial successes, including new, multi-year charters with Endesa and JERA, have increased our drop-down pipeline to 13 vessels. Despite seasonal weakness in spot LNG shipping markets due to warmer than normal winter temperatures combined with high inventory levels, we expect the spot market to strengthen as we move through 2019, supported by the expected increase in new LNG supply over the balance of the year, especially from U.S. projects. With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Glasgow </w:t>
      </w:r>
      <w:r>
        <w:rPr>
          <w:rFonts w:ascii="Arial" w:cs="Arial" w:eastAsia="Arial" w:hAnsi="Arial"/>
          <w:sz w:val="14"/>
          <w:szCs w:val="14"/>
          <w:color w:val="auto"/>
        </w:rPr>
        <w:t>acquisition now closed, we are reiterating our year-on-year distribution growth guidance of 2% to 4% in 2019. Our guidance reflects the positive outlook for the LNG</w:t>
      </w:r>
      <w:r>
        <w:rPr>
          <w:rFonts w:ascii="Arial" w:cs="Arial" w:eastAsia="Arial" w:hAnsi="Arial"/>
          <w:sz w:val="14"/>
          <w:szCs w:val="14"/>
          <w:i w:val="1"/>
          <w:iCs w:val="1"/>
          <w:color w:val="auto"/>
        </w:rPr>
        <w:t xml:space="preserve"> </w:t>
      </w:r>
      <w:r>
        <w:rPr>
          <w:rFonts w:ascii="Arial" w:cs="Arial" w:eastAsia="Arial" w:hAnsi="Arial"/>
          <w:sz w:val="14"/>
          <w:szCs w:val="14"/>
          <w:color w:val="auto"/>
        </w:rPr>
        <w:t>shipping market and our recently completed accretive acquisitions, while also considering our two scheduled dry-dockings and one vessel coming off charter in late 2019.</w:t>
      </w:r>
    </w:p>
    <w:p>
      <w:pPr>
        <w:spacing w:after="0" w:line="162" w:lineRule="exact"/>
        <w:rPr>
          <w:sz w:val="20"/>
          <w:szCs w:val="20"/>
          <w:color w:val="auto"/>
        </w:rPr>
      </w:pPr>
    </w:p>
    <w:p>
      <w:pPr>
        <w:jc w:val="both"/>
        <w:ind w:right="280"/>
        <w:spacing w:after="0" w:line="293" w:lineRule="auto"/>
        <w:rPr>
          <w:sz w:val="20"/>
          <w:szCs w:val="20"/>
          <w:color w:val="auto"/>
        </w:rPr>
      </w:pPr>
      <w:r>
        <w:rPr>
          <w:rFonts w:ascii="Arial" w:cs="Arial" w:eastAsia="Arial" w:hAnsi="Arial"/>
          <w:sz w:val="16"/>
          <w:szCs w:val="16"/>
          <w:color w:val="auto"/>
        </w:rPr>
        <w:t>In addition, while we expect distributions to continue serving as our primary means of returning capital to unitholders, in the first quarter GasLog Partners authorized a unit buyback programme of up to $25.0 million, and we expect to opportunistically repurchase common units as market conditions warrant.”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Acquisition of the </w:t>
      </w:r>
      <w:r>
        <w:rPr>
          <w:rFonts w:ascii="Arial" w:cs="Arial" w:eastAsia="Arial" w:hAnsi="Arial"/>
          <w:sz w:val="16"/>
          <w:szCs w:val="16"/>
          <w:b w:val="1"/>
          <w:bCs w:val="1"/>
          <w:i w:val="1"/>
          <w:iCs w:val="1"/>
          <w:u w:val="single" w:color="auto"/>
          <w:color w:val="auto"/>
        </w:rPr>
        <w:t>GasLog Glasgow</w:t>
      </w:r>
    </w:p>
    <w:p>
      <w:pPr>
        <w:spacing w:after="0" w:line="239" w:lineRule="exact"/>
        <w:rPr>
          <w:sz w:val="20"/>
          <w:szCs w:val="20"/>
          <w:color w:val="auto"/>
        </w:rPr>
      </w:pPr>
    </w:p>
    <w:p>
      <w:pPr>
        <w:jc w:val="both"/>
        <w:ind w:right="300"/>
        <w:spacing w:after="0" w:line="278" w:lineRule="auto"/>
        <w:rPr>
          <w:sz w:val="20"/>
          <w:szCs w:val="20"/>
          <w:color w:val="auto"/>
        </w:rPr>
      </w:pPr>
      <w:r>
        <w:rPr>
          <w:rFonts w:ascii="Arial" w:cs="Arial" w:eastAsia="Arial" w:hAnsi="Arial"/>
          <w:sz w:val="16"/>
          <w:szCs w:val="16"/>
          <w:color w:val="auto"/>
        </w:rPr>
        <w:t xml:space="preserve">On March 13, 2019, we entered into an agreement with GasLog to acquire 100% of the shares in the entity that owns and charters to Shell the </w:t>
      </w:r>
      <w:r>
        <w:rPr>
          <w:rFonts w:ascii="Arial" w:cs="Arial" w:eastAsia="Arial" w:hAnsi="Arial"/>
          <w:sz w:val="16"/>
          <w:szCs w:val="16"/>
          <w:i w:val="1"/>
          <w:iCs w:val="1"/>
          <w:color w:val="auto"/>
        </w:rPr>
        <w:t>GasLog Glasgow</w:t>
      </w:r>
      <w:r>
        <w:rPr>
          <w:rFonts w:ascii="Arial" w:cs="Arial" w:eastAsia="Arial" w:hAnsi="Arial"/>
          <w:sz w:val="16"/>
          <w:szCs w:val="16"/>
          <w:color w:val="auto"/>
        </w:rPr>
        <w:t>, a 174,000 cubic meter (“cbm”) tri-fuel diesel electric (“TFDE”) LNG carrier built in 2016 and operated by GasLog since delivery. The vessel is currently on a multi-year time charter with Shell through June 2026 and Shell has an option to extend the charter for a period of five years.</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The aggregate purchase price for the acquisition was $214.0 million, which included $1.0 million for positive net working capital balances transferred with the vessel. GasLog Partners financed the acquisition with cash on hand, including proceeds from the 8.500% Series C Cumulative Redeemable Perpetual Fixed to Floating Rate Preference Units (the “Series C Preference Units”) public offering in November 2018, and the assumption of the </w:t>
      </w:r>
      <w:r>
        <w:rPr>
          <w:rFonts w:ascii="Arial" w:cs="Arial" w:eastAsia="Arial" w:hAnsi="Arial"/>
          <w:sz w:val="16"/>
          <w:szCs w:val="16"/>
          <w:i w:val="1"/>
          <w:iCs w:val="1"/>
          <w:color w:val="auto"/>
        </w:rPr>
        <w:t>GasLog Glasgow’s</w:t>
      </w:r>
      <w:r>
        <w:rPr>
          <w:rFonts w:ascii="Arial" w:cs="Arial" w:eastAsia="Arial" w:hAnsi="Arial"/>
          <w:sz w:val="16"/>
          <w:szCs w:val="16"/>
          <w:color w:val="auto"/>
        </w:rPr>
        <w:t xml:space="preserve"> outstanding indebtedness of $134.1 million. The acquisition closed on April 1, 2019.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Debt Refinancing</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 xml:space="preserve">On February 20, 2019, GasLog Partners entered into a credit agreement with Credit Suisse AG, Nordea Bank Abp, filial i Norge and Iyo Bank, Ltd., Singapore Branch, each an original lender and Nordea acting as security agent and trustee for and on behalf of the other finance parties mentioned above, of up to $450.0 million, in order to refinance the existing indebtedness due in November 2019 on five of its vessels. Subsequently, on the same date, the Development Bank of Japan, Inc. entered the facility as lender via transfer certificate. The agreement provides for an amortizing revolving credit facility which can be repaid and redrawn at any time for a period of five years. The total available facility amount will be reduced on a quarterly basis, with a final balloon amount payable concurrently with the last quarterly installment, if any, in February 2024. The vessels covered by the 2019 Partnership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w:t>
      </w:r>
      <w:r>
        <w:rPr>
          <w:rFonts w:ascii="Arial" w:cs="Arial" w:eastAsia="Arial" w:hAnsi="Arial"/>
          <w:sz w:val="16"/>
          <w:szCs w:val="16"/>
          <w:color w:val="auto"/>
        </w:rPr>
        <w:t xml:space="preserve"> </w:t>
      </w:r>
      <w:r>
        <w:rPr>
          <w:rFonts w:ascii="Arial" w:cs="Arial" w:eastAsia="Arial" w:hAnsi="Arial"/>
          <w:sz w:val="16"/>
          <w:szCs w:val="16"/>
          <w:i w:val="1"/>
          <w:iCs w:val="1"/>
          <w:color w:val="auto"/>
        </w:rPr>
        <w:t>Elizabeth</w:t>
      </w:r>
      <w:r>
        <w:rPr>
          <w:rFonts w:ascii="Arial" w:cs="Arial" w:eastAsia="Arial" w:hAnsi="Arial"/>
          <w:sz w:val="16"/>
          <w:szCs w:val="16"/>
          <w:color w:val="auto"/>
        </w:rPr>
        <w:t>. Interest on the 2019 Partnership Facility is payable at a rate of LIBOR plus 2.0%-2.2%, which represents a reduced margin above LIBOR compared to the previous</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w:t>
      </w:r>
    </w:p>
    <w:p>
      <w:pPr>
        <w:spacing w:after="0" w:line="193"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 xml:space="preserve">On March 6, 2019, the Partnership drew down $360.0 million under the 2019 Partnership Facility, out of which $354.4 million was used to refinance the outstanding debt of GAS-three Ltd., GAS-four Ltd., GAS-five Ltd., GAS-sixteen Ltd. and GAS-seventeen Ltd, the respective entities owning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 Repurchase Programme</w:t>
      </w:r>
    </w:p>
    <w:p>
      <w:pPr>
        <w:spacing w:after="0" w:line="239" w:lineRule="exact"/>
        <w:rPr>
          <w:sz w:val="20"/>
          <w:szCs w:val="20"/>
          <w:color w:val="auto"/>
        </w:rPr>
      </w:pPr>
    </w:p>
    <w:p>
      <w:pPr>
        <w:jc w:val="both"/>
        <w:ind w:right="180"/>
        <w:spacing w:after="0" w:line="293" w:lineRule="auto"/>
        <w:rPr>
          <w:sz w:val="20"/>
          <w:szCs w:val="20"/>
          <w:color w:val="auto"/>
        </w:rPr>
      </w:pPr>
      <w:r>
        <w:rPr>
          <w:rFonts w:ascii="Arial" w:cs="Arial" w:eastAsia="Arial" w:hAnsi="Arial"/>
          <w:sz w:val="15"/>
          <w:szCs w:val="15"/>
          <w:color w:val="auto"/>
        </w:rPr>
        <w:t>On January 29, 2019, the board of directors of GasLog Partners authorized a unit repurchase programme of up to $25.0 million covering the period from January 31, 2019 to December 31, 2021. Under the terms of the repurchase programme, we may repurchase common units from time to time, at our discretion, on the open market or in privately negotiated transactions. Any repurchases are subject to market conditions, applicable legal requirements and other considerations. We are not obligated under the repurchase programme to repurchase any specific dollar amount or number of common units, and the repurchase programme may be modified, suspended or discontinued at any time or never utilized. As of April 25, 2019, GasLog Partners has not purchased any common units.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Appointment of COO Designate</w:t>
      </w:r>
    </w:p>
    <w:p>
      <w:pPr>
        <w:spacing w:after="0" w:line="239"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On April 23, 2019, GasLog and GasLog Partners announced that Paolo Enoizi has been appointed as COO Designate with effect from August 2019. Mr Enoizi was most recently Managing Director of Stolt Tankers BV Rotterdam, a subsidiary of Stolt Nielsen Limited (“Stolt Nielsen”), where he was responsible for the operation of over 100 chemical tankers, 200 people ashore and over 4,000 seafarers. His previous roles also included Director of Technical &amp; Innovation and General Manager of Newbuilding &amp; Technical. At Stolt Nielsen, he led major business transformations, integration of company acquisitions and operational improvement initiatives in areas such as process optimization, cost reductions, digitalization and business intelligence. Mr Enoizi will be based in Piraeus, Greece and will initially work alongside our current COO Richard Sadler to ensure a smooth transition of responsibilities.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ATM Common Equity Offering Programme (“ATM Programme”)</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 On February 26, 2019, the size of the ATM Programme was further increased from $144.0 million to $250.0 million.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No issuances of common units were made under the ATM Programme in the first quarter of 2019. Since the commencement of the ATM Programme through March 31, 2019,</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GasLog Partners has issued and received payment for a total of 5,291,304 common units, with cumulative gross proceeds of $123.4 million at a weighted average price of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$23.33 per unit and net proceeds of $121.2 million. In connection with the issuance of common units under the ATM Programme during this period, the Partnership also issued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107,987 general partner units to its general partner. The net proceeds from the issuance of the general partner units were $2.5 million.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Summary</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6"/>
                <w:szCs w:val="16"/>
                <w:b w:val="1"/>
                <w:bCs w:val="1"/>
                <w:color w:val="auto"/>
                <w:w w:val="91"/>
              </w:rPr>
              <w:t>IFRS Common Control Reported Results</w:t>
            </w:r>
            <w:r>
              <w:rPr>
                <w:rFonts w:ascii="Arial" w:cs="Arial" w:eastAsia="Arial" w:hAnsi="Arial"/>
                <w:sz w:val="21"/>
                <w:szCs w:val="21"/>
                <w:b w:val="1"/>
                <w:bCs w:val="1"/>
                <w:color w:val="auto"/>
                <w:w w:val="91"/>
                <w:vertAlign w:val="superscript"/>
              </w:rPr>
              <w:t>(1)</w:t>
            </w:r>
          </w:p>
        </w:tc>
        <w:tc>
          <w:tcPr>
            <w:tcW w:w="1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8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w:t>
            </w:r>
          </w:p>
        </w:tc>
        <w:tc>
          <w:tcPr>
            <w:tcW w:w="386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0"/>
              </w:rPr>
              <w:t>For the three months ended</w:t>
            </w:r>
          </w:p>
        </w:tc>
        <w:tc>
          <w:tcPr>
            <w:tcW w:w="24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 Change from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1280" w:type="dxa"/>
            <w:vAlign w:val="bottom"/>
            <w:tcBorders>
              <w:top w:val="single" w:sz="8" w:color="auto"/>
            </w:tcBorders>
            <w:gridSpan w:val="2"/>
          </w:tcPr>
          <w:p>
            <w:pPr>
              <w:ind w:left="220"/>
              <w:spacing w:after="0" w:line="173" w:lineRule="exact"/>
              <w:rPr>
                <w:sz w:val="20"/>
                <w:szCs w:val="20"/>
                <w:color w:val="auto"/>
              </w:rPr>
            </w:pPr>
            <w:r>
              <w:rPr>
                <w:rFonts w:ascii="Arial" w:cs="Arial" w:eastAsia="Arial" w:hAnsi="Arial"/>
                <w:sz w:val="16"/>
                <w:szCs w:val="16"/>
                <w:b w:val="1"/>
                <w:bCs w:val="1"/>
                <w:color w:val="auto"/>
              </w:rPr>
              <w:t>March 31,</w:t>
            </w:r>
          </w:p>
        </w:tc>
        <w:tc>
          <w:tcPr>
            <w:tcW w:w="1280" w:type="dxa"/>
            <w:vAlign w:val="bottom"/>
            <w:tcBorders>
              <w:top w:val="single" w:sz="8" w:color="auto"/>
            </w:tcBorders>
            <w:gridSpan w:val="2"/>
          </w:tcPr>
          <w:p>
            <w:pPr>
              <w:jc w:val="center"/>
              <w:ind w:right="140"/>
              <w:spacing w:after="0" w:line="173" w:lineRule="exact"/>
              <w:rPr>
                <w:sz w:val="20"/>
                <w:szCs w:val="20"/>
                <w:color w:val="auto"/>
              </w:rPr>
            </w:pPr>
            <w:r>
              <w:rPr>
                <w:rFonts w:ascii="Arial" w:cs="Arial" w:eastAsia="Arial" w:hAnsi="Arial"/>
                <w:sz w:val="16"/>
                <w:szCs w:val="16"/>
                <w:b w:val="1"/>
                <w:bCs w:val="1"/>
                <w:color w:val="auto"/>
                <w:w w:val="90"/>
              </w:rPr>
              <w:t>December 31,</w:t>
            </w:r>
          </w:p>
        </w:tc>
        <w:tc>
          <w:tcPr>
            <w:tcW w:w="11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97"/>
              </w:rPr>
              <w:t>March 31,</w:t>
            </w:r>
          </w:p>
        </w:tc>
        <w:tc>
          <w:tcPr>
            <w:tcW w:w="140" w:type="dxa"/>
            <w:vAlign w:val="bottom"/>
          </w:tcPr>
          <w:p>
            <w:pPr>
              <w:spacing w:after="0"/>
              <w:rPr>
                <w:sz w:val="15"/>
                <w:szCs w:val="15"/>
                <w:color w:val="auto"/>
              </w:rPr>
            </w:pPr>
          </w:p>
        </w:tc>
        <w:tc>
          <w:tcPr>
            <w:tcW w:w="1300" w:type="dxa"/>
            <w:vAlign w:val="bottom"/>
            <w:tcBorders>
              <w:top w:val="single" w:sz="8" w:color="auto"/>
            </w:tcBorders>
            <w:gridSpan w:val="2"/>
          </w:tcPr>
          <w:p>
            <w:pPr>
              <w:jc w:val="right"/>
              <w:ind w:right="360"/>
              <w:spacing w:after="0" w:line="173" w:lineRule="exact"/>
              <w:rPr>
                <w:sz w:val="20"/>
                <w:szCs w:val="20"/>
                <w:color w:val="auto"/>
              </w:rPr>
            </w:pPr>
            <w:r>
              <w:rPr>
                <w:rFonts w:ascii="Arial" w:cs="Arial" w:eastAsia="Arial" w:hAnsi="Arial"/>
                <w:sz w:val="16"/>
                <w:szCs w:val="16"/>
                <w:b w:val="1"/>
                <w:bCs w:val="1"/>
                <w:color w:val="auto"/>
              </w:rPr>
              <w:t>March 31,</w:t>
            </w:r>
          </w:p>
        </w:tc>
        <w:tc>
          <w:tcPr>
            <w:tcW w:w="1140" w:type="dxa"/>
            <w:vAlign w:val="bottom"/>
            <w:tcBorders>
              <w:top w:val="single" w:sz="8" w:color="auto"/>
            </w:tcBorders>
          </w:tcPr>
          <w:p>
            <w:pPr>
              <w:jc w:val="right"/>
              <w:ind w:right="19"/>
              <w:spacing w:after="0" w:line="173" w:lineRule="exact"/>
              <w:rPr>
                <w:sz w:val="20"/>
                <w:szCs w:val="20"/>
                <w:color w:val="auto"/>
              </w:rPr>
            </w:pPr>
            <w:r>
              <w:rPr>
                <w:rFonts w:ascii="Arial" w:cs="Arial" w:eastAsia="Arial" w:hAnsi="Arial"/>
                <w:sz w:val="16"/>
                <w:szCs w:val="16"/>
                <w:b w:val="1"/>
                <w:bCs w:val="1"/>
                <w:color w:val="auto"/>
                <w:w w:val="97"/>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1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dollars</w:t>
            </w:r>
            <w:r>
              <w:rPr>
                <w:rFonts w:ascii="Arial" w:cs="Arial" w:eastAsia="Arial" w:hAnsi="Arial"/>
                <w:sz w:val="16"/>
                <w:szCs w:val="16"/>
                <w:color w:val="auto"/>
              </w:rPr>
              <w:t>)</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E5FF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140" w:type="dxa"/>
            <w:vAlign w:val="bottom"/>
            <w:tcBorders>
              <w:bottom w:val="single" w:sz="8" w:color="E5FF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Borders>
              <w:bottom w:val="single" w:sz="8" w:color="E5FFFF"/>
            </w:tcBorders>
          </w:tcPr>
          <w:p>
            <w:pPr>
              <w:spacing w:after="0"/>
              <w:rPr>
                <w:sz w:val="19"/>
                <w:szCs w:val="19"/>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E5FFFF"/>
            </w:tcBorders>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91,776</w:t>
            </w: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86,847</w:t>
            </w: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6"/>
                <w:szCs w:val="16"/>
                <w:color w:val="auto"/>
              </w:rPr>
              <w:t>Profit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37,292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21,836</w:t>
            </w:r>
          </w:p>
        </w:tc>
        <w:tc>
          <w:tcPr>
            <w:tcW w:w="1160" w:type="dxa"/>
            <w:vAlign w:val="bottom"/>
          </w:tcPr>
          <w:p>
            <w:pPr>
              <w:jc w:val="right"/>
              <w:spacing w:after="0"/>
              <w:rPr>
                <w:sz w:val="20"/>
                <w:szCs w:val="20"/>
                <w:color w:val="auto"/>
              </w:rPr>
            </w:pPr>
            <w:r>
              <w:rPr>
                <w:rFonts w:ascii="Arial" w:cs="Arial" w:eastAsia="Arial" w:hAnsi="Arial"/>
                <w:sz w:val="16"/>
                <w:szCs w:val="16"/>
                <w:color w:val="auto"/>
              </w:rPr>
              <w:t>20,366</w:t>
            </w:r>
          </w:p>
        </w:tc>
        <w:tc>
          <w:tcPr>
            <w:tcW w:w="1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(45%)</w:t>
            </w: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2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31,822</w:t>
            </w:r>
          </w:p>
        </w:tc>
        <w:tc>
          <w:tcPr>
            <w:tcW w:w="12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32,271</w:t>
            </w: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26,961</w:t>
            </w:r>
          </w:p>
        </w:tc>
        <w:tc>
          <w:tcPr>
            <w:tcW w:w="14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(15%)</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180" w:type="dxa"/>
            <w:vAlign w:val="bottom"/>
          </w:tcPr>
          <w:p>
            <w:pPr>
              <w:spacing w:after="0"/>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66,968</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68,662</w:t>
            </w:r>
          </w:p>
        </w:tc>
        <w:tc>
          <w:tcPr>
            <w:tcW w:w="1160" w:type="dxa"/>
            <w:vAlign w:val="bottom"/>
          </w:tcPr>
          <w:p>
            <w:pPr>
              <w:jc w:val="right"/>
              <w:spacing w:after="0"/>
              <w:rPr>
                <w:sz w:val="20"/>
                <w:szCs w:val="20"/>
                <w:color w:val="auto"/>
              </w:rPr>
            </w:pPr>
            <w:r>
              <w:rPr>
                <w:rFonts w:ascii="Arial" w:cs="Arial" w:eastAsia="Arial" w:hAnsi="Arial"/>
                <w:sz w:val="16"/>
                <w:szCs w:val="16"/>
                <w:color w:val="auto"/>
              </w:rPr>
              <w:t>62,901</w:t>
            </w:r>
          </w:p>
        </w:tc>
        <w:tc>
          <w:tcPr>
            <w:tcW w:w="14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“IFRS Common Control Reported Results” represent the results of GasLog Partners in accordance with IFRS. Such results include amounts related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 w:name="page6"/>
    <w:bookmarkEnd w:id="5"/>
    <w:p>
      <w:pPr>
        <w:ind w:left="660" w:right="140"/>
        <w:spacing w:after="0" w:line="238" w:lineRule="auto"/>
        <w:rPr>
          <w:sz w:val="20"/>
          <w:szCs w:val="20"/>
          <w:color w:val="auto"/>
        </w:rPr>
      </w:pPr>
      <w:r>
        <w:rPr>
          <w:rFonts w:ascii="Arial" w:cs="Arial" w:eastAsia="Arial" w:hAnsi="Arial"/>
          <w:sz w:val="14"/>
          <w:szCs w:val="14"/>
          <w:color w:val="auto"/>
        </w:rPr>
        <w:t>vessels currently owned by the Partnership for the periods prior to their respective transfer to GasLog Partners from GasLog, as the transfers of such vessels were accounted for as reorganizations of entities under common control for IFRS accounting purposes. The unaudited condensed consolidated financial statements of the Partnership accompanying this press release are prepared under IFRS on this basis.</w:t>
      </w:r>
    </w:p>
    <w:p>
      <w:pPr>
        <w:spacing w:after="0" w:line="183" w:lineRule="exact"/>
        <w:rPr>
          <w:sz w:val="20"/>
          <w:szCs w:val="20"/>
          <w:color w:val="auto"/>
        </w:rPr>
      </w:pPr>
    </w:p>
    <w:p>
      <w:pPr>
        <w:ind w:left="660" w:right="80" w:hanging="328"/>
        <w:spacing w:after="0" w:line="215" w:lineRule="auto"/>
        <w:tabs>
          <w:tab w:leader="none" w:pos="657"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Adjusted Profit and EBITDA are non-GAAP financial measures. For the definitions and reconciliations of these measures to the most directly comparable financial measure presented in accordance with IFRS, please refer to Exhibit III at the end of this press release.</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There were 1,254 operating days for the quarter ended March 31, 2019 as compared to 1,220 operating days for the quarter ended December 31, 2018 and 1,258 operating days for the quarter ended March 31, 2018.</w:t>
      </w:r>
    </w:p>
    <w:p>
      <w:pPr>
        <w:spacing w:after="0" w:line="172" w:lineRule="exact"/>
        <w:rPr>
          <w:sz w:val="20"/>
          <w:szCs w:val="20"/>
          <w:color w:val="auto"/>
        </w:rPr>
      </w:pPr>
    </w:p>
    <w:p>
      <w:pPr>
        <w:ind w:right="160"/>
        <w:spacing w:after="0" w:line="318" w:lineRule="auto"/>
        <w:rPr>
          <w:sz w:val="20"/>
          <w:szCs w:val="20"/>
          <w:color w:val="auto"/>
        </w:rPr>
      </w:pPr>
      <w:r>
        <w:rPr>
          <w:rFonts w:ascii="Arial" w:cs="Arial" w:eastAsia="Arial" w:hAnsi="Arial"/>
          <w:sz w:val="14"/>
          <w:szCs w:val="14"/>
          <w:color w:val="auto"/>
        </w:rPr>
        <w:t xml:space="preserve">The decrease in profit in the first quarter of 2019 as compared to the same period in 2018 is mainly attributable to a $12.0 million decrease in gain from the mark-to-market valuation of derivatives and a $5.5 million decrease in revenues due to the expirations of the initial time charters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 xml:space="preserve">GasLog Sydney </w:t>
      </w:r>
      <w:r>
        <w:rPr>
          <w:rFonts w:ascii="Arial" w:cs="Arial" w:eastAsia="Arial" w:hAnsi="Arial"/>
          <w:sz w:val="14"/>
          <w:szCs w:val="14"/>
          <w:color w:val="auto"/>
        </w:rPr>
        <w:t>in May, June and September 2018, respectively. Following the expirations of their initial charters, the</w:t>
      </w:r>
      <w:r>
        <w:rPr>
          <w:rFonts w:ascii="Arial" w:cs="Arial" w:eastAsia="Arial" w:hAnsi="Arial"/>
          <w:sz w:val="14"/>
          <w:szCs w:val="14"/>
          <w:i w:val="1"/>
          <w:iCs w:val="1"/>
          <w:color w:val="auto"/>
        </w:rPr>
        <w:t xml:space="preserve"> GasLog Shanghai </w:t>
      </w:r>
      <w:r>
        <w:rPr>
          <w:rFonts w:ascii="Arial" w:cs="Arial" w:eastAsia="Arial" w:hAnsi="Arial"/>
          <w:sz w:val="14"/>
          <w:szCs w:val="14"/>
          <w:color w:val="auto"/>
        </w:rPr>
        <w:t>has been trading in the spot market,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began a new multi-year charter in August 2018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began a new 18-month charter in December 2018. As a result, the average daily hire rate decreased from $72,954 for the three-month period ended March 31, 2018 to $68,840 for the three-month period ended March 31, 2019.</w:t>
      </w:r>
    </w:p>
    <w:p>
      <w:pPr>
        <w:spacing w:after="0" w:line="162" w:lineRule="exact"/>
        <w:rPr>
          <w:sz w:val="20"/>
          <w:szCs w:val="20"/>
          <w:color w:val="auto"/>
        </w:rPr>
      </w:pPr>
    </w:p>
    <w:p>
      <w:pPr>
        <w:jc w:val="both"/>
        <w:ind w:right="340"/>
        <w:spacing w:after="0" w:line="278" w:lineRule="auto"/>
        <w:rPr>
          <w:sz w:val="20"/>
          <w:szCs w:val="20"/>
          <w:color w:val="auto"/>
        </w:rPr>
      </w:pPr>
      <w:r>
        <w:rPr>
          <w:rFonts w:ascii="Arial" w:cs="Arial" w:eastAsia="Arial" w:hAnsi="Arial"/>
          <w:sz w:val="16"/>
          <w:szCs w:val="16"/>
          <w:color w:val="auto"/>
        </w:rPr>
        <w:t>The decrease in profit in the first quarter of 2019 as compared to the fourth quarter of 2018 is mainly attributable to the reduced profits from operations and a write-off of unamortized loan fees of $1.0 million due to the refinancing of existing debt maturities by entering into the 2019 Partnership Facility, partially offset by a decrease of $4.8 million in mark-to-market loss on derivatives.</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 xml:space="preserve">Following the implementation of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on January 1, 2019, the Partnership’s leases on vessels’ equipment are recognized as a right-of-use asset and a corresponding liability on the date when the leased assets are available for use by the Partnership. Each lease payment is allocated between the liability and finance cost. The finance cost is charged to profit or loss over the lease period to produce a constant periodic rate of interest on the remaining balance of the liability for each period. The right-of-use asset is depreciated over the shorter of the asset’s useful life and the lease term on a straight-line basis. Historically, the respective expenses were included in Vessel operating costs ($0.2 million and $0.1 million for the three months ended March 31, 2018 and December 31, 2018,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w w:val="90"/>
              </w:rPr>
              <w:t>Partnership Performance Results</w:t>
            </w:r>
            <w:r>
              <w:rPr>
                <w:rFonts w:ascii="Arial" w:cs="Arial" w:eastAsia="Arial" w:hAnsi="Arial"/>
                <w:sz w:val="21"/>
                <w:szCs w:val="21"/>
                <w:b w:val="1"/>
                <w:bCs w:val="1"/>
                <w:color w:val="auto"/>
                <w:w w:val="90"/>
                <w:vertAlign w:val="superscript"/>
              </w:rPr>
              <w:t>(1)</w:t>
            </w:r>
          </w:p>
        </w:tc>
        <w:tc>
          <w:tcPr>
            <w:tcW w:w="11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4"/>
        </w:trPr>
        <w:tc>
          <w:tcPr>
            <w:tcW w:w="4200" w:type="dxa"/>
            <w:vAlign w:val="bottom"/>
          </w:tcPr>
          <w:p>
            <w:pPr>
              <w:spacing w:after="0"/>
              <w:rPr>
                <w:sz w:val="17"/>
                <w:szCs w:val="17"/>
                <w:color w:val="auto"/>
              </w:rPr>
            </w:pPr>
          </w:p>
        </w:tc>
        <w:tc>
          <w:tcPr>
            <w:tcW w:w="388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0"/>
              </w:rPr>
              <w:t>For the three months ended</w:t>
            </w:r>
          </w:p>
        </w:tc>
        <w:tc>
          <w:tcPr>
            <w:tcW w:w="242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 Change from</w:t>
            </w:r>
          </w:p>
        </w:tc>
        <w:tc>
          <w:tcPr>
            <w:tcW w:w="60" w:type="dxa"/>
            <w:vAlign w:val="bottom"/>
          </w:tcPr>
          <w:p>
            <w:pPr>
              <w:spacing w:after="0"/>
              <w:rPr>
                <w:sz w:val="17"/>
                <w:szCs w:val="17"/>
                <w:color w:val="auto"/>
              </w:rPr>
            </w:pPr>
          </w:p>
        </w:tc>
      </w:tr>
      <w:tr>
        <w:trPr>
          <w:trHeight w:val="178"/>
        </w:trPr>
        <w:tc>
          <w:tcPr>
            <w:tcW w:w="4200" w:type="dxa"/>
            <w:vAlign w:val="bottom"/>
          </w:tcPr>
          <w:p>
            <w:pPr>
              <w:spacing w:after="0" w:line="178"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w:t>
            </w:r>
          </w:p>
        </w:tc>
        <w:tc>
          <w:tcPr>
            <w:tcW w:w="1300" w:type="dxa"/>
            <w:vAlign w:val="bottom"/>
            <w:tcBorders>
              <w:top w:val="single" w:sz="8" w:color="auto"/>
            </w:tcBorders>
            <w:gridSpan w:val="2"/>
          </w:tcPr>
          <w:p>
            <w:pPr>
              <w:ind w:left="220"/>
              <w:spacing w:after="0" w:line="178" w:lineRule="exact"/>
              <w:rPr>
                <w:sz w:val="20"/>
                <w:szCs w:val="20"/>
                <w:color w:val="auto"/>
              </w:rPr>
            </w:pPr>
            <w:r>
              <w:rPr>
                <w:rFonts w:ascii="Arial" w:cs="Arial" w:eastAsia="Arial" w:hAnsi="Arial"/>
                <w:sz w:val="16"/>
                <w:szCs w:val="16"/>
                <w:b w:val="1"/>
                <w:bCs w:val="1"/>
                <w:color w:val="auto"/>
              </w:rPr>
              <w:t>March 31,</w:t>
            </w:r>
          </w:p>
        </w:tc>
        <w:tc>
          <w:tcPr>
            <w:tcW w:w="1300" w:type="dxa"/>
            <w:vAlign w:val="bottom"/>
            <w:tcBorders>
              <w:top w:val="single" w:sz="8" w:color="auto"/>
            </w:tcBorders>
            <w:gridSpan w:val="2"/>
          </w:tcPr>
          <w:p>
            <w:pPr>
              <w:jc w:val="center"/>
              <w:ind w:right="160"/>
              <w:spacing w:after="0" w:line="178" w:lineRule="exact"/>
              <w:rPr>
                <w:sz w:val="20"/>
                <w:szCs w:val="20"/>
                <w:color w:val="auto"/>
              </w:rPr>
            </w:pPr>
            <w:r>
              <w:rPr>
                <w:rFonts w:ascii="Arial" w:cs="Arial" w:eastAsia="Arial" w:hAnsi="Arial"/>
                <w:sz w:val="16"/>
                <w:szCs w:val="16"/>
                <w:b w:val="1"/>
                <w:bCs w:val="1"/>
                <w:color w:val="auto"/>
                <w:w w:val="90"/>
              </w:rPr>
              <w:t>December 31,</w:t>
            </w:r>
          </w:p>
        </w:tc>
        <w:tc>
          <w:tcPr>
            <w:tcW w:w="114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4"/>
              </w:rPr>
              <w:t>March 31,</w:t>
            </w:r>
          </w:p>
        </w:tc>
        <w:tc>
          <w:tcPr>
            <w:tcW w:w="14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360"/>
              <w:spacing w:after="0" w:line="178" w:lineRule="exact"/>
              <w:rPr>
                <w:sz w:val="20"/>
                <w:szCs w:val="20"/>
                <w:color w:val="auto"/>
              </w:rPr>
            </w:pPr>
            <w:r>
              <w:rPr>
                <w:rFonts w:ascii="Arial" w:cs="Arial" w:eastAsia="Arial" w:hAnsi="Arial"/>
                <w:sz w:val="16"/>
                <w:szCs w:val="16"/>
                <w:b w:val="1"/>
                <w:bCs w:val="1"/>
                <w:color w:val="auto"/>
              </w:rPr>
              <w:t>March 31,</w:t>
            </w:r>
          </w:p>
        </w:tc>
        <w:tc>
          <w:tcPr>
            <w:tcW w:w="1140" w:type="dxa"/>
            <w:vAlign w:val="bottom"/>
            <w:tcBorders>
              <w:top w:val="single" w:sz="8" w:color="auto"/>
            </w:tcBorders>
          </w:tcPr>
          <w:p>
            <w:pPr>
              <w:jc w:val="right"/>
              <w:ind w:right="19"/>
              <w:spacing w:after="0" w:line="178" w:lineRule="exact"/>
              <w:rPr>
                <w:sz w:val="20"/>
                <w:szCs w:val="20"/>
                <w:color w:val="auto"/>
              </w:rPr>
            </w:pPr>
            <w:r>
              <w:rPr>
                <w:rFonts w:ascii="Arial" w:cs="Arial" w:eastAsia="Arial" w:hAnsi="Arial"/>
                <w:sz w:val="16"/>
                <w:szCs w:val="16"/>
                <w:b w:val="1"/>
                <w:bCs w:val="1"/>
                <w:color w:val="auto"/>
                <w:w w:val="97"/>
              </w:rPr>
              <w:t>December 31,</w:t>
            </w:r>
          </w:p>
        </w:tc>
        <w:tc>
          <w:tcPr>
            <w:tcW w:w="60" w:type="dxa"/>
            <w:vAlign w:val="bottom"/>
          </w:tcPr>
          <w:p>
            <w:pPr>
              <w:spacing w:after="0"/>
              <w:rPr>
                <w:sz w:val="15"/>
                <w:szCs w:val="15"/>
                <w:color w:val="auto"/>
              </w:rPr>
            </w:pPr>
          </w:p>
        </w:tc>
      </w:tr>
      <w:tr>
        <w:trPr>
          <w:trHeight w:val="220"/>
        </w:trPr>
        <w:tc>
          <w:tcPr>
            <w:tcW w:w="42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dollars</w:t>
            </w:r>
            <w:r>
              <w:rPr>
                <w:rFonts w:ascii="Arial" w:cs="Arial" w:eastAsia="Arial" w:hAnsi="Arial"/>
                <w:sz w:val="16"/>
                <w:szCs w:val="16"/>
                <w:color w:val="auto"/>
              </w:rPr>
              <w:t>)</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E5FF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Borders>
              <w:bottom w:val="single" w:sz="8" w:color="E5FF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Borders>
              <w:bottom w:val="single" w:sz="8" w:color="E5FFFF"/>
            </w:tcBorders>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E5FFFF"/>
            </w:tcBorders>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9"/>
                <w:szCs w:val="19"/>
                <w:color w:val="auto"/>
              </w:rPr>
            </w:pPr>
          </w:p>
        </w:tc>
      </w:tr>
      <w:tr>
        <w:trPr>
          <w:trHeight w:val="202"/>
        </w:trPr>
        <w:tc>
          <w:tcPr>
            <w:tcW w:w="420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77,061</w:t>
            </w:r>
          </w:p>
        </w:tc>
        <w:tc>
          <w:tcPr>
            <w:tcW w:w="16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83,134</w:t>
            </w: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color w:val="auto"/>
              </w:rPr>
              <w:t>Profit</w:t>
            </w:r>
          </w:p>
        </w:tc>
        <w:tc>
          <w:tcPr>
            <w:tcW w:w="1140" w:type="dxa"/>
            <w:vAlign w:val="bottom"/>
          </w:tcPr>
          <w:p>
            <w:pPr>
              <w:jc w:val="right"/>
              <w:spacing w:after="0"/>
              <w:rPr>
                <w:sz w:val="20"/>
                <w:szCs w:val="20"/>
                <w:color w:val="auto"/>
              </w:rPr>
            </w:pPr>
            <w:r>
              <w:rPr>
                <w:rFonts w:ascii="Arial" w:cs="Arial" w:eastAsia="Arial" w:hAnsi="Arial"/>
                <w:sz w:val="16"/>
                <w:szCs w:val="16"/>
                <w:color w:val="auto"/>
              </w:rPr>
              <w:t>32,002</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20,424</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20,366</w:t>
            </w:r>
          </w:p>
        </w:tc>
        <w:tc>
          <w:tcPr>
            <w:tcW w:w="14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(36%)</w:t>
            </w: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60" w:type="dxa"/>
            <w:vAlign w:val="bottom"/>
          </w:tcPr>
          <w:p>
            <w:pPr>
              <w:spacing w:after="0"/>
              <w:rPr>
                <w:sz w:val="17"/>
                <w:szCs w:val="17"/>
                <w:color w:val="auto"/>
              </w:rPr>
            </w:pPr>
          </w:p>
        </w:tc>
      </w:tr>
      <w:tr>
        <w:trPr>
          <w:trHeight w:val="203"/>
        </w:trPr>
        <w:tc>
          <w:tcPr>
            <w:tcW w:w="420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26,532</w:t>
            </w:r>
          </w:p>
        </w:tc>
        <w:tc>
          <w:tcPr>
            <w:tcW w:w="16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30,859</w:t>
            </w: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26,961</w:t>
            </w:r>
          </w:p>
        </w:tc>
        <w:tc>
          <w:tcPr>
            <w:tcW w:w="140" w:type="dxa"/>
            <w:vAlign w:val="bottom"/>
            <w:shd w:val="clear" w:color="auto" w:fill="E5FFFF"/>
          </w:tcPr>
          <w:p>
            <w:pPr>
              <w:spacing w:after="0"/>
              <w:rPr>
                <w:sz w:val="17"/>
                <w:szCs w:val="17"/>
                <w:color w:val="auto"/>
              </w:rPr>
            </w:pPr>
          </w:p>
        </w:tc>
        <w:tc>
          <w:tcPr>
            <w:tcW w:w="12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2%</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7"/>
                <w:szCs w:val="17"/>
                <w:color w:val="auto"/>
              </w:rPr>
            </w:pPr>
          </w:p>
        </w:tc>
      </w:tr>
      <w:tr>
        <w:trPr>
          <w:trHeight w:val="203"/>
        </w:trPr>
        <w:tc>
          <w:tcPr>
            <w:tcW w:w="4200" w:type="dxa"/>
            <w:vAlign w:val="bottom"/>
          </w:tcPr>
          <w:p>
            <w:pPr>
              <w:spacing w:after="0" w:line="203"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6"/>
                <w:szCs w:val="16"/>
                <w:color w:val="auto"/>
              </w:rPr>
              <w:t>55,830</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65,716</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62,901</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r>
      <w:tr>
        <w:trPr>
          <w:trHeight w:val="203"/>
        </w:trPr>
        <w:tc>
          <w:tcPr>
            <w:tcW w:w="420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Distributable cash flow</w:t>
            </w:r>
            <w:r>
              <w:rPr>
                <w:rFonts w:ascii="Arial" w:cs="Arial" w:eastAsia="Arial" w:hAnsi="Arial"/>
                <w:sz w:val="21"/>
                <w:szCs w:val="21"/>
                <w:color w:val="auto"/>
                <w:vertAlign w:val="superscript"/>
              </w:rPr>
              <w:t>(2)</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27,462</w:t>
            </w:r>
          </w:p>
        </w:tc>
        <w:tc>
          <w:tcPr>
            <w:tcW w:w="16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31,401</w:t>
            </w: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27,608</w:t>
            </w:r>
          </w:p>
        </w:tc>
        <w:tc>
          <w:tcPr>
            <w:tcW w:w="140" w:type="dxa"/>
            <w:vAlign w:val="bottom"/>
            <w:shd w:val="clear" w:color="auto" w:fill="E5FFFF"/>
          </w:tcPr>
          <w:p>
            <w:pPr>
              <w:spacing w:after="0"/>
              <w:rPr>
                <w:sz w:val="17"/>
                <w:szCs w:val="17"/>
                <w:color w:val="auto"/>
              </w:rPr>
            </w:pPr>
          </w:p>
        </w:tc>
        <w:tc>
          <w:tcPr>
            <w:tcW w:w="12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7"/>
                <w:szCs w:val="17"/>
                <w:color w:val="auto"/>
              </w:rPr>
            </w:pPr>
          </w:p>
        </w:tc>
      </w:tr>
      <w:tr>
        <w:trPr>
          <w:trHeight w:val="206"/>
        </w:trPr>
        <w:tc>
          <w:tcPr>
            <w:tcW w:w="4200" w:type="dxa"/>
            <w:vAlign w:val="bottom"/>
          </w:tcPr>
          <w:p>
            <w:pPr>
              <w:spacing w:after="0"/>
              <w:rPr>
                <w:sz w:val="20"/>
                <w:szCs w:val="20"/>
                <w:color w:val="auto"/>
              </w:rPr>
            </w:pPr>
            <w:r>
              <w:rPr>
                <w:rFonts w:ascii="Arial" w:cs="Arial" w:eastAsia="Arial" w:hAnsi="Arial"/>
                <w:sz w:val="16"/>
                <w:szCs w:val="16"/>
                <w:color w:val="auto"/>
              </w:rPr>
              <w:t>Cash distributions declared</w:t>
            </w:r>
          </w:p>
        </w:tc>
        <w:tc>
          <w:tcPr>
            <w:tcW w:w="1140" w:type="dxa"/>
            <w:vAlign w:val="bottom"/>
          </w:tcPr>
          <w:p>
            <w:pPr>
              <w:jc w:val="right"/>
              <w:spacing w:after="0"/>
              <w:rPr>
                <w:sz w:val="20"/>
                <w:szCs w:val="20"/>
                <w:color w:val="auto"/>
              </w:rPr>
            </w:pPr>
            <w:r>
              <w:rPr>
                <w:rFonts w:ascii="Arial" w:cs="Arial" w:eastAsia="Arial" w:hAnsi="Arial"/>
                <w:sz w:val="16"/>
                <w:szCs w:val="16"/>
                <w:color w:val="auto"/>
              </w:rPr>
              <w:t>24,272</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26,929</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26,929</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7"/>
                <w:szCs w:val="17"/>
                <w:color w:val="auto"/>
              </w:rPr>
            </w:pPr>
          </w:p>
        </w:tc>
      </w:tr>
    </w:tbl>
    <w:p>
      <w:pPr>
        <w:spacing w:after="0" w:line="288" w:lineRule="exact"/>
        <w:rPr>
          <w:sz w:val="20"/>
          <w:szCs w:val="20"/>
          <w:color w:val="auto"/>
        </w:rPr>
      </w:pPr>
    </w:p>
    <w:p>
      <w:pPr>
        <w:ind w:left="660" w:right="20" w:hanging="328"/>
        <w:spacing w:after="0" w:line="238" w:lineRule="auto"/>
        <w:tabs>
          <w:tab w:leader="none" w:pos="657"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transfers of the vessel owning entities by GasLog to the Partnership represent reorganizations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transfers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the definitions and reconciliations of these measurements to the most directly comparable financial measures presented in accordance with IFRS, please refer to Exhibit II at the end of this press release.</w:t>
      </w:r>
    </w:p>
    <w:p>
      <w:pPr>
        <w:spacing w:after="0" w:line="103" w:lineRule="exact"/>
        <w:rPr>
          <w:rFonts w:ascii="Arial" w:cs="Arial" w:eastAsia="Arial" w:hAnsi="Arial"/>
          <w:sz w:val="16"/>
          <w:szCs w:val="16"/>
          <w:color w:val="auto"/>
          <w:vertAlign w:val="superscript"/>
        </w:rPr>
      </w:pPr>
    </w:p>
    <w:p>
      <w:pPr>
        <w:ind w:left="660" w:right="160" w:hanging="328"/>
        <w:spacing w:after="0" w:line="217" w:lineRule="auto"/>
        <w:tabs>
          <w:tab w:leader="none" w:pos="657"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III at the end of this press release.</w:t>
      </w:r>
    </w:p>
    <w:p>
      <w:pPr>
        <w:spacing w:after="0" w:line="192"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 xml:space="preserve">With respect to the Partnership Performance Results, there were 1,254 operating days for the quarter ended March 31, 2019 compared to 1,175 operating days for the quarter ended December 31, 2018 and 1,078 operating days for the quarter ended March 31, 2018. The increase in operating days is mainly attributable to the vessel drop-downs during 2018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April 26, 2018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on November 14, 2018).</w:t>
      </w:r>
    </w:p>
    <w:p>
      <w:pPr>
        <w:spacing w:after="0" w:line="18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decrease in profit in the first quarter of 2019 as compared to the same period in 2018 is mainly attributable to a $12.0 million decrease in gain from the mark-to-market valuation of the derivatives attributable to the Partnership which were carried at fair value through profit or loss.</w:t>
      </w:r>
    </w:p>
    <w:p>
      <w:pPr>
        <w:spacing w:after="0" w:line="17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decrease in profit in the first quarter of 2019 as compared to the fourth quarter of 2018 was minimal, as the reduced profits from operations and a write-off of unamortized loan fees of $1.0 million due to the refinancing of existing debt maturities by entering into the 2019 Partnership Facility were almost entirely offset by the decrease of $4.8 million in mark-to-market loss on derivatives and the incremental profit of a full quarter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 xml:space="preserve">contribution from the drop-down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252"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On February 22, 2019,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Series C Preference Units of $0.7083 per preference unit. The cash distributions were paid on March 15, 2019 to all unitholders of record as of March 8, 2019.</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3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On April 24, 2019, the board of directors of GasLog Partners approved and declared a quarterly cash distribution of $0.55 per common unit for the quarter ended March 31, 2019. The cash distribution is payable on May 10, 2019 to all unitholders of record as of May 6,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Financing</w:t>
      </w:r>
    </w:p>
    <w:p>
      <w:pPr>
        <w:spacing w:after="0" w:line="23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As of March 31, 2019, we had $101.4 million of cash and cash equivalents, of which $45.6 million was held in current accounts and $55.8 million was held in time deposits with an original duration of less than three months. An amount of $5.0 million of time deposits with an original duration greater than three months was classified as short-term investments.</w:t>
      </w:r>
    </w:p>
    <w:p>
      <w:pPr>
        <w:spacing w:after="0" w:line="184"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On March 6, 2019, the respective subsidiaries of GasLog Partners drew down $360.0 million under the 2019 Partnership Facility and prepaid in full their aggregate outstanding debt of $354.5 million, which would have been due in November 2019.</w:t>
      </w:r>
    </w:p>
    <w:p>
      <w:pPr>
        <w:spacing w:after="0" w:line="17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March 31, 2019, we had an aggregate of $1,207.0 million of indebtedness outstanding under our credit facilities, of which $70.7 million is repayable within one year. In addition, as of March 31, 2019, we had unused availability under our revolving credit facilities of $145.9 million.</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On April 1, 2019, in connection with the acquisition of GAS-twelve Ltd., the entity that owns the </w:t>
      </w:r>
      <w:r>
        <w:rPr>
          <w:rFonts w:ascii="Arial" w:cs="Arial" w:eastAsia="Arial" w:hAnsi="Arial"/>
          <w:sz w:val="16"/>
          <w:szCs w:val="16"/>
          <w:i w:val="1"/>
          <w:iCs w:val="1"/>
          <w:color w:val="auto"/>
        </w:rPr>
        <w:t>GasLog Glasgow</w:t>
      </w:r>
      <w:r>
        <w:rPr>
          <w:rFonts w:ascii="Arial" w:cs="Arial" w:eastAsia="Arial" w:hAnsi="Arial"/>
          <w:sz w:val="16"/>
          <w:szCs w:val="16"/>
          <w:color w:val="auto"/>
        </w:rPr>
        <w:t>, the Partnership paid GasLog $93.9 million representing the difference between the $214.0 million aggregate purchase price and the $134.1 million of outstanding indebtedness of the acquired entity assumed by GasLog Partners plus an adjustment of $14.0 million in order to maintain the agreed working capital position in the acquired entity of $1.0 million.</w:t>
      </w:r>
    </w:p>
    <w:p>
      <w:pPr>
        <w:spacing w:after="0" w:line="184"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The Partnership has entered into six interest rate swap agreements with GasLog at a notional value of $625.0 million in aggregate, maturing between 2020 and 2024. As a result of its hedging agreements, the Partnership has hedged 51.0% of its floating interest rate exposure on its outstanding debt as of March 31, 2019, at a weighted average interest rate of approximately 2.1% (excluding margin).</w:t>
      </w:r>
    </w:p>
    <w:p>
      <w:pPr>
        <w:spacing w:after="0" w:line="18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Furthermore, the Partnership has in place six forward foreign exchange contracts with GasLog with a notional value of €12.0 million and staggered maturities during 2019 to mitigate its foreign exchange transaction exposure in its operating expenses.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2019, our current assets totaled $124.9 million and current liabilities totaled $111.9 million, resulting in a positive working capital position of $13.0 million.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Despite LNG demand in the first quarter of 2019 being negatively impacted by warmer than usual weather in the Northern Hemisphere winter, global LNG imports during the period totalled 88 million tonnes (“mt”), compared to 79 mt in the first quarter of 2018, or 11% growth, according to Poten. In particular, China’s LNG imports totalled 15.3 mt, 24% growth over Q1 2018. Europe’s LNG imports in the first quarter more than doubled to 22 mt, compared to 10 mt in Q1 2018, as lower LNG prices made gas fired power generation more competitive than coal, indigenous gas production declined and LNG gained market share from pipeline imports. This more than offset import declines from major North East Asian consumers in Japan, South Korea and Taiwan (10%, 22% and 6% declines year-on-year, respectively), demonstrating the increasingly diverse and broad-based nature of LNG demand growth.</w:t>
      </w:r>
    </w:p>
    <w:p>
      <w:pPr>
        <w:spacing w:after="0" w:line="19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longer-term outlook for natural gas demand continued to strengthen in the first quarter of 2019. Natural gas is increasingly seen as complementary to renewable energy in the transition away from fuels which emit high levels of carbon dioxide and other harmful emissions. LNG is expected to be the fastest growing hydrocarbon supply source. In its recent LNG Outlook 2019, Shell, one of the largest players in the global LNG market, forecasts that natural gas would satisfy 41% of global energy demand growth over the 2018-2035 period, with renewables satisfying 30%. Over this period, Shell forecasts that LNG will be the fastest growing gas supply source, with demand potentially reaching approximately 700 mt in 2035, compared to delivered volumes of 319 mt in 2018.</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According to Wood Mackenzie, global LNG supply totalled 88 mt in the first quarter of 2019, 10% growth on the first quarter of 2018, principally driven by new supply additions in the U.S., Australia and Russia. For 2019, as a whole, supply is estimated by Wood Mackenzie to be 365 mt, or 38 mt (12%) higher than 2018, driven by the continued ramp-up of 2018 supply additions and new project start-ups in the U.S. (Cameron, Freeport, Elba Island and Corpus Christi Train 2) and Australia (Prelude). After a brief lull following the elevated levels of new offtake agreements seen in the second half of 2018, activity has recently picked up again with nine new long-term supply agreements agreed or signed for over 10 mt per annum (“mtpa”), according to Wood Mackenzie. Similarly, the approval process for major new liquefaction projects continues to build momentum, with Wood Mackenzie estimating that, in addition to the Golden Pass project which reached Final Investment Decision (“FID”) in February 2019, 50 mtpa of new capacity should be sanctioned in 2019, encompassing Arctic LNG-2 (Russia), Mozambique Area 1, Calcasieu Pass, Sabine Pass Train 6 (both U.S.) and Woodfibre LNG (Canada). A further 90 mtpa of capacity could also reach FID in 2019 or 2020, including the Qatar Megatrain expansion, Driftwood LNG and Freeport Train 4 (both U.S.), Rovuma LNG (Mozambique), Costa Azul (Mexico) and the expansion of the PNG LNG facilities in Papua New Guinea.</w:t>
      </w:r>
    </w:p>
    <w:p>
      <w:pPr>
        <w:spacing w:after="0" w:line="183"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In contrast to these positive longer-term trends, the first quarter saw relatively weak LNG commodity and shipping markets. A combination of high inventory levels in key North East Asian gas markets ahead of the 2018-2019 winter and relatively mild temperatures during the winter period have led to reduced gas consumption and Asian LNG prices reaching their lowest levels since April 2016. Low LNG prices, particularly in North Asia, have reduced the incentive in recent months to ship LNG cargoes from the Atlantic Basin to the Pacific Basin, reducing tonne miles - a key driver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7" w:name="page8"/>
    <w:bookmarkEnd w:id="7"/>
    <w:p>
      <w:pPr>
        <w:ind w:right="120"/>
        <w:spacing w:after="0" w:line="293" w:lineRule="auto"/>
        <w:rPr>
          <w:sz w:val="20"/>
          <w:szCs w:val="20"/>
          <w:color w:val="auto"/>
        </w:rPr>
      </w:pPr>
      <w:r>
        <w:rPr>
          <w:rFonts w:ascii="Arial" w:cs="Arial" w:eastAsia="Arial" w:hAnsi="Arial"/>
          <w:sz w:val="15"/>
          <w:szCs w:val="15"/>
          <w:color w:val="auto"/>
        </w:rPr>
        <w:t>demand for LNG spot shipping. Furthermore, front-end weighting of 2019 LNG carrier newbuilding deliveries and unscheduled downtime at facilities in Australia and Malaysia all added to prompt shipping availability. Poten estimates that the number of monthly LNG cargo imports declined by 19% between December 2018 and February 2019, compared to an 11% decline between December 2017 and February 2018. There were 57 spot fixtures in the first quarter of 2019, a 19% decrease on the 70 spot fixtures in the same period in 2018. Independent shipowners accounted for 47% of spot fixtures in the first quarter, down from 51% in the same period in 2018, while the average duration of a spot fixture in the first quarter was broadly unchanged year-on-year at 28 days (29 days in the first quarter of 2018).</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As a result of these trends in the first quarter, there was ample prompt vessel availability against a backdrop of weaker than expected demand due to warmer than normal winter temperatures. This in turn impacted headline spot LNG shipping rates, fleet utilization, positioning fees and ballast bonuses leading to a marked decline in spot vessel earnings in the first quarter of 2019 relative to the fourth quarter of 2018. TFDE headline rates, as reported by Clarksons, averaged $60,000 per day in the first quarter of 2019, compared to $68,000 per day in the first quarter of 2018 and $150,000 per day in the fourth quarter of 2018. Headline TFDE spot rates are currently assessed at $34,000 per day, with rates having stabilized in recent weeks as charterers look to capitalize on the recent fall in rates to lock in shipping capacity for the remainder of 2019 and into 2020. We expect that prompt vessel availability will decline throughout 2019 and 2020 given the significant forecasted LNG supply additions outlined above. As a result, we expect spot shipping rates to rise from current levels, with the magnitude and duration of that recovery dependent on several factors, particularly the pace and location of demand growth and cooling and heating demand during the Northern Hemisphere summer and winter respectively.</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According to Poten, as of April 17, 2019, the LNG fleet and orderbook (excluding floating storage and regasification units (“FSRUs”) and vessels with capacity below 100,000 cbm) stood at 491 and 110 vessels respectively. Of the LNG carriers in the orderbook, 67, or 61%, are chartered on long-term contracts. 14 vessels were ordered in the first quarter of 2019, compared to 17 and 20 vessels in the first quarter of 2018 and the fourth quarter of 2018, respectively. These figures provide early indications that newbuild ordering may be slowing somewhat compared to newbuild ordering in 2018. This is a positive development which we believe is necessary to avoid an overbuilt market in 2021 and 2022, a period when LNG supply additions are forecast to slow before increasing again in 2023 and 2024.</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GasLog Partners will host a conference call to discuss its results for the first quarter of 2019 at 8:30 a.m. EDT (1:30 p.m. BST) on Thursday, April 25, 2019. Andrew Orekar, Chief Executive Officer, and Alastair Maxwell, Chief Financial Officer, will review the Partnership’s operational and financial performance for the period. Management’s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3011 4522 (Hong Kong)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8374838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 live webcast of the conference call will also be available on the Investor Relations page of the Partnership’s website at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http://www.gaslogmlp.com/investor-relations</w:t>
      </w:r>
      <w:r>
        <w:rPr>
          <w:rFonts w:ascii="Arial" w:cs="Arial" w:eastAsia="Arial" w:hAnsi="Arial"/>
          <w:sz w:val="16"/>
          <w:szCs w:val="16"/>
          <w:color w:val="000000"/>
        </w:rPr>
        <w:t>.</w:t>
      </w:r>
    </w:p>
    <w:p>
      <w:pPr>
        <w:spacing w:after="0" w:line="231" w:lineRule="exact"/>
        <w:rPr>
          <w:sz w:val="20"/>
          <w:szCs w:val="20"/>
          <w:color w:val="auto"/>
        </w:rPr>
      </w:pPr>
    </w:p>
    <w:p>
      <w:pPr>
        <w:ind w:right="1320"/>
        <w:spacing w:after="0" w:line="293" w:lineRule="auto"/>
        <w:rPr>
          <w:sz w:val="20"/>
          <w:szCs w:val="20"/>
          <w:color w:val="auto"/>
        </w:rPr>
      </w:pPr>
      <w:r>
        <w:rPr>
          <w:rFonts w:ascii="Arial" w:cs="Arial" w:eastAsia="Arial" w:hAnsi="Arial"/>
          <w:sz w:val="16"/>
          <w:szCs w:val="16"/>
          <w:color w:val="auto"/>
        </w:rPr>
        <w:t xml:space="preserve">For those unable to participate in the conference call, a replay of the webcast will be available on the Investor Relations page of the Partnership’s website at </w:t>
      </w:r>
      <w:r>
        <w:rPr>
          <w:rFonts w:ascii="Arial" w:cs="Arial" w:eastAsia="Arial" w:hAnsi="Arial"/>
          <w:sz w:val="16"/>
          <w:szCs w:val="16"/>
          <w:u w:val="single" w:color="auto"/>
          <w:color w:val="0000FF"/>
        </w:rPr>
        <w:t>http://www.gaslogmlp.com/investor-relations</w:t>
      </w:r>
      <w:r>
        <w:rPr>
          <w:rFonts w:ascii="Arial" w:cs="Arial" w:eastAsia="Arial" w:hAnsi="Arial"/>
          <w:sz w:val="16"/>
          <w:szCs w:val="16"/>
          <w:color w:val="000000"/>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39"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39"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100" w:hanging="328"/>
        <w:spacing w:after="0" w:line="266"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charter hire rates and vessel values;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secure new multi-year charters at economically attractive rates;</w:t>
      </w:r>
    </w:p>
    <w:p>
      <w:pPr>
        <w:spacing w:after="0" w:line="18" w:lineRule="exact"/>
        <w:rPr>
          <w:rFonts w:ascii="Arial" w:cs="Arial" w:eastAsia="Arial" w:hAnsi="Arial"/>
          <w:sz w:val="16"/>
          <w:szCs w:val="16"/>
          <w:color w:val="auto"/>
        </w:rPr>
      </w:pPr>
    </w:p>
    <w:p>
      <w:pPr>
        <w:ind w:left="660" w:right="180" w:hanging="328"/>
        <w:spacing w:after="0" w:line="281" w:lineRule="auto"/>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5"/>
          <w:szCs w:val="15"/>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exchange rates, especially the U.S. dollar and Euro;</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leverage GasLog’s relationships and reputation in the shipping industry;</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18" w:lineRule="exact"/>
        <w:rPr>
          <w:rFonts w:ascii="Arial" w:cs="Arial" w:eastAsia="Arial" w:hAnsi="Arial"/>
          <w:sz w:val="16"/>
          <w:szCs w:val="16"/>
          <w:color w:val="auto"/>
        </w:rPr>
      </w:pPr>
    </w:p>
    <w:p>
      <w:pPr>
        <w:ind w:left="660" w:right="300" w:hanging="328"/>
        <w:spacing w:after="0" w:line="264"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future operating performance, financial condition, liquidity and cash available for distributions;</w:t>
      </w:r>
    </w:p>
    <w:p>
      <w:pPr>
        <w:spacing w:after="0" w:line="18" w:lineRule="exact"/>
        <w:rPr>
          <w:rFonts w:ascii="Arial" w:cs="Arial" w:eastAsia="Arial" w:hAnsi="Arial"/>
          <w:sz w:val="16"/>
          <w:szCs w:val="16"/>
          <w:color w:val="auto"/>
        </w:rPr>
      </w:pPr>
    </w:p>
    <w:p>
      <w:pPr>
        <w:ind w:left="660" w:right="140" w:hanging="328"/>
        <w:spacing w:after="0" w:line="264"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30" w:lineRule="exact"/>
        <w:rPr>
          <w:rFonts w:ascii="Arial" w:cs="Arial" w:eastAsia="Arial" w:hAnsi="Arial"/>
          <w:sz w:val="15"/>
          <w:szCs w:val="15"/>
          <w:color w:val="auto"/>
        </w:rPr>
      </w:pPr>
    </w:p>
    <w:p>
      <w:pPr>
        <w:ind w:left="660" w:hanging="328"/>
        <w:spacing w:after="0" w:line="264"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political events, piracy or acts by terrorists;</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 liability from future litigation; and</w:t>
      </w:r>
    </w:p>
    <w:p>
      <w:pPr>
        <w:spacing w:after="0" w:line="18"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Partnership’s Annual Report on Form 20-F filed with the SEC on February 26, 2019,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42"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Phil Corbett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+44-203-388-3116</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Deputy 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ir@gaslogmlp.com</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6"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 IFRS Common Control Reported Results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b w:val="1"/>
                <w:bCs w:val="1"/>
                <w:color w:val="auto"/>
              </w:rPr>
              <w:t>As of December 31, 2018 and March 31, 2019</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9"/>
        </w:trPr>
        <w:tc>
          <w:tcPr>
            <w:tcW w:w="8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138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5,116</w:t>
            </w:r>
          </w:p>
        </w:tc>
        <w:tc>
          <w:tcPr>
            <w:tcW w:w="1380" w:type="dxa"/>
            <w:vAlign w:val="bottom"/>
          </w:tcPr>
          <w:p>
            <w:pPr>
              <w:jc w:val="right"/>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Vessels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2,315,823</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2,292,183</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Right-of-use assets</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196"/>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2,321,789</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2,296,305</w:t>
            </w:r>
          </w:p>
        </w:tc>
        <w:tc>
          <w:tcPr>
            <w:tcW w:w="0" w:type="dxa"/>
            <w:vAlign w:val="bottom"/>
          </w:tcPr>
          <w:p>
            <w:pPr>
              <w:spacing w:after="0"/>
              <w:rPr>
                <w:sz w:val="1"/>
                <w:szCs w:val="1"/>
                <w:color w:val="auto"/>
              </w:rPr>
            </w:pPr>
          </w:p>
        </w:tc>
      </w:tr>
      <w:tr>
        <w:trPr>
          <w:trHeight w:val="183"/>
        </w:trPr>
        <w:tc>
          <w:tcPr>
            <w:tcW w:w="83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13,484</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8,325</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Inventories</w:t>
            </w:r>
          </w:p>
        </w:tc>
        <w:tc>
          <w:tcPr>
            <w:tcW w:w="1380" w:type="dxa"/>
            <w:vAlign w:val="bottom"/>
          </w:tcPr>
          <w:p>
            <w:pPr>
              <w:jc w:val="right"/>
              <w:spacing w:after="0"/>
              <w:rPr>
                <w:sz w:val="20"/>
                <w:szCs w:val="20"/>
                <w:color w:val="auto"/>
              </w:rPr>
            </w:pPr>
            <w:r>
              <w:rPr>
                <w:rFonts w:ascii="Arial" w:cs="Arial" w:eastAsia="Arial" w:hAnsi="Arial"/>
                <w:sz w:val="16"/>
                <w:szCs w:val="16"/>
                <w:color w:val="auto"/>
              </w:rPr>
              <w:t>3,169</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4,098</w:t>
            </w: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5,281</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380" w:type="dxa"/>
            <w:vAlign w:val="bottom"/>
          </w:tcPr>
          <w:p>
            <w:pPr>
              <w:jc w:val="right"/>
              <w:spacing w:after="0"/>
              <w:rPr>
                <w:sz w:val="20"/>
                <w:szCs w:val="20"/>
                <w:color w:val="auto"/>
              </w:rPr>
            </w:pPr>
            <w:r>
              <w:rPr>
                <w:rFonts w:ascii="Arial" w:cs="Arial" w:eastAsia="Arial" w:hAnsi="Arial"/>
                <w:sz w:val="16"/>
                <w:szCs w:val="16"/>
                <w:color w:val="auto"/>
              </w:rPr>
              <w:t>1,175</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4,615</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3,640</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Short-term investments</w:t>
            </w:r>
          </w:p>
        </w:tc>
        <w:tc>
          <w:tcPr>
            <w:tcW w:w="1380" w:type="dxa"/>
            <w:vAlign w:val="bottom"/>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129,125</w:t>
            </w:r>
          </w:p>
        </w:tc>
        <w:tc>
          <w:tcPr>
            <w:tcW w:w="20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101,353</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166,849</w:t>
            </w:r>
          </w:p>
        </w:tc>
        <w:tc>
          <w:tcPr>
            <w:tcW w:w="2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124,938</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2,488,638</w:t>
            </w:r>
          </w:p>
        </w:tc>
        <w:tc>
          <w:tcPr>
            <w:tcW w:w="20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2,421,243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6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13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Common unitholders (45,448,993 units issued and outstanding as of December 31, 2018 and March 31, 2019)</w:t>
            </w:r>
          </w:p>
        </w:tc>
        <w:tc>
          <w:tcPr>
            <w:tcW w:w="1380" w:type="dxa"/>
            <w:vAlign w:val="bottom"/>
          </w:tcPr>
          <w:p>
            <w:pPr>
              <w:jc w:val="right"/>
              <w:spacing w:after="0"/>
              <w:rPr>
                <w:sz w:val="20"/>
                <w:szCs w:val="20"/>
                <w:color w:val="auto"/>
              </w:rPr>
            </w:pPr>
            <w:r>
              <w:rPr>
                <w:rFonts w:ascii="Arial" w:cs="Arial" w:eastAsia="Arial" w:hAnsi="Arial"/>
                <w:sz w:val="16"/>
                <w:szCs w:val="16"/>
                <w:color w:val="auto"/>
              </w:rPr>
              <w:t>812,863</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800,681</w:t>
            </w: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(927,532 units issued and outstanding as of December 31, 2018 and March 31, 2019)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13,289</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13,013</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380" w:type="dxa"/>
            <w:vAlign w:val="bottom"/>
          </w:tcPr>
          <w:p>
            <w:pPr>
              <w:jc w:val="right"/>
              <w:spacing w:after="0"/>
              <w:rPr>
                <w:sz w:val="20"/>
                <w:szCs w:val="20"/>
                <w:color w:val="auto"/>
              </w:rPr>
            </w:pPr>
            <w:r>
              <w:rPr>
                <w:rFonts w:ascii="Arial" w:cs="Arial" w:eastAsia="Arial" w:hAnsi="Arial"/>
                <w:sz w:val="16"/>
                <w:szCs w:val="16"/>
                <w:color w:val="auto"/>
              </w:rPr>
              <w:t>5,176</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3,783</w:t>
            </w:r>
          </w:p>
        </w:tc>
        <w:tc>
          <w:tcPr>
            <w:tcW w:w="0" w:type="dxa"/>
            <w:vAlign w:val="bottom"/>
          </w:tcPr>
          <w:p>
            <w:pPr>
              <w:spacing w:after="0"/>
              <w:rPr>
                <w:sz w:val="1"/>
                <w:szCs w:val="1"/>
                <w:color w:val="auto"/>
              </w:rPr>
            </w:pPr>
          </w:p>
        </w:tc>
      </w:tr>
      <w:tr>
        <w:trPr>
          <w:trHeight w:val="19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w w:val="95"/>
              </w:rPr>
              <w:t>Preference unitholders (5,750,000 Series A Preference Units, 4,600,000 Series B Preference Units and 4,000,000 Series C</w:t>
            </w:r>
          </w:p>
        </w:tc>
        <w:tc>
          <w:tcPr>
            <w:tcW w:w="138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3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Preference Units issued and outstanding as of December 31, 2018 and March 31, 2019)</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348,331</w:t>
            </w:r>
          </w:p>
        </w:tc>
        <w:tc>
          <w:tcPr>
            <w:tcW w:w="200" w:type="dxa"/>
            <w:vAlign w:val="bottom"/>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347,839</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1,179,659</w:t>
            </w:r>
          </w:p>
        </w:tc>
        <w:tc>
          <w:tcPr>
            <w:tcW w:w="2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1,165,316</w:t>
            </w:r>
          </w:p>
        </w:tc>
        <w:tc>
          <w:tcPr>
            <w:tcW w:w="0" w:type="dxa"/>
            <w:vAlign w:val="bottom"/>
          </w:tcPr>
          <w:p>
            <w:pPr>
              <w:spacing w:after="0"/>
              <w:rPr>
                <w:sz w:val="1"/>
                <w:szCs w:val="1"/>
                <w:color w:val="auto"/>
              </w:rPr>
            </w:pPr>
          </w:p>
        </w:tc>
      </w:tr>
      <w:tr>
        <w:trPr>
          <w:trHeight w:val="183"/>
        </w:trPr>
        <w:tc>
          <w:tcPr>
            <w:tcW w:w="83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13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380" w:type="dxa"/>
            <w:vAlign w:val="bottom"/>
          </w:tcPr>
          <w:p>
            <w:pPr>
              <w:jc w:val="right"/>
              <w:spacing w:after="0"/>
              <w:rPr>
                <w:sz w:val="20"/>
                <w:szCs w:val="20"/>
                <w:color w:val="auto"/>
              </w:rPr>
            </w:pPr>
            <w:r>
              <w:rPr>
                <w:rFonts w:ascii="Arial" w:cs="Arial" w:eastAsia="Arial" w:hAnsi="Arial"/>
                <w:sz w:val="16"/>
                <w:szCs w:val="16"/>
                <w:color w:val="auto"/>
              </w:rPr>
              <w:t>7,490</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10,719</w:t>
            </w: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Due to related parties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380" w:type="dxa"/>
            <w:vAlign w:val="bottom"/>
          </w:tcPr>
          <w:p>
            <w:pPr>
              <w:jc w:val="right"/>
              <w:spacing w:after="0"/>
              <w:rPr>
                <w:sz w:val="20"/>
                <w:szCs w:val="20"/>
                <w:color w:val="auto"/>
              </w:rPr>
            </w:pPr>
            <w:r>
              <w:rPr>
                <w:rFonts w:ascii="Arial" w:cs="Arial" w:eastAsia="Arial" w:hAnsi="Arial"/>
                <w:sz w:val="16"/>
                <w:szCs w:val="16"/>
                <w:color w:val="auto"/>
              </w:rPr>
              <w:t>1,253</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57,774</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28,149</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1380" w:type="dxa"/>
            <w:vAlign w:val="bottom"/>
          </w:tcPr>
          <w:p>
            <w:pPr>
              <w:jc w:val="right"/>
              <w:spacing w:after="0"/>
              <w:rPr>
                <w:sz w:val="20"/>
                <w:szCs w:val="20"/>
                <w:color w:val="auto"/>
              </w:rPr>
            </w:pPr>
            <w:r>
              <w:rPr>
                <w:rFonts w:ascii="Arial" w:cs="Arial" w:eastAsia="Arial" w:hAnsi="Arial"/>
                <w:sz w:val="16"/>
                <w:szCs w:val="16"/>
                <w:color w:val="auto"/>
              </w:rPr>
              <w:t>429,437</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70,739</w:t>
            </w: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liabilities—current portion</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497,976</w:t>
            </w:r>
          </w:p>
        </w:tc>
        <w:tc>
          <w:tcPr>
            <w:tcW w:w="20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111,930</w:t>
            </w:r>
          </w:p>
        </w:tc>
        <w:tc>
          <w:tcPr>
            <w:tcW w:w="0" w:type="dxa"/>
            <w:vAlign w:val="bottom"/>
          </w:tcPr>
          <w:p>
            <w:pPr>
              <w:spacing w:after="0"/>
              <w:rPr>
                <w:sz w:val="1"/>
                <w:szCs w:val="1"/>
                <w:color w:val="auto"/>
              </w:rPr>
            </w:pPr>
          </w:p>
        </w:tc>
      </w:tr>
      <w:tr>
        <w:trPr>
          <w:trHeight w:val="183"/>
        </w:trPr>
        <w:tc>
          <w:tcPr>
            <w:tcW w:w="83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13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1380" w:type="dxa"/>
            <w:vAlign w:val="bottom"/>
          </w:tcPr>
          <w:p>
            <w:pPr>
              <w:jc w:val="right"/>
              <w:spacing w:after="0"/>
              <w:rPr>
                <w:sz w:val="20"/>
                <w:szCs w:val="20"/>
                <w:color w:val="auto"/>
              </w:rPr>
            </w:pPr>
            <w:r>
              <w:rPr>
                <w:rFonts w:ascii="Arial" w:cs="Arial" w:eastAsia="Arial" w:hAnsi="Arial"/>
                <w:sz w:val="16"/>
                <w:szCs w:val="16"/>
                <w:color w:val="auto"/>
              </w:rPr>
              <w:t>3,543</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4,966</w:t>
            </w: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805,560</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1,136,292</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03"/>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1,900</w:t>
            </w:r>
          </w:p>
        </w:tc>
        <w:tc>
          <w:tcPr>
            <w:tcW w:w="20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2,065</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811,003</w:t>
            </w:r>
          </w:p>
        </w:tc>
        <w:tc>
          <w:tcPr>
            <w:tcW w:w="2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1,143,997</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2,488,638</w:t>
            </w:r>
          </w:p>
        </w:tc>
        <w:tc>
          <w:tcPr>
            <w:tcW w:w="20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2,421,243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2018 and March 31,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94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March 31, 2018</w:t>
            </w: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91,776</w:t>
            </w:r>
          </w:p>
        </w:tc>
        <w:tc>
          <w:tcPr>
            <w:tcW w:w="1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6"/>
                <w:szCs w:val="16"/>
                <w:color w:val="auto"/>
              </w:rPr>
              <w:t>Net pool allocation</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(1,239)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(18,777)</w:t>
            </w:r>
          </w:p>
        </w:tc>
        <w:tc>
          <w:tcPr>
            <w:tcW w:w="1380" w:type="dxa"/>
            <w:vAlign w:val="bottom"/>
          </w:tcPr>
          <w:p>
            <w:pPr>
              <w:jc w:val="right"/>
              <w:spacing w:after="0"/>
              <w:rPr>
                <w:sz w:val="20"/>
                <w:szCs w:val="20"/>
                <w:color w:val="auto"/>
              </w:rPr>
            </w:pPr>
            <w:r>
              <w:rPr>
                <w:rFonts w:ascii="Arial" w:cs="Arial" w:eastAsia="Arial" w:hAnsi="Arial"/>
                <w:sz w:val="16"/>
                <w:szCs w:val="16"/>
                <w:color w:val="auto"/>
              </w:rPr>
              <w:t>(17,118)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4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(20,089)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(4,792)</w:t>
            </w:r>
          </w:p>
        </w:tc>
        <w:tc>
          <w:tcPr>
            <w:tcW w:w="1380" w:type="dxa"/>
            <w:vAlign w:val="bottom"/>
          </w:tcPr>
          <w:p>
            <w:pPr>
              <w:jc w:val="right"/>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46,879</w:t>
            </w:r>
          </w:p>
        </w:tc>
        <w:tc>
          <w:tcPr>
            <w:tcW w:w="1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8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(16,440)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Gain/(loss) on derivatives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6,327</w:t>
            </w:r>
          </w:p>
        </w:tc>
        <w:tc>
          <w:tcPr>
            <w:tcW w:w="1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(9,587)</w:t>
            </w:r>
          </w:p>
        </w:tc>
        <w:tc>
          <w:tcPr>
            <w:tcW w:w="10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480" w:type="dxa"/>
            <w:vAlign w:val="bottom"/>
            <w:gridSpan w:val="2"/>
          </w:tcPr>
          <w:p>
            <w:pPr>
              <w:spacing w:after="0"/>
              <w:rPr>
                <w:sz w:val="20"/>
                <w:szCs w:val="20"/>
                <w:color w:val="auto"/>
              </w:rPr>
            </w:pPr>
            <w:r>
              <w:rPr>
                <w:rFonts w:ascii="Arial" w:cs="Arial" w:eastAsia="Arial" w:hAnsi="Arial"/>
                <w:sz w:val="16"/>
                <w:szCs w:val="16"/>
                <w:b w:val="1"/>
                <w:bCs w:val="1"/>
                <w:color w:val="auto"/>
              </w:rPr>
              <w:t>Profit for the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37,292</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60" w:type="dxa"/>
            <w:vAlign w:val="bottom"/>
            <w:tcBorders>
              <w:top w:val="single" w:sz="8" w:color="E5FFFF"/>
            </w:tcBorders>
            <w:shd w:val="clear" w:color="auto" w:fill="E5FFFF"/>
          </w:tcPr>
          <w:p>
            <w:pPr>
              <w:spacing w:after="0" w:line="156" w:lineRule="exact"/>
              <w:rPr>
                <w:sz w:val="20"/>
                <w:szCs w:val="20"/>
                <w:color w:val="auto"/>
              </w:rPr>
            </w:pPr>
            <w:r>
              <w:rPr>
                <w:rFonts w:ascii="Arial" w:cs="Arial" w:eastAsia="Arial" w:hAnsi="Arial"/>
                <w:sz w:val="16"/>
                <w:szCs w:val="16"/>
                <w:color w:val="auto"/>
              </w:rPr>
              <w:t>Less:</w:t>
            </w:r>
          </w:p>
        </w:tc>
        <w:tc>
          <w:tcPr>
            <w:tcW w:w="1360" w:type="dxa"/>
            <w:vAlign w:val="bottom"/>
            <w:tcBorders>
              <w:top w:val="single" w:sz="8" w:color="auto"/>
            </w:tcBorders>
            <w:shd w:val="clear" w:color="auto" w:fill="E5FFFF"/>
          </w:tcPr>
          <w:p>
            <w:pPr>
              <w:spacing w:after="0"/>
              <w:rPr>
                <w:sz w:val="13"/>
                <w:szCs w:val="13"/>
                <w:color w:val="auto"/>
              </w:rPr>
            </w:pPr>
          </w:p>
        </w:tc>
        <w:tc>
          <w:tcPr>
            <w:tcW w:w="100" w:type="dxa"/>
            <w:vAlign w:val="bottom"/>
            <w:tcBorders>
              <w:top w:val="single" w:sz="8" w:color="E5FFFF"/>
            </w:tcBorders>
            <w:shd w:val="clear" w:color="auto" w:fill="E5FFFF"/>
          </w:tcPr>
          <w:p>
            <w:pPr>
              <w:spacing w:after="0"/>
              <w:rPr>
                <w:sz w:val="13"/>
                <w:szCs w:val="13"/>
                <w:color w:val="auto"/>
              </w:rPr>
            </w:pPr>
          </w:p>
        </w:tc>
        <w:tc>
          <w:tcPr>
            <w:tcW w:w="1380" w:type="dxa"/>
            <w:vAlign w:val="bottom"/>
            <w:tcBorders>
              <w:top w:val="single" w:sz="8" w:color="auto"/>
            </w:tcBorders>
            <w:shd w:val="clear" w:color="auto" w:fill="E5FF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6"/>
                <w:szCs w:val="16"/>
                <w:color w:val="auto"/>
              </w:rPr>
              <w:t>Profit attributable to GasLog’s operations</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(5,290)</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32,002</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46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24,057</w:t>
            </w:r>
          </w:p>
        </w:tc>
        <w:tc>
          <w:tcPr>
            <w:tcW w:w="1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12,529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6"/>
                <w:szCs w:val="16"/>
                <w:color w:val="auto"/>
              </w:rPr>
              <w:t>General partner units</w:t>
            </w:r>
          </w:p>
        </w:tc>
        <w:tc>
          <w:tcPr>
            <w:tcW w:w="136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Incentive distribution rights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2,368</w:t>
            </w:r>
          </w:p>
        </w:tc>
        <w:tc>
          <w:tcPr>
            <w:tcW w:w="1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6"/>
                <w:szCs w:val="16"/>
                <w:color w:val="auto"/>
              </w:rPr>
              <w:t>Preference units</w:t>
            </w:r>
          </w:p>
        </w:tc>
        <w:tc>
          <w:tcPr>
            <w:tcW w:w="1360" w:type="dxa"/>
            <w:vAlign w:val="bottom"/>
          </w:tcPr>
          <w:p>
            <w:pPr>
              <w:jc w:val="right"/>
              <w:spacing w:after="0"/>
              <w:rPr>
                <w:sz w:val="20"/>
                <w:szCs w:val="20"/>
                <w:color w:val="auto"/>
              </w:rPr>
            </w:pPr>
            <w:r>
              <w:rPr>
                <w:rFonts w:ascii="Arial" w:cs="Arial" w:eastAsia="Arial" w:hAnsi="Arial"/>
                <w:sz w:val="16"/>
                <w:szCs w:val="16"/>
                <w:color w:val="auto"/>
              </w:rPr>
              <w:t>5,038</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for the period (basic and diluted):</w:t>
            </w:r>
          </w:p>
        </w:tc>
        <w:tc>
          <w:tcPr>
            <w:tcW w:w="1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6"/>
                <w:szCs w:val="16"/>
                <w:color w:val="auto"/>
              </w:rPr>
              <w:t>Common unit (basic and diluted)</w:t>
            </w:r>
          </w:p>
        </w:tc>
        <w:tc>
          <w:tcPr>
            <w:tcW w:w="136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2018 and March 31,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3120" w:type="dxa"/>
            <w:vAlign w:val="bottom"/>
            <w:gridSpan w:val="4"/>
          </w:tcPr>
          <w:p>
            <w:pPr>
              <w:ind w:left="5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March 31,</w:t>
            </w:r>
          </w:p>
        </w:tc>
        <w:tc>
          <w:tcPr>
            <w:tcW w:w="1420" w:type="dxa"/>
            <w:vAlign w:val="bottom"/>
            <w:gridSpan w:val="2"/>
          </w:tcPr>
          <w:p>
            <w:pPr>
              <w:ind w:left="3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22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37,292</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color w:val="auto"/>
              </w:rPr>
              <w:t>Adjustments for:</w:t>
            </w: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20,089</w:t>
            </w: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color w:val="auto"/>
              </w:rPr>
              <w:t>Financial costs</w:t>
            </w:r>
          </w:p>
        </w:tc>
        <w:tc>
          <w:tcPr>
            <w:tcW w:w="1380" w:type="dxa"/>
            <w:vAlign w:val="bottom"/>
          </w:tcPr>
          <w:p>
            <w:pPr>
              <w:jc w:val="right"/>
              <w:spacing w:after="0"/>
              <w:rPr>
                <w:sz w:val="20"/>
                <w:szCs w:val="20"/>
                <w:color w:val="auto"/>
              </w:rPr>
            </w:pPr>
            <w:r>
              <w:rPr>
                <w:rFonts w:ascii="Arial" w:cs="Arial" w:eastAsia="Arial" w:hAnsi="Arial"/>
                <w:sz w:val="16"/>
                <w:szCs w:val="16"/>
                <w:color w:val="auto"/>
              </w:rPr>
              <w:t>16,440</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17,902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7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(526)</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color w:val="auto"/>
              </w:rPr>
              <w:t>Unrealized (gain)/loss on derivatives held for trading</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(6,370)</w:t>
            </w:r>
          </w:p>
        </w:tc>
        <w:tc>
          <w:tcPr>
            <w:tcW w:w="1380" w:type="dxa"/>
            <w:vAlign w:val="bottom"/>
          </w:tcPr>
          <w:p>
            <w:pPr>
              <w:jc w:val="right"/>
              <w:spacing w:after="0"/>
              <w:rPr>
                <w:sz w:val="20"/>
                <w:szCs w:val="20"/>
                <w:color w:val="auto"/>
              </w:rPr>
            </w:pPr>
            <w:r>
              <w:rPr>
                <w:rFonts w:ascii="Arial" w:cs="Arial" w:eastAsia="Arial" w:hAnsi="Arial"/>
                <w:sz w:val="16"/>
                <w:szCs w:val="16"/>
                <w:color w:val="auto"/>
              </w:rPr>
              <w:t>5,607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235</w:t>
            </w:r>
          </w:p>
        </w:tc>
        <w:tc>
          <w:tcPr>
            <w:tcW w:w="32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67,160</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63,893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7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(15,169)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51,991</w:t>
            </w:r>
          </w:p>
        </w:tc>
        <w:tc>
          <w:tcPr>
            <w:tcW w:w="32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(17,550)</w:t>
            </w:r>
          </w:p>
        </w:tc>
        <w:tc>
          <w:tcPr>
            <w:tcW w:w="3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(20,622)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34,441</w:t>
            </w:r>
          </w:p>
        </w:tc>
        <w:tc>
          <w:tcPr>
            <w:tcW w:w="32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38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color w:val="auto"/>
              </w:rPr>
              <w:t>Payments for vessels’ additions</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(8,241)</w:t>
            </w:r>
          </w:p>
        </w:tc>
        <w:tc>
          <w:tcPr>
            <w:tcW w:w="1380" w:type="dxa"/>
            <w:vAlign w:val="bottom"/>
          </w:tcPr>
          <w:p>
            <w:pPr>
              <w:jc w:val="right"/>
              <w:spacing w:after="0"/>
              <w:rPr>
                <w:sz w:val="20"/>
                <w:szCs w:val="20"/>
                <w:color w:val="auto"/>
              </w:rPr>
            </w:pPr>
            <w:r>
              <w:rPr>
                <w:rFonts w:ascii="Arial" w:cs="Arial" w:eastAsia="Arial" w:hAnsi="Arial"/>
                <w:sz w:val="16"/>
                <w:szCs w:val="16"/>
                <w:color w:val="auto"/>
              </w:rPr>
              <w:t>(2,216)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w:t>
            </w: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380" w:type="dxa"/>
            <w:vAlign w:val="bottom"/>
          </w:tcPr>
          <w:p>
            <w:pPr>
              <w:jc w:val="right"/>
              <w:spacing w:after="0"/>
              <w:rPr>
                <w:sz w:val="20"/>
                <w:szCs w:val="20"/>
                <w:color w:val="auto"/>
              </w:rPr>
            </w:pPr>
            <w:r>
              <w:rPr>
                <w:rFonts w:ascii="Arial" w:cs="Arial" w:eastAsia="Arial" w:hAnsi="Arial"/>
                <w:sz w:val="16"/>
                <w:szCs w:val="16"/>
                <w:color w:val="auto"/>
              </w:rPr>
              <w:t>424</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(5,000)</w:t>
            </w:r>
          </w:p>
        </w:tc>
        <w:tc>
          <w:tcPr>
            <w:tcW w:w="1380" w:type="dxa"/>
            <w:vAlign w:val="bottom"/>
          </w:tcPr>
          <w:p>
            <w:pPr>
              <w:jc w:val="right"/>
              <w:spacing w:after="0"/>
              <w:rPr>
                <w:sz w:val="20"/>
                <w:szCs w:val="20"/>
                <w:color w:val="auto"/>
              </w:rPr>
            </w:pPr>
            <w:r>
              <w:rPr>
                <w:rFonts w:ascii="Arial" w:cs="Arial" w:eastAsia="Arial" w:hAnsi="Arial"/>
                <w:sz w:val="16"/>
                <w:szCs w:val="16"/>
                <w:color w:val="auto"/>
              </w:rPr>
              <w:t>(5,000)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in)/provided by investing activities</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(12,817)</w:t>
            </w:r>
          </w:p>
        </w:tc>
        <w:tc>
          <w:tcPr>
            <w:tcW w:w="3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7,339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Borrowings drawdowns</w:t>
            </w: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color w:val="auto"/>
              </w:rPr>
              <w:t>Borrowings repayments</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(105,694)</w:t>
            </w:r>
          </w:p>
        </w:tc>
        <w:tc>
          <w:tcPr>
            <w:tcW w:w="1380" w:type="dxa"/>
            <w:vAlign w:val="bottom"/>
          </w:tcPr>
          <w:p>
            <w:pPr>
              <w:jc w:val="right"/>
              <w:spacing w:after="0"/>
              <w:rPr>
                <w:sz w:val="20"/>
                <w:szCs w:val="20"/>
                <w:color w:val="auto"/>
              </w:rPr>
            </w:pPr>
            <w:r>
              <w:rPr>
                <w:rFonts w:ascii="Arial" w:cs="Arial" w:eastAsia="Arial" w:hAnsi="Arial"/>
                <w:sz w:val="16"/>
                <w:szCs w:val="16"/>
                <w:color w:val="auto"/>
              </w:rPr>
              <w:t>(385,319)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color w:val="auto"/>
              </w:rPr>
              <w:t>Proceeds from issuance of preference units (net of underwriting discounts and commissions)</w:t>
            </w:r>
          </w:p>
        </w:tc>
        <w:tc>
          <w:tcPr>
            <w:tcW w:w="1380" w:type="dxa"/>
            <w:vAlign w:val="bottom"/>
          </w:tcPr>
          <w:p>
            <w:pPr>
              <w:jc w:val="right"/>
              <w:spacing w:after="0"/>
              <w:rPr>
                <w:sz w:val="20"/>
                <w:szCs w:val="20"/>
                <w:color w:val="auto"/>
              </w:rPr>
            </w:pPr>
            <w:r>
              <w:rPr>
                <w:rFonts w:ascii="Arial" w:cs="Arial" w:eastAsia="Arial" w:hAnsi="Arial"/>
                <w:sz w:val="16"/>
                <w:szCs w:val="16"/>
                <w:color w:val="auto"/>
              </w:rPr>
              <w:t>111,544</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17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(315)</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color w:val="auto"/>
              </w:rPr>
              <w:t>Distributions paid</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(27,464)</w:t>
            </w:r>
          </w:p>
        </w:tc>
        <w:tc>
          <w:tcPr>
            <w:tcW w:w="1380" w:type="dxa"/>
            <w:vAlign w:val="bottom"/>
          </w:tcPr>
          <w:p>
            <w:pPr>
              <w:jc w:val="right"/>
              <w:spacing w:after="0"/>
              <w:rPr>
                <w:sz w:val="20"/>
                <w:szCs w:val="20"/>
                <w:color w:val="auto"/>
              </w:rPr>
            </w:pPr>
            <w:r>
              <w:rPr>
                <w:rFonts w:ascii="Arial" w:cs="Arial" w:eastAsia="Arial" w:hAnsi="Arial"/>
                <w:sz w:val="16"/>
                <w:szCs w:val="16"/>
                <w:color w:val="auto"/>
              </w:rPr>
              <w:t>(35,219)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liabilities</w:t>
            </w:r>
          </w:p>
        </w:tc>
        <w:tc>
          <w:tcPr>
            <w:tcW w:w="170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(21,929)</w:t>
            </w:r>
          </w:p>
        </w:tc>
        <w:tc>
          <w:tcPr>
            <w:tcW w:w="32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(305)</w:t>
            </w:r>
          </w:p>
        </w:tc>
        <w:tc>
          <w:tcPr>
            <w:tcW w:w="3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(27,772)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149,455</w:t>
            </w:r>
          </w:p>
        </w:tc>
        <w:tc>
          <w:tcPr>
            <w:tcW w:w="32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149,150</w:t>
            </w:r>
          </w:p>
        </w:tc>
        <w:tc>
          <w:tcPr>
            <w:tcW w:w="32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101,353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Our Partnership Performance Results presented below are non-GAAP measures and exclude amounts related to GAS-fourteen Ltd. (the owner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GAS-twenty seven Ltd. (the owner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for the periods prior to their transfers to the Partnership on April 26, 2018 and November 14, 2018, respectively. While such amounts are reflected in the Partnership’s unaudited condensed consolidated financial statements because the transfers to the Partnership were accounted for as reorganizations of entities under common control under IFRS, GAS-fourteen Ltd. and GAS-twenty seven Ltd. were not owned by the Partnership prior to their respective transfers to the Partnership on April 26, 2018 and November 14, 2018, respectively, and accordingly the Partnership was not entitled to the cash or results generated in the periods prior to such transfers.</w:t>
      </w:r>
    </w:p>
    <w:p>
      <w:pPr>
        <w:spacing w:after="0" w:line="190" w:lineRule="exact"/>
        <w:rPr>
          <w:sz w:val="20"/>
          <w:szCs w:val="20"/>
          <w:color w:val="auto"/>
        </w:rPr>
      </w:pPr>
    </w:p>
    <w:p>
      <w:pPr>
        <w:ind w:right="180" w:firstLine="38"/>
        <w:spacing w:after="0" w:line="278"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transfers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11"/>
          </w:tcPr>
          <w:p>
            <w:pPr>
              <w:jc w:val="center"/>
              <w:ind w:right="80"/>
              <w:spacing w:after="0"/>
              <w:rPr>
                <w:sz w:val="20"/>
                <w:szCs w:val="20"/>
                <w:color w:val="auto"/>
              </w:rPr>
            </w:pPr>
            <w:r>
              <w:rPr>
                <w:rFonts w:ascii="Arial" w:cs="Arial" w:eastAsia="Arial" w:hAnsi="Arial"/>
                <w:sz w:val="16"/>
                <w:szCs w:val="16"/>
                <w:b w:val="1"/>
                <w:bCs w:val="1"/>
                <w:color w:val="auto"/>
                <w:w w:val="91"/>
              </w:rPr>
              <w:t>For the three months ended March 31, 2018</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Results</w:t>
            </w:r>
          </w:p>
        </w:tc>
        <w:tc>
          <w:tcPr>
            <w:tcW w:w="4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Partnership</w:t>
            </w:r>
          </w:p>
        </w:tc>
        <w:tc>
          <w:tcPr>
            <w:tcW w:w="2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203"/>
        </w:trPr>
        <w:tc>
          <w:tcPr>
            <w:tcW w:w="584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(All amounts expressed in thousands of U.S. dollars)</w:t>
            </w:r>
          </w:p>
        </w:tc>
        <w:tc>
          <w:tcPr>
            <w:tcW w:w="20" w:type="dxa"/>
            <w:vAlign w:val="bottom"/>
          </w:tcPr>
          <w:p>
            <w:pPr>
              <w:spacing w:after="0"/>
              <w:rPr>
                <w:sz w:val="17"/>
                <w:szCs w:val="17"/>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attributable to</w:t>
            </w:r>
          </w:p>
        </w:tc>
        <w:tc>
          <w:tcPr>
            <w:tcW w:w="4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Performance</w:t>
            </w:r>
          </w:p>
        </w:tc>
        <w:tc>
          <w:tcPr>
            <w:tcW w:w="20" w:type="dxa"/>
            <w:vAlign w:val="bottom"/>
          </w:tcPr>
          <w:p>
            <w:pPr>
              <w:spacing w:after="0"/>
              <w:rPr>
                <w:sz w:val="17"/>
                <w:szCs w:val="17"/>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Control</w:t>
            </w:r>
          </w:p>
        </w:tc>
        <w:tc>
          <w:tcPr>
            <w:tcW w:w="0" w:type="dxa"/>
            <w:vAlign w:val="bottom"/>
          </w:tcPr>
          <w:p>
            <w:pPr>
              <w:spacing w:after="0"/>
              <w:rPr>
                <w:sz w:val="1"/>
                <w:szCs w:val="1"/>
                <w:color w:val="auto"/>
              </w:rPr>
            </w:pPr>
          </w:p>
        </w:tc>
      </w:tr>
      <w:tr>
        <w:trPr>
          <w:trHeight w:val="89"/>
        </w:trPr>
        <w:tc>
          <w:tcPr>
            <w:tcW w:w="58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90"/>
              </w:rPr>
              <w:t>GasLog</w:t>
            </w:r>
          </w:p>
        </w:tc>
        <w:tc>
          <w:tcPr>
            <w:tcW w:w="40" w:type="dxa"/>
            <w:vAlign w:val="bottom"/>
          </w:tcPr>
          <w:p>
            <w:pPr>
              <w:spacing w:after="0"/>
              <w:rPr>
                <w:sz w:val="7"/>
                <w:szCs w:val="7"/>
                <w:color w:val="auto"/>
              </w:rPr>
            </w:pP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86"/>
              </w:rPr>
              <w:t>Results</w:t>
            </w:r>
          </w:p>
        </w:tc>
        <w:tc>
          <w:tcPr>
            <w:tcW w:w="20" w:type="dxa"/>
            <w:vAlign w:val="bottom"/>
          </w:tcPr>
          <w:p>
            <w:pPr>
              <w:spacing w:after="0"/>
              <w:rPr>
                <w:sz w:val="7"/>
                <w:szCs w:val="7"/>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Reported Results</w:t>
            </w:r>
          </w:p>
        </w:tc>
        <w:tc>
          <w:tcPr>
            <w:tcW w:w="0" w:type="dxa"/>
            <w:vAlign w:val="bottom"/>
          </w:tcPr>
          <w:p>
            <w:pPr>
              <w:spacing w:after="0"/>
              <w:rPr>
                <w:sz w:val="1"/>
                <w:szCs w:val="1"/>
                <w:color w:val="auto"/>
              </w:rPr>
            </w:pPr>
          </w:p>
        </w:tc>
      </w:tr>
      <w:tr>
        <w:trPr>
          <w:trHeight w:val="122"/>
        </w:trPr>
        <w:tc>
          <w:tcPr>
            <w:tcW w:w="5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4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14,715</w:t>
            </w:r>
          </w:p>
        </w:tc>
        <w:tc>
          <w:tcPr>
            <w:tcW w:w="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77,061</w:t>
            </w:r>
          </w:p>
        </w:tc>
        <w:tc>
          <w:tcPr>
            <w:tcW w:w="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91,776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4"/>
          </w:tcPr>
          <w:p>
            <w:pPr>
              <w:jc w:val="right"/>
              <w:ind w:right="120"/>
              <w:spacing w:after="0"/>
              <w:rPr>
                <w:sz w:val="20"/>
                <w:szCs w:val="20"/>
                <w:color w:val="auto"/>
              </w:rPr>
            </w:pPr>
            <w:r>
              <w:rPr>
                <w:rFonts w:ascii="Arial" w:cs="Arial" w:eastAsia="Arial" w:hAnsi="Arial"/>
                <w:sz w:val="16"/>
                <w:szCs w:val="16"/>
                <w:color w:val="auto"/>
              </w:rPr>
              <w:t>(184)</w:t>
            </w:r>
          </w:p>
        </w:tc>
        <w:tc>
          <w:tcPr>
            <w:tcW w:w="1520" w:type="dxa"/>
            <w:vAlign w:val="bottom"/>
            <w:gridSpan w:val="4"/>
          </w:tcPr>
          <w:p>
            <w:pPr>
              <w:jc w:val="right"/>
              <w:ind w:right="120"/>
              <w:spacing w:after="0"/>
              <w:rPr>
                <w:sz w:val="20"/>
                <w:szCs w:val="20"/>
                <w:color w:val="auto"/>
              </w:rPr>
            </w:pPr>
            <w:r>
              <w:rPr>
                <w:rFonts w:ascii="Arial" w:cs="Arial" w:eastAsia="Arial" w:hAnsi="Arial"/>
                <w:sz w:val="16"/>
                <w:szCs w:val="16"/>
                <w:color w:val="auto"/>
              </w:rPr>
              <w:t>(1,055)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1640" w:type="dxa"/>
            <w:vAlign w:val="bottom"/>
            <w:gridSpan w:val="4"/>
            <w:shd w:val="clear" w:color="auto" w:fill="E5FFFF"/>
          </w:tcPr>
          <w:p>
            <w:pPr>
              <w:jc w:val="right"/>
              <w:ind w:right="120"/>
              <w:spacing w:after="0"/>
              <w:rPr>
                <w:sz w:val="20"/>
                <w:szCs w:val="20"/>
                <w:color w:val="auto"/>
              </w:rPr>
            </w:pPr>
            <w:r>
              <w:rPr>
                <w:rFonts w:ascii="Arial" w:cs="Arial" w:eastAsia="Arial" w:hAnsi="Arial"/>
                <w:sz w:val="16"/>
                <w:szCs w:val="16"/>
                <w:color w:val="auto"/>
              </w:rPr>
              <w:t>(3,186)</w:t>
            </w:r>
          </w:p>
        </w:tc>
        <w:tc>
          <w:tcPr>
            <w:tcW w:w="1520" w:type="dxa"/>
            <w:vAlign w:val="bottom"/>
            <w:gridSpan w:val="4"/>
            <w:shd w:val="clear" w:color="auto" w:fill="E5FFFF"/>
          </w:tcPr>
          <w:p>
            <w:pPr>
              <w:jc w:val="right"/>
              <w:ind w:right="120"/>
              <w:spacing w:after="0"/>
              <w:rPr>
                <w:sz w:val="20"/>
                <w:szCs w:val="20"/>
                <w:color w:val="auto"/>
              </w:rPr>
            </w:pPr>
            <w:r>
              <w:rPr>
                <w:rFonts w:ascii="Arial" w:cs="Arial" w:eastAsia="Arial" w:hAnsi="Arial"/>
                <w:sz w:val="16"/>
                <w:szCs w:val="16"/>
                <w:color w:val="auto"/>
              </w:rPr>
              <w:t>(15,591)</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(18,777)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4"/>
          </w:tcPr>
          <w:p>
            <w:pPr>
              <w:jc w:val="right"/>
              <w:ind w:right="120"/>
              <w:spacing w:after="0"/>
              <w:rPr>
                <w:sz w:val="20"/>
                <w:szCs w:val="20"/>
                <w:color w:val="auto"/>
              </w:rPr>
            </w:pPr>
            <w:r>
              <w:rPr>
                <w:rFonts w:ascii="Arial" w:cs="Arial" w:eastAsia="Arial" w:hAnsi="Arial"/>
                <w:sz w:val="16"/>
                <w:szCs w:val="16"/>
                <w:color w:val="auto"/>
              </w:rPr>
              <w:t>(3,303)</w:t>
            </w:r>
          </w:p>
        </w:tc>
        <w:tc>
          <w:tcPr>
            <w:tcW w:w="1520" w:type="dxa"/>
            <w:vAlign w:val="bottom"/>
            <w:gridSpan w:val="4"/>
          </w:tcPr>
          <w:p>
            <w:pPr>
              <w:jc w:val="right"/>
              <w:ind w:right="120"/>
              <w:spacing w:after="0"/>
              <w:rPr>
                <w:sz w:val="20"/>
                <w:szCs w:val="20"/>
                <w:color w:val="auto"/>
              </w:rPr>
            </w:pPr>
            <w:r>
              <w:rPr>
                <w:rFonts w:ascii="Arial" w:cs="Arial" w:eastAsia="Arial" w:hAnsi="Arial"/>
                <w:sz w:val="16"/>
                <w:szCs w:val="16"/>
                <w:color w:val="auto"/>
              </w:rPr>
              <w:t>(16,786)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(20,089)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4"/>
            <w:shd w:val="clear" w:color="auto" w:fill="E5FFFF"/>
          </w:tcPr>
          <w:p>
            <w:pPr>
              <w:jc w:val="right"/>
              <w:ind w:right="120"/>
              <w:spacing w:after="0"/>
              <w:rPr>
                <w:sz w:val="20"/>
                <w:szCs w:val="20"/>
                <w:color w:val="auto"/>
              </w:rPr>
            </w:pPr>
            <w:r>
              <w:rPr>
                <w:rFonts w:ascii="Arial" w:cs="Arial" w:eastAsia="Arial" w:hAnsi="Arial"/>
                <w:sz w:val="16"/>
                <w:szCs w:val="16"/>
                <w:color w:val="auto"/>
              </w:rPr>
              <w:t>(207)</w:t>
            </w:r>
          </w:p>
        </w:tc>
        <w:tc>
          <w:tcPr>
            <w:tcW w:w="1520" w:type="dxa"/>
            <w:vAlign w:val="bottom"/>
            <w:gridSpan w:val="4"/>
            <w:shd w:val="clear" w:color="auto" w:fill="E5FFFF"/>
          </w:tcPr>
          <w:p>
            <w:pPr>
              <w:jc w:val="right"/>
              <w:ind w:right="120"/>
              <w:spacing w:after="0"/>
              <w:rPr>
                <w:sz w:val="20"/>
                <w:szCs w:val="20"/>
                <w:color w:val="auto"/>
              </w:rPr>
            </w:pPr>
            <w:r>
              <w:rPr>
                <w:rFonts w:ascii="Arial" w:cs="Arial" w:eastAsia="Arial" w:hAnsi="Arial"/>
                <w:sz w:val="16"/>
                <w:szCs w:val="16"/>
                <w:color w:val="auto"/>
              </w:rPr>
              <w:t>(4,585)</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(4,792)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7,835</w:t>
            </w:r>
          </w:p>
        </w:tc>
        <w:tc>
          <w:tcPr>
            <w:tcW w:w="2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39,044</w:t>
            </w:r>
          </w:p>
        </w:tc>
        <w:tc>
          <w:tcPr>
            <w:tcW w:w="4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46,879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(2,552)</w:t>
            </w: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(13,888)</w:t>
            </w: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(16,440)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Financial income</w:t>
            </w:r>
          </w:p>
        </w:tc>
        <w:tc>
          <w:tcPr>
            <w:tcW w:w="150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7"/>
                <w:szCs w:val="17"/>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6"/>
                <w:szCs w:val="16"/>
                <w:color w:val="auto"/>
              </w:rPr>
              <w:t>519</w:t>
            </w:r>
          </w:p>
        </w:tc>
        <w:tc>
          <w:tcPr>
            <w:tcW w:w="1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526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E5FFFF"/>
          </w:tcPr>
          <w:p>
            <w:pPr>
              <w:spacing w:after="0"/>
              <w:rPr>
                <w:sz w:val="20"/>
                <w:szCs w:val="20"/>
                <w:color w:val="auto"/>
              </w:rPr>
            </w:pPr>
            <w:r>
              <w:rPr>
                <w:rFonts w:ascii="Arial" w:cs="Arial" w:eastAsia="Arial" w:hAnsi="Arial"/>
                <w:sz w:val="16"/>
                <w:szCs w:val="16"/>
                <w:color w:val="auto"/>
              </w:rPr>
              <w:t>Gain on derivatives</w:t>
            </w:r>
          </w:p>
        </w:tc>
        <w:tc>
          <w:tcPr>
            <w:tcW w:w="20" w:type="dxa"/>
            <w:vAlign w:val="bottom"/>
            <w:shd w:val="clear" w:color="auto" w:fill="E5FFFF"/>
          </w:tcPr>
          <w:p>
            <w:pPr>
              <w:spacing w:after="0"/>
              <w:rPr>
                <w:sz w:val="17"/>
                <w:szCs w:val="17"/>
                <w:color w:val="auto"/>
              </w:rPr>
            </w:pPr>
          </w:p>
        </w:tc>
        <w:tc>
          <w:tcPr>
            <w:tcW w:w="162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E5FFFF"/>
          </w:tcPr>
          <w:p>
            <w:pPr>
              <w:jc w:val="right"/>
              <w:ind w:right="40"/>
              <w:spacing w:after="0"/>
              <w:rPr>
                <w:sz w:val="20"/>
                <w:szCs w:val="20"/>
                <w:color w:val="auto"/>
              </w:rPr>
            </w:pPr>
            <w:r>
              <w:rPr>
                <w:rFonts w:ascii="Arial" w:cs="Arial" w:eastAsia="Arial" w:hAnsi="Arial"/>
                <w:sz w:val="16"/>
                <w:szCs w:val="16"/>
                <w:color w:val="auto"/>
              </w:rPr>
              <w:t>6,327</w:t>
            </w:r>
          </w:p>
        </w:tc>
        <w:tc>
          <w:tcPr>
            <w:tcW w:w="14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6,327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(2,545)</w:t>
            </w:r>
          </w:p>
        </w:tc>
        <w:tc>
          <w:tcPr>
            <w:tcW w:w="2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(7,042)</w:t>
            </w:r>
          </w:p>
        </w:tc>
        <w:tc>
          <w:tcPr>
            <w:tcW w:w="4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(9,587)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4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5,290</w:t>
            </w:r>
          </w:p>
        </w:tc>
        <w:tc>
          <w:tcPr>
            <w:tcW w:w="2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32,002</w:t>
            </w:r>
          </w:p>
        </w:tc>
        <w:tc>
          <w:tcPr>
            <w:tcW w:w="4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37,292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11"/>
          </w:tcPr>
          <w:p>
            <w:pPr>
              <w:jc w:val="center"/>
              <w:ind w:right="80"/>
              <w:spacing w:after="0"/>
              <w:rPr>
                <w:sz w:val="20"/>
                <w:szCs w:val="20"/>
                <w:color w:val="auto"/>
              </w:rPr>
            </w:pPr>
            <w:r>
              <w:rPr>
                <w:rFonts w:ascii="Arial" w:cs="Arial" w:eastAsia="Arial" w:hAnsi="Arial"/>
                <w:sz w:val="16"/>
                <w:szCs w:val="16"/>
                <w:b w:val="1"/>
                <w:bCs w:val="1"/>
                <w:color w:val="auto"/>
                <w:w w:val="90"/>
              </w:rPr>
              <w:t>For the three months ended December 31, 2018</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Results</w:t>
            </w:r>
          </w:p>
        </w:tc>
        <w:tc>
          <w:tcPr>
            <w:tcW w:w="40" w:type="dxa"/>
            <w:vAlign w:val="bottom"/>
          </w:tcPr>
          <w:p>
            <w:pPr>
              <w:spacing w:after="0"/>
              <w:rPr>
                <w:sz w:val="17"/>
                <w:szCs w:val="17"/>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Partnership</w:t>
            </w:r>
          </w:p>
        </w:tc>
        <w:tc>
          <w:tcPr>
            <w:tcW w:w="20" w:type="dxa"/>
            <w:vAlign w:val="bottom"/>
          </w:tcPr>
          <w:p>
            <w:pPr>
              <w:spacing w:after="0"/>
              <w:rPr>
                <w:sz w:val="17"/>
                <w:szCs w:val="17"/>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203"/>
        </w:trPr>
        <w:tc>
          <w:tcPr>
            <w:tcW w:w="584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attributable to</w:t>
            </w:r>
          </w:p>
        </w:tc>
        <w:tc>
          <w:tcPr>
            <w:tcW w:w="40" w:type="dxa"/>
            <w:vAlign w:val="bottom"/>
          </w:tcPr>
          <w:p>
            <w:pPr>
              <w:spacing w:after="0"/>
              <w:rPr>
                <w:sz w:val="17"/>
                <w:szCs w:val="17"/>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Performance</w:t>
            </w:r>
          </w:p>
        </w:tc>
        <w:tc>
          <w:tcPr>
            <w:tcW w:w="20" w:type="dxa"/>
            <w:vAlign w:val="bottom"/>
          </w:tcPr>
          <w:p>
            <w:pPr>
              <w:spacing w:after="0"/>
              <w:rPr>
                <w:sz w:val="17"/>
                <w:szCs w:val="17"/>
                <w:color w:val="auto"/>
              </w:rPr>
            </w:pPr>
          </w:p>
        </w:tc>
        <w:tc>
          <w:tcPr>
            <w:tcW w:w="15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Control</w:t>
            </w:r>
          </w:p>
        </w:tc>
        <w:tc>
          <w:tcPr>
            <w:tcW w:w="0" w:type="dxa"/>
            <w:vAlign w:val="bottom"/>
          </w:tcPr>
          <w:p>
            <w:pPr>
              <w:spacing w:after="0"/>
              <w:rPr>
                <w:sz w:val="1"/>
                <w:szCs w:val="1"/>
                <w:color w:val="auto"/>
              </w:rPr>
            </w:pPr>
          </w:p>
        </w:tc>
      </w:tr>
      <w:tr>
        <w:trPr>
          <w:trHeight w:val="89"/>
        </w:trPr>
        <w:tc>
          <w:tcPr>
            <w:tcW w:w="58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tcPr>
          <w:p>
            <w:pPr>
              <w:jc w:val="center"/>
              <w:ind w:right="160"/>
              <w:spacing w:after="0"/>
              <w:rPr>
                <w:sz w:val="20"/>
                <w:szCs w:val="20"/>
                <w:color w:val="auto"/>
              </w:rPr>
            </w:pPr>
            <w:r>
              <w:rPr>
                <w:rFonts w:ascii="Arial" w:cs="Arial" w:eastAsia="Arial" w:hAnsi="Arial"/>
                <w:sz w:val="16"/>
                <w:szCs w:val="16"/>
                <w:b w:val="1"/>
                <w:bCs w:val="1"/>
                <w:color w:val="auto"/>
                <w:w w:val="90"/>
              </w:rPr>
              <w:t>GasLog</w:t>
            </w:r>
          </w:p>
        </w:tc>
        <w:tc>
          <w:tcPr>
            <w:tcW w:w="40" w:type="dxa"/>
            <w:vAlign w:val="bottom"/>
          </w:tcPr>
          <w:p>
            <w:pPr>
              <w:spacing w:after="0"/>
              <w:rPr>
                <w:sz w:val="7"/>
                <w:szCs w:val="7"/>
                <w:color w:val="auto"/>
              </w:rPr>
            </w:pPr>
          </w:p>
        </w:tc>
        <w:tc>
          <w:tcPr>
            <w:tcW w:w="148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6"/>
              </w:rPr>
              <w:t>Results</w:t>
            </w:r>
          </w:p>
        </w:tc>
        <w:tc>
          <w:tcPr>
            <w:tcW w:w="20" w:type="dxa"/>
            <w:vAlign w:val="bottom"/>
          </w:tcPr>
          <w:p>
            <w:pPr>
              <w:spacing w:after="0"/>
              <w:rPr>
                <w:sz w:val="7"/>
                <w:szCs w:val="7"/>
                <w:color w:val="auto"/>
              </w:rPr>
            </w:pPr>
          </w:p>
        </w:tc>
        <w:tc>
          <w:tcPr>
            <w:tcW w:w="154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0"/>
              </w:rPr>
              <w:t>Reported Results</w:t>
            </w:r>
          </w:p>
        </w:tc>
        <w:tc>
          <w:tcPr>
            <w:tcW w:w="0" w:type="dxa"/>
            <w:vAlign w:val="bottom"/>
          </w:tcPr>
          <w:p>
            <w:pPr>
              <w:spacing w:after="0"/>
              <w:rPr>
                <w:sz w:val="1"/>
                <w:szCs w:val="1"/>
                <w:color w:val="auto"/>
              </w:rPr>
            </w:pPr>
          </w:p>
        </w:tc>
      </w:tr>
      <w:tr>
        <w:trPr>
          <w:trHeight w:val="122"/>
        </w:trPr>
        <w:tc>
          <w:tcPr>
            <w:tcW w:w="5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3,713</w:t>
            </w: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83,134</w:t>
            </w:r>
          </w:p>
        </w:tc>
        <w:tc>
          <w:tcPr>
            <w:tcW w:w="1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86,847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Net pool allocation</w:t>
            </w:r>
          </w:p>
        </w:tc>
        <w:tc>
          <w:tcPr>
            <w:tcW w:w="20" w:type="dxa"/>
            <w:vAlign w:val="bottom"/>
          </w:tcPr>
          <w:p>
            <w:pPr>
              <w:spacing w:after="0"/>
              <w:rPr>
                <w:sz w:val="17"/>
                <w:szCs w:val="17"/>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gridSpan w:val="4"/>
          </w:tcPr>
          <w:p>
            <w:pPr>
              <w:jc w:val="right"/>
              <w:ind w:right="140"/>
              <w:spacing w:after="0"/>
              <w:rPr>
                <w:sz w:val="20"/>
                <w:szCs w:val="20"/>
                <w:color w:val="auto"/>
              </w:rPr>
            </w:pPr>
            <w:r>
              <w:rPr>
                <w:rFonts w:ascii="Arial" w:cs="Arial" w:eastAsia="Arial" w:hAnsi="Arial"/>
                <w:sz w:val="16"/>
                <w:szCs w:val="16"/>
                <w:color w:val="auto"/>
              </w:rPr>
              <w:t>3,277</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3,277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4"/>
            <w:shd w:val="clear" w:color="auto" w:fill="E5FFFF"/>
          </w:tcPr>
          <w:p>
            <w:pPr>
              <w:jc w:val="right"/>
              <w:ind w:right="80"/>
              <w:spacing w:after="0"/>
              <w:rPr>
                <w:sz w:val="20"/>
                <w:szCs w:val="20"/>
                <w:color w:val="auto"/>
              </w:rPr>
            </w:pPr>
            <w:r>
              <w:rPr>
                <w:rFonts w:ascii="Arial" w:cs="Arial" w:eastAsia="Arial" w:hAnsi="Arial"/>
                <w:sz w:val="16"/>
                <w:szCs w:val="16"/>
                <w:color w:val="auto"/>
              </w:rPr>
              <w:t>(46)</w:t>
            </w:r>
          </w:p>
        </w:tc>
        <w:tc>
          <w:tcPr>
            <w:tcW w:w="152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(753)</w:t>
            </w:r>
          </w:p>
        </w:tc>
        <w:tc>
          <w:tcPr>
            <w:tcW w:w="15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(799)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640" w:type="dxa"/>
            <w:vAlign w:val="bottom"/>
            <w:gridSpan w:val="4"/>
          </w:tcPr>
          <w:p>
            <w:pPr>
              <w:jc w:val="right"/>
              <w:ind w:right="80"/>
              <w:spacing w:after="0"/>
              <w:rPr>
                <w:sz w:val="20"/>
                <w:szCs w:val="20"/>
                <w:color w:val="auto"/>
              </w:rPr>
            </w:pPr>
            <w:r>
              <w:rPr>
                <w:rFonts w:ascii="Arial" w:cs="Arial" w:eastAsia="Arial" w:hAnsi="Arial"/>
                <w:sz w:val="16"/>
                <w:szCs w:val="16"/>
                <w:color w:val="auto"/>
              </w:rPr>
              <w:t>(681)</w:t>
            </w:r>
          </w:p>
        </w:tc>
        <w:tc>
          <w:tcPr>
            <w:tcW w:w="1520" w:type="dxa"/>
            <w:vAlign w:val="bottom"/>
            <w:gridSpan w:val="4"/>
          </w:tcPr>
          <w:p>
            <w:pPr>
              <w:jc w:val="right"/>
              <w:ind w:right="100"/>
              <w:spacing w:after="0"/>
              <w:rPr>
                <w:sz w:val="20"/>
                <w:szCs w:val="20"/>
                <w:color w:val="auto"/>
              </w:rPr>
            </w:pPr>
            <w:r>
              <w:rPr>
                <w:rFonts w:ascii="Arial" w:cs="Arial" w:eastAsia="Arial" w:hAnsi="Arial"/>
                <w:sz w:val="16"/>
                <w:szCs w:val="16"/>
                <w:color w:val="auto"/>
              </w:rPr>
              <w:t>(14,986)</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(15,667)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4"/>
            <w:shd w:val="clear" w:color="auto" w:fill="E5FFFF"/>
          </w:tcPr>
          <w:p>
            <w:pPr>
              <w:jc w:val="right"/>
              <w:ind w:right="80"/>
              <w:spacing w:after="0"/>
              <w:rPr>
                <w:sz w:val="20"/>
                <w:szCs w:val="20"/>
                <w:color w:val="auto"/>
              </w:rPr>
            </w:pPr>
            <w:r>
              <w:rPr>
                <w:rFonts w:ascii="Arial" w:cs="Arial" w:eastAsia="Arial" w:hAnsi="Arial"/>
                <w:sz w:val="16"/>
                <w:szCs w:val="16"/>
                <w:color w:val="auto"/>
              </w:rPr>
              <w:t>(934)</w:t>
            </w:r>
          </w:p>
        </w:tc>
        <w:tc>
          <w:tcPr>
            <w:tcW w:w="152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(19,681)</w:t>
            </w:r>
          </w:p>
        </w:tc>
        <w:tc>
          <w:tcPr>
            <w:tcW w:w="15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(20,615)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4"/>
          </w:tcPr>
          <w:p>
            <w:pPr>
              <w:jc w:val="right"/>
              <w:ind w:right="80"/>
              <w:spacing w:after="0"/>
              <w:rPr>
                <w:sz w:val="20"/>
                <w:szCs w:val="20"/>
                <w:color w:val="auto"/>
              </w:rPr>
            </w:pPr>
            <w:r>
              <w:rPr>
                <w:rFonts w:ascii="Arial" w:cs="Arial" w:eastAsia="Arial" w:hAnsi="Arial"/>
                <w:sz w:val="16"/>
                <w:szCs w:val="16"/>
                <w:color w:val="auto"/>
              </w:rPr>
              <w:t>(40)</w:t>
            </w:r>
          </w:p>
        </w:tc>
        <w:tc>
          <w:tcPr>
            <w:tcW w:w="1520" w:type="dxa"/>
            <w:vAlign w:val="bottom"/>
            <w:gridSpan w:val="4"/>
          </w:tcPr>
          <w:p>
            <w:pPr>
              <w:jc w:val="right"/>
              <w:ind w:right="100"/>
              <w:spacing w:after="0"/>
              <w:rPr>
                <w:sz w:val="20"/>
                <w:szCs w:val="20"/>
                <w:color w:val="auto"/>
              </w:rPr>
            </w:pPr>
            <w:r>
              <w:rPr>
                <w:rFonts w:ascii="Arial" w:cs="Arial" w:eastAsia="Arial" w:hAnsi="Arial"/>
                <w:sz w:val="16"/>
                <w:szCs w:val="16"/>
                <w:color w:val="auto"/>
              </w:rPr>
              <w:t>(4,956)</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(4,996)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2,012</w:t>
            </w: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46,035</w:t>
            </w:r>
          </w:p>
        </w:tc>
        <w:tc>
          <w:tcPr>
            <w:tcW w:w="1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48,047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color w:val="auto"/>
              </w:rPr>
              <w:t>Financial costs</w:t>
            </w:r>
          </w:p>
        </w:tc>
        <w:tc>
          <w:tcPr>
            <w:tcW w:w="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(601)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(16,285)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(16,886)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640" w:type="dxa"/>
            <w:vAlign w:val="bottom"/>
            <w:gridSpan w:val="4"/>
            <w:shd w:val="clear" w:color="auto" w:fill="E5FFFF"/>
          </w:tcPr>
          <w:p>
            <w:pPr>
              <w:jc w:val="right"/>
              <w:ind w:right="140"/>
              <w:spacing w:after="0"/>
              <w:rPr>
                <w:sz w:val="20"/>
                <w:szCs w:val="20"/>
                <w:color w:val="auto"/>
              </w:rPr>
            </w:pPr>
            <w:r>
              <w:rPr>
                <w:rFonts w:ascii="Arial" w:cs="Arial" w:eastAsia="Arial" w:hAnsi="Arial"/>
                <w:sz w:val="16"/>
                <w:szCs w:val="16"/>
                <w:color w:val="auto"/>
              </w:rPr>
              <w:t>1</w:t>
            </w:r>
          </w:p>
        </w:tc>
        <w:tc>
          <w:tcPr>
            <w:tcW w:w="1520" w:type="dxa"/>
            <w:vAlign w:val="bottom"/>
            <w:gridSpan w:val="4"/>
            <w:shd w:val="clear" w:color="auto" w:fill="E5FFFF"/>
          </w:tcPr>
          <w:p>
            <w:pPr>
              <w:jc w:val="right"/>
              <w:ind w:right="140"/>
              <w:spacing w:after="0"/>
              <w:rPr>
                <w:sz w:val="20"/>
                <w:szCs w:val="20"/>
                <w:color w:val="auto"/>
              </w:rPr>
            </w:pPr>
            <w:r>
              <w:rPr>
                <w:rFonts w:ascii="Arial" w:cs="Arial" w:eastAsia="Arial" w:hAnsi="Arial"/>
                <w:sz w:val="16"/>
                <w:szCs w:val="16"/>
                <w:color w:val="auto"/>
              </w:rPr>
              <w:t>719</w:t>
            </w:r>
          </w:p>
        </w:tc>
        <w:tc>
          <w:tcPr>
            <w:tcW w:w="15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720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Loss on derivatives</w:t>
            </w:r>
          </w:p>
        </w:tc>
        <w:tc>
          <w:tcPr>
            <w:tcW w:w="20" w:type="dxa"/>
            <w:vAlign w:val="bottom"/>
          </w:tcPr>
          <w:p>
            <w:pPr>
              <w:spacing w:after="0"/>
              <w:rPr>
                <w:sz w:val="17"/>
                <w:szCs w:val="17"/>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gridSpan w:val="4"/>
          </w:tcPr>
          <w:p>
            <w:pPr>
              <w:jc w:val="right"/>
              <w:ind w:right="100"/>
              <w:spacing w:after="0"/>
              <w:rPr>
                <w:sz w:val="20"/>
                <w:szCs w:val="20"/>
                <w:color w:val="auto"/>
              </w:rPr>
            </w:pPr>
            <w:r>
              <w:rPr>
                <w:rFonts w:ascii="Arial" w:cs="Arial" w:eastAsia="Arial" w:hAnsi="Arial"/>
                <w:sz w:val="16"/>
                <w:szCs w:val="16"/>
                <w:color w:val="auto"/>
              </w:rPr>
              <w:t>(10,045)</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(10,045)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(600)</w:t>
            </w: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(25,611)</w:t>
            </w:r>
          </w:p>
        </w:tc>
        <w:tc>
          <w:tcPr>
            <w:tcW w:w="1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(26,211)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20" w:type="dxa"/>
            <w:vAlign w:val="bottom"/>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1,412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20,424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21,836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4700" w:type="dxa"/>
            <w:vAlign w:val="bottom"/>
            <w:gridSpan w:val="7"/>
          </w:tcPr>
          <w:p>
            <w:pPr>
              <w:jc w:val="center"/>
              <w:ind w:right="60"/>
              <w:spacing w:after="0"/>
              <w:rPr>
                <w:sz w:val="20"/>
                <w:szCs w:val="20"/>
                <w:color w:val="auto"/>
              </w:rPr>
            </w:pPr>
            <w:r>
              <w:rPr>
                <w:rFonts w:ascii="Arial" w:cs="Arial" w:eastAsia="Arial" w:hAnsi="Arial"/>
                <w:sz w:val="16"/>
                <w:szCs w:val="16"/>
                <w:b w:val="1"/>
                <w:bCs w:val="1"/>
                <w:color w:val="auto"/>
                <w:w w:val="92"/>
              </w:rPr>
              <w:t>For the three months ended March 31, 2019</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280" w:type="dxa"/>
            <w:vAlign w:val="bottom"/>
          </w:tcPr>
          <w:p>
            <w:pPr>
              <w:jc w:val="center"/>
              <w:ind w:left="119"/>
              <w:spacing w:after="0"/>
              <w:rPr>
                <w:sz w:val="20"/>
                <w:szCs w:val="20"/>
                <w:color w:val="auto"/>
              </w:rPr>
            </w:pPr>
            <w:r>
              <w:rPr>
                <w:rFonts w:ascii="Arial" w:cs="Arial" w:eastAsia="Arial" w:hAnsi="Arial"/>
                <w:sz w:val="16"/>
                <w:szCs w:val="16"/>
                <w:b w:val="1"/>
                <w:bCs w:val="1"/>
                <w:color w:val="auto"/>
                <w:w w:val="89"/>
              </w:rPr>
              <w:t>Results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Partnership</w:t>
            </w:r>
          </w:p>
        </w:tc>
        <w:tc>
          <w:tcPr>
            <w:tcW w:w="15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IFRS Common</w:t>
            </w:r>
          </w:p>
        </w:tc>
        <w:tc>
          <w:tcPr>
            <w:tcW w:w="0" w:type="dxa"/>
            <w:vAlign w:val="bottom"/>
          </w:tcPr>
          <w:p>
            <w:pPr>
              <w:spacing w:after="0"/>
              <w:rPr>
                <w:sz w:val="1"/>
                <w:szCs w:val="1"/>
                <w:color w:val="auto"/>
              </w:rPr>
            </w:pPr>
          </w:p>
        </w:tc>
      </w:tr>
      <w:tr>
        <w:trPr>
          <w:trHeight w:val="203"/>
        </w:trPr>
        <w:tc>
          <w:tcPr>
            <w:tcW w:w="5860" w:type="dxa"/>
            <w:vAlign w:val="bottom"/>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28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attributable to</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Performance</w:t>
            </w:r>
          </w:p>
        </w:tc>
        <w:tc>
          <w:tcPr>
            <w:tcW w:w="15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Control</w:t>
            </w:r>
          </w:p>
        </w:tc>
        <w:tc>
          <w:tcPr>
            <w:tcW w:w="0" w:type="dxa"/>
            <w:vAlign w:val="bottom"/>
          </w:tcPr>
          <w:p>
            <w:pPr>
              <w:spacing w:after="0"/>
              <w:rPr>
                <w:sz w:val="1"/>
                <w:szCs w:val="1"/>
                <w:color w:val="auto"/>
              </w:rPr>
            </w:pPr>
          </w:p>
        </w:tc>
      </w:tr>
      <w:tr>
        <w:trPr>
          <w:trHeight w:val="89"/>
        </w:trPr>
        <w:tc>
          <w:tcPr>
            <w:tcW w:w="5860" w:type="dxa"/>
            <w:vAlign w:val="bottom"/>
            <w:vMerge w:val="continue"/>
          </w:tcPr>
          <w:p>
            <w:pPr>
              <w:spacing w:after="0"/>
              <w:rPr>
                <w:sz w:val="7"/>
                <w:szCs w:val="7"/>
                <w:color w:val="auto"/>
              </w:rPr>
            </w:pPr>
          </w:p>
        </w:tc>
        <w:tc>
          <w:tcPr>
            <w:tcW w:w="128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w w:val="90"/>
              </w:rPr>
              <w:t>GasLog</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6"/>
              </w:rPr>
              <w:t>Results</w:t>
            </w:r>
          </w:p>
        </w:tc>
        <w:tc>
          <w:tcPr>
            <w:tcW w:w="15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0"/>
              </w:rPr>
              <w:t>Reported Results</w:t>
            </w:r>
          </w:p>
        </w:tc>
        <w:tc>
          <w:tcPr>
            <w:tcW w:w="0" w:type="dxa"/>
            <w:vAlign w:val="bottom"/>
          </w:tcPr>
          <w:p>
            <w:pPr>
              <w:spacing w:after="0"/>
              <w:rPr>
                <w:sz w:val="1"/>
                <w:szCs w:val="1"/>
                <w:color w:val="auto"/>
              </w:rPr>
            </w:pPr>
          </w:p>
        </w:tc>
      </w:tr>
      <w:tr>
        <w:trPr>
          <w:trHeight w:val="122"/>
        </w:trPr>
        <w:tc>
          <w:tcPr>
            <w:tcW w:w="58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28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ind w:left="40"/>
              <w:spacing w:after="0"/>
              <w:rPr>
                <w:sz w:val="20"/>
                <w:szCs w:val="20"/>
                <w:color w:val="auto"/>
              </w:rPr>
            </w:pPr>
            <w:r>
              <w:rPr>
                <w:rFonts w:ascii="Arial" w:cs="Arial" w:eastAsia="Arial" w:hAnsi="Arial"/>
                <w:sz w:val="16"/>
                <w:szCs w:val="16"/>
                <w:color w:val="auto"/>
                <w:w w:val="87"/>
              </w:rPr>
              <w:t>—</w:t>
            </w:r>
          </w:p>
        </w:tc>
        <w:tc>
          <w:tcPr>
            <w:tcW w:w="1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16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Net pool allocation</w:t>
            </w:r>
          </w:p>
        </w:tc>
        <w:tc>
          <w:tcPr>
            <w:tcW w:w="128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1480" w:type="dxa"/>
            <w:vAlign w:val="bottom"/>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280" w:type="dxa"/>
            <w:vAlign w:val="bottom"/>
            <w:shd w:val="clear" w:color="auto" w:fill="E5FFFF"/>
          </w:tcPr>
          <w:p>
            <w:pPr>
              <w:spacing w:after="0"/>
              <w:rPr>
                <w:sz w:val="17"/>
                <w:szCs w:val="17"/>
                <w:color w:val="auto"/>
              </w:rPr>
            </w:pPr>
          </w:p>
        </w:tc>
        <w:tc>
          <w:tcPr>
            <w:tcW w:w="380" w:type="dxa"/>
            <w:vAlign w:val="bottom"/>
            <w:gridSpan w:val="2"/>
            <w:shd w:val="clear" w:color="auto" w:fill="E5FFFF"/>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(1,742)</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28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(17,118)</w:t>
            </w:r>
          </w:p>
        </w:tc>
        <w:tc>
          <w:tcPr>
            <w:tcW w:w="1480" w:type="dxa"/>
            <w:vAlign w:val="bottom"/>
          </w:tcPr>
          <w:p>
            <w:pPr>
              <w:jc w:val="right"/>
              <w:spacing w:after="0"/>
              <w:rPr>
                <w:sz w:val="20"/>
                <w:szCs w:val="20"/>
                <w:color w:val="auto"/>
              </w:rPr>
            </w:pPr>
            <w:r>
              <w:rPr>
                <w:rFonts w:ascii="Arial" w:cs="Arial" w:eastAsia="Arial" w:hAnsi="Arial"/>
                <w:sz w:val="16"/>
                <w:szCs w:val="16"/>
                <w:color w:val="auto"/>
              </w:rPr>
              <w:t>(17,118)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280" w:type="dxa"/>
            <w:vAlign w:val="bottom"/>
            <w:shd w:val="clear" w:color="auto" w:fill="E5FFFF"/>
          </w:tcPr>
          <w:p>
            <w:pPr>
              <w:spacing w:after="0"/>
              <w:rPr>
                <w:sz w:val="17"/>
                <w:szCs w:val="17"/>
                <w:color w:val="auto"/>
              </w:rPr>
            </w:pPr>
          </w:p>
        </w:tc>
        <w:tc>
          <w:tcPr>
            <w:tcW w:w="380" w:type="dxa"/>
            <w:vAlign w:val="bottom"/>
            <w:gridSpan w:val="2"/>
            <w:shd w:val="clear" w:color="auto" w:fill="E5FFFF"/>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(20,380)</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28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(4,598)</w:t>
            </w:r>
          </w:p>
        </w:tc>
        <w:tc>
          <w:tcPr>
            <w:tcW w:w="1480" w:type="dxa"/>
            <w:vAlign w:val="bottom"/>
          </w:tcPr>
          <w:p>
            <w:pPr>
              <w:jc w:val="right"/>
              <w:spacing w:after="0"/>
              <w:rPr>
                <w:sz w:val="20"/>
                <w:szCs w:val="20"/>
                <w:color w:val="auto"/>
              </w:rPr>
            </w:pPr>
            <w:r>
              <w:rPr>
                <w:rFonts w:ascii="Arial" w:cs="Arial" w:eastAsia="Arial" w:hAnsi="Arial"/>
                <w:sz w:val="16"/>
                <w:szCs w:val="16"/>
                <w:color w:val="auto"/>
              </w:rPr>
              <w:t>(4,598)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280" w:type="dxa"/>
            <w:vAlign w:val="bottom"/>
            <w:tcBorders>
              <w:top w:val="single" w:sz="8" w:color="auto"/>
              <w:bottom w:val="single" w:sz="8" w:color="auto"/>
            </w:tcBorders>
            <w:shd w:val="clear" w:color="auto" w:fill="E5FFFF"/>
          </w:tcPr>
          <w:p>
            <w:pPr>
              <w:spacing w:after="0"/>
              <w:rPr>
                <w:sz w:val="17"/>
                <w:szCs w:val="17"/>
                <w:color w:val="auto"/>
              </w:rPr>
            </w:pPr>
          </w:p>
        </w:tc>
        <w:tc>
          <w:tcPr>
            <w:tcW w:w="200" w:type="dxa"/>
            <w:vAlign w:val="bottom"/>
            <w:tcBorders>
              <w:top w:val="single" w:sz="8" w:color="auto"/>
              <w:bottom w:val="single" w:sz="8" w:color="auto"/>
            </w:tcBorders>
            <w:shd w:val="clear" w:color="auto" w:fill="E5FFFF"/>
          </w:tcPr>
          <w:p>
            <w:pPr>
              <w:ind w:left="40"/>
              <w:spacing w:after="0"/>
              <w:rPr>
                <w:sz w:val="20"/>
                <w:szCs w:val="20"/>
                <w:color w:val="auto"/>
              </w:rPr>
            </w:pPr>
            <w:r>
              <w:rPr>
                <w:rFonts w:ascii="Arial" w:cs="Arial" w:eastAsia="Arial" w:hAnsi="Arial"/>
                <w:sz w:val="16"/>
                <w:szCs w:val="16"/>
                <w:color w:val="auto"/>
                <w:w w:val="87"/>
              </w:rPr>
              <w:t>—</w:t>
            </w:r>
          </w:p>
        </w:tc>
        <w:tc>
          <w:tcPr>
            <w:tcW w:w="1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42,521</w:t>
            </w:r>
          </w:p>
        </w:tc>
        <w:tc>
          <w:tcPr>
            <w:tcW w:w="16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spacing w:after="0"/>
              <w:rPr>
                <w:sz w:val="20"/>
                <w:szCs w:val="20"/>
                <w:color w:val="auto"/>
              </w:rPr>
            </w:pPr>
            <w:r>
              <w:rPr>
                <w:rFonts w:ascii="Arial" w:cs="Arial" w:eastAsia="Arial" w:hAnsi="Arial"/>
                <w:sz w:val="16"/>
                <w:szCs w:val="16"/>
                <w:color w:val="auto"/>
              </w:rPr>
              <w:t>Financial costs</w:t>
            </w:r>
          </w:p>
        </w:tc>
        <w:tc>
          <w:tcPr>
            <w:tcW w:w="128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(17,902)</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(17,902)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280" w:type="dxa"/>
            <w:vAlign w:val="bottom"/>
            <w:shd w:val="clear" w:color="auto" w:fill="E5FFFF"/>
          </w:tcPr>
          <w:p>
            <w:pPr>
              <w:spacing w:after="0"/>
              <w:rPr>
                <w:sz w:val="17"/>
                <w:szCs w:val="17"/>
                <w:color w:val="auto"/>
              </w:rPr>
            </w:pPr>
          </w:p>
        </w:tc>
        <w:tc>
          <w:tcPr>
            <w:tcW w:w="380" w:type="dxa"/>
            <w:vAlign w:val="bottom"/>
            <w:gridSpan w:val="2"/>
            <w:shd w:val="clear" w:color="auto" w:fill="E5FFFF"/>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624</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Loss on derivatives</w:t>
            </w:r>
          </w:p>
        </w:tc>
        <w:tc>
          <w:tcPr>
            <w:tcW w:w="128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(4,877)</w:t>
            </w:r>
          </w:p>
        </w:tc>
        <w:tc>
          <w:tcPr>
            <w:tcW w:w="1480" w:type="dxa"/>
            <w:vAlign w:val="bottom"/>
          </w:tcPr>
          <w:p>
            <w:pPr>
              <w:jc w:val="right"/>
              <w:spacing w:after="0"/>
              <w:rPr>
                <w:sz w:val="20"/>
                <w:szCs w:val="20"/>
                <w:color w:val="auto"/>
              </w:rPr>
            </w:pPr>
            <w:r>
              <w:rPr>
                <w:rFonts w:ascii="Arial" w:cs="Arial" w:eastAsia="Arial" w:hAnsi="Arial"/>
                <w:sz w:val="16"/>
                <w:szCs w:val="16"/>
                <w:color w:val="auto"/>
              </w:rPr>
              <w:t>(4,877)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280" w:type="dxa"/>
            <w:vAlign w:val="bottom"/>
            <w:tcBorders>
              <w:top w:val="single" w:sz="8" w:color="auto"/>
              <w:bottom w:val="single" w:sz="8" w:color="auto"/>
            </w:tcBorders>
            <w:shd w:val="clear" w:color="auto" w:fill="E5FFFF"/>
          </w:tcPr>
          <w:p>
            <w:pPr>
              <w:spacing w:after="0"/>
              <w:rPr>
                <w:sz w:val="17"/>
                <w:szCs w:val="17"/>
                <w:color w:val="auto"/>
              </w:rPr>
            </w:pPr>
          </w:p>
        </w:tc>
        <w:tc>
          <w:tcPr>
            <w:tcW w:w="200" w:type="dxa"/>
            <w:vAlign w:val="bottom"/>
            <w:tcBorders>
              <w:top w:val="single" w:sz="8" w:color="auto"/>
              <w:bottom w:val="single" w:sz="8" w:color="auto"/>
            </w:tcBorders>
            <w:shd w:val="clear" w:color="auto" w:fill="E5FFFF"/>
          </w:tcPr>
          <w:p>
            <w:pPr>
              <w:ind w:left="40"/>
              <w:spacing w:after="0"/>
              <w:rPr>
                <w:sz w:val="20"/>
                <w:szCs w:val="20"/>
                <w:color w:val="auto"/>
              </w:rPr>
            </w:pPr>
            <w:r>
              <w:rPr>
                <w:rFonts w:ascii="Arial" w:cs="Arial" w:eastAsia="Arial" w:hAnsi="Arial"/>
                <w:sz w:val="16"/>
                <w:szCs w:val="16"/>
                <w:color w:val="auto"/>
                <w:w w:val="87"/>
              </w:rPr>
              <w:t>—</w:t>
            </w:r>
          </w:p>
        </w:tc>
        <w:tc>
          <w:tcPr>
            <w:tcW w:w="1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(22,155)</w:t>
            </w:r>
          </w:p>
        </w:tc>
        <w:tc>
          <w:tcPr>
            <w:tcW w:w="16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(22,155)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60"/>
          </w:cols>
          <w:pgMar w:left="240" w:top="342" w:right="10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EXHIBIT III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EBITDA is defined as earnings before interest income and expense, gain/loss on derivatives, taxes, depreciation and amortization. Adjusted Profit represents earnings before</w:t>
      </w:r>
    </w:p>
    <w:p>
      <w:pPr>
        <w:spacing w:after="0" w:line="45" w:lineRule="exact"/>
        <w:rPr>
          <w:sz w:val="20"/>
          <w:szCs w:val="20"/>
          <w:color w:val="auto"/>
        </w:rPr>
      </w:pPr>
    </w:p>
    <w:p>
      <w:pPr>
        <w:ind w:firstLine="8"/>
        <w:spacing w:after="0" w:line="286" w:lineRule="auto"/>
        <w:tabs>
          <w:tab w:leader="none" w:pos="220" w:val="left"/>
        </w:tabs>
        <w:numPr>
          <w:ilvl w:val="0"/>
          <w:numId w:val="7"/>
        </w:numPr>
        <w:rPr>
          <w:rFonts w:ascii="Arial" w:cs="Arial" w:eastAsia="Arial" w:hAnsi="Arial"/>
          <w:sz w:val="15"/>
          <w:szCs w:val="15"/>
          <w:color w:val="auto"/>
        </w:rPr>
      </w:pPr>
      <w:r>
        <w:rPr>
          <w:rFonts w:ascii="Arial" w:cs="Arial" w:eastAsia="Arial" w:hAnsi="Arial"/>
          <w:sz w:val="15"/>
          <w:szCs w:val="15"/>
          <w:color w:val="auto"/>
        </w:rPr>
        <w:t>non-cash gain/loss on derivatives that includes unrealized gain/loss on derivatives held for trading and (b) write-off and accelerated amortization of unamortized loan fees. EBITDA and Adjusted Profit,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financial costs, gain/loss on derivatives, taxes, depreciation and amortization; and in the case of Adjusted Profit, non-cash gain/loss on derivatives and write-off and accelerated amortization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EBITDA and Adjusted Profit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 EBITDA excludes some, but not all, items that affect profit or 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EBITDA and Adjusted Profit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reconciliations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20"/>
                <w:szCs w:val="20"/>
                <w:color w:val="auto"/>
              </w:rPr>
            </w:pPr>
            <w:r>
              <w:rPr>
                <w:rFonts w:ascii="Arial" w:cs="Arial" w:eastAsia="Arial" w:hAnsi="Arial"/>
                <w:sz w:val="16"/>
                <w:szCs w:val="16"/>
                <w:b w:val="1"/>
                <w:bCs w:val="1"/>
                <w:color w:val="auto"/>
              </w:rPr>
              <w:t>Reconciliation of Profit to EBITDA:</w:t>
            </w: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9"/>
        </w:trPr>
        <w:tc>
          <w:tcPr>
            <w:tcW w:w="434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4340" w:type="dxa"/>
            <w:vAlign w:val="bottom"/>
          </w:tcPr>
          <w:p>
            <w:pPr>
              <w:spacing w:after="0"/>
              <w:rPr>
                <w:sz w:val="24"/>
                <w:szCs w:val="24"/>
                <w:color w:val="auto"/>
              </w:rPr>
            </w:pPr>
          </w:p>
        </w:tc>
        <w:tc>
          <w:tcPr>
            <w:tcW w:w="4580" w:type="dxa"/>
            <w:vAlign w:val="bottom"/>
            <w:gridSpan w:val="8"/>
          </w:tcPr>
          <w:p>
            <w:pPr>
              <w:jc w:val="center"/>
              <w:ind w:left="1519"/>
              <w:spacing w:after="0"/>
              <w:rPr>
                <w:sz w:val="20"/>
                <w:szCs w:val="20"/>
                <w:color w:val="auto"/>
              </w:rPr>
            </w:pPr>
            <w:r>
              <w:rPr>
                <w:rFonts w:ascii="Arial" w:cs="Arial" w:eastAsia="Arial" w:hAnsi="Arial"/>
                <w:sz w:val="16"/>
                <w:szCs w:val="16"/>
                <w:b w:val="1"/>
                <w:bCs w:val="1"/>
                <w:color w:val="auto"/>
                <w:w w:val="92"/>
              </w:rPr>
              <w:t>IFRS Common Control Reported Results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4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w w:val="89"/>
              </w:rPr>
              <w:t>For the three months ended</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340" w:type="dxa"/>
            <w:vAlign w:val="bottom"/>
          </w:tcPr>
          <w:p>
            <w:pPr>
              <w:spacing w:after="0"/>
              <w:rPr>
                <w:sz w:val="18"/>
                <w:szCs w:val="18"/>
                <w:color w:val="auto"/>
              </w:rPr>
            </w:pPr>
          </w:p>
        </w:tc>
        <w:tc>
          <w:tcPr>
            <w:tcW w:w="212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March 31, 2018</w:t>
            </w:r>
          </w:p>
        </w:tc>
        <w:tc>
          <w:tcPr>
            <w:tcW w:w="20" w:type="dxa"/>
            <w:vAlign w:val="bottom"/>
          </w:tcPr>
          <w:p>
            <w:pPr>
              <w:spacing w:after="0"/>
              <w:rPr>
                <w:sz w:val="18"/>
                <w:szCs w:val="18"/>
                <w:color w:val="auto"/>
              </w:rPr>
            </w:pPr>
          </w:p>
        </w:tc>
        <w:tc>
          <w:tcPr>
            <w:tcW w:w="2440" w:type="dxa"/>
            <w:vAlign w:val="bottom"/>
            <w:gridSpan w:val="4"/>
          </w:tcPr>
          <w:p>
            <w:pPr>
              <w:jc w:val="center"/>
              <w:ind w:right="560"/>
              <w:spacing w:after="0"/>
              <w:rPr>
                <w:sz w:val="20"/>
                <w:szCs w:val="20"/>
                <w:color w:val="auto"/>
              </w:rPr>
            </w:pPr>
            <w:r>
              <w:rPr>
                <w:rFonts w:ascii="Arial" w:cs="Arial" w:eastAsia="Arial" w:hAnsi="Arial"/>
                <w:sz w:val="16"/>
                <w:szCs w:val="16"/>
                <w:b w:val="1"/>
                <w:bCs w:val="1"/>
                <w:color w:val="auto"/>
                <w:w w:val="91"/>
              </w:rPr>
              <w:t>December 31, 2018</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2019</w:t>
            </w:r>
          </w:p>
        </w:tc>
      </w:tr>
      <w:tr>
        <w:trPr>
          <w:trHeight w:val="202"/>
        </w:trPr>
        <w:tc>
          <w:tcPr>
            <w:tcW w:w="4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9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37,292</w:t>
            </w: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9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21,836</w:t>
            </w:r>
          </w:p>
        </w:tc>
        <w:tc>
          <w:tcPr>
            <w:tcW w:w="2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spacing w:after="0"/>
              <w:rPr>
                <w:sz w:val="17"/>
                <w:szCs w:val="17"/>
                <w:color w:val="auto"/>
              </w:rPr>
            </w:pPr>
          </w:p>
        </w:tc>
        <w:tc>
          <w:tcPr>
            <w:tcW w:w="15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20,366</w:t>
            </w:r>
          </w:p>
        </w:tc>
        <w:tc>
          <w:tcPr>
            <w:tcW w:w="60" w:type="dxa"/>
            <w:vAlign w:val="bottom"/>
          </w:tcPr>
          <w:p>
            <w:pPr>
              <w:spacing w:after="0"/>
              <w:rPr>
                <w:sz w:val="17"/>
                <w:szCs w:val="17"/>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Depreciation</w:t>
            </w:r>
          </w:p>
        </w:tc>
        <w:tc>
          <w:tcPr>
            <w:tcW w:w="2120" w:type="dxa"/>
            <w:vAlign w:val="bottom"/>
            <w:gridSpan w:val="3"/>
          </w:tcPr>
          <w:p>
            <w:pPr>
              <w:jc w:val="right"/>
              <w:ind w:right="200"/>
              <w:spacing w:after="0"/>
              <w:rPr>
                <w:sz w:val="20"/>
                <w:szCs w:val="20"/>
                <w:color w:val="auto"/>
              </w:rPr>
            </w:pPr>
            <w:r>
              <w:rPr>
                <w:rFonts w:ascii="Arial" w:cs="Arial" w:eastAsia="Arial" w:hAnsi="Arial"/>
                <w:sz w:val="16"/>
                <w:szCs w:val="16"/>
                <w:color w:val="auto"/>
              </w:rPr>
              <w:t>20,089</w:t>
            </w:r>
          </w:p>
        </w:tc>
        <w:tc>
          <w:tcPr>
            <w:tcW w:w="1920" w:type="dxa"/>
            <w:vAlign w:val="bottom"/>
            <w:gridSpan w:val="3"/>
          </w:tcPr>
          <w:p>
            <w:pPr>
              <w:jc w:val="right"/>
              <w:spacing w:after="0"/>
              <w:rPr>
                <w:sz w:val="20"/>
                <w:szCs w:val="20"/>
                <w:color w:val="auto"/>
              </w:rPr>
            </w:pPr>
            <w:r>
              <w:rPr>
                <w:rFonts w:ascii="Arial" w:cs="Arial" w:eastAsia="Arial" w:hAnsi="Arial"/>
                <w:sz w:val="16"/>
                <w:szCs w:val="16"/>
                <w:color w:val="auto"/>
              </w:rPr>
              <w:t>20,615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20,380</w:t>
            </w:r>
          </w:p>
        </w:tc>
        <w:tc>
          <w:tcPr>
            <w:tcW w:w="60" w:type="dxa"/>
            <w:vAlign w:val="bottom"/>
          </w:tcPr>
          <w:p>
            <w:pPr>
              <w:spacing w:after="0"/>
              <w:rPr>
                <w:sz w:val="17"/>
                <w:szCs w:val="17"/>
                <w:color w:val="auto"/>
              </w:rPr>
            </w:pPr>
          </w:p>
        </w:tc>
      </w:tr>
      <w:tr>
        <w:trPr>
          <w:trHeight w:val="203"/>
        </w:trPr>
        <w:tc>
          <w:tcPr>
            <w:tcW w:w="43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212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16,440</w:t>
            </w:r>
          </w:p>
        </w:tc>
        <w:tc>
          <w:tcPr>
            <w:tcW w:w="19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16,886</w:t>
            </w:r>
          </w:p>
        </w:tc>
        <w:tc>
          <w:tcPr>
            <w:tcW w:w="2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17,902</w:t>
            </w:r>
          </w:p>
        </w:tc>
        <w:tc>
          <w:tcPr>
            <w:tcW w:w="60" w:type="dxa"/>
            <w:vAlign w:val="bottom"/>
          </w:tcPr>
          <w:p>
            <w:pPr>
              <w:spacing w:after="0"/>
              <w:rPr>
                <w:sz w:val="17"/>
                <w:szCs w:val="17"/>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Financial income</w:t>
            </w:r>
          </w:p>
        </w:tc>
        <w:tc>
          <w:tcPr>
            <w:tcW w:w="2120" w:type="dxa"/>
            <w:vAlign w:val="bottom"/>
            <w:gridSpan w:val="3"/>
          </w:tcPr>
          <w:p>
            <w:pPr>
              <w:jc w:val="right"/>
              <w:ind w:right="140"/>
              <w:spacing w:after="0"/>
              <w:rPr>
                <w:sz w:val="20"/>
                <w:szCs w:val="20"/>
                <w:color w:val="auto"/>
              </w:rPr>
            </w:pPr>
            <w:r>
              <w:rPr>
                <w:rFonts w:ascii="Arial" w:cs="Arial" w:eastAsia="Arial" w:hAnsi="Arial"/>
                <w:sz w:val="16"/>
                <w:szCs w:val="16"/>
                <w:color w:val="auto"/>
              </w:rPr>
              <w:t>(526)</w:t>
            </w:r>
          </w:p>
        </w:tc>
        <w:tc>
          <w:tcPr>
            <w:tcW w:w="2120" w:type="dxa"/>
            <w:vAlign w:val="bottom"/>
            <w:gridSpan w:val="4"/>
          </w:tcPr>
          <w:p>
            <w:pPr>
              <w:jc w:val="right"/>
              <w:ind w:right="140"/>
              <w:spacing w:after="0"/>
              <w:rPr>
                <w:sz w:val="20"/>
                <w:szCs w:val="20"/>
                <w:color w:val="auto"/>
              </w:rPr>
            </w:pPr>
            <w:r>
              <w:rPr>
                <w:rFonts w:ascii="Arial" w:cs="Arial" w:eastAsia="Arial" w:hAnsi="Arial"/>
                <w:sz w:val="16"/>
                <w:szCs w:val="16"/>
                <w:color w:val="auto"/>
              </w:rPr>
              <w:t>(720)</w:t>
            </w:r>
          </w:p>
        </w:tc>
        <w:tc>
          <w:tcPr>
            <w:tcW w:w="3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(624)</w:t>
            </w:r>
          </w:p>
        </w:tc>
        <w:tc>
          <w:tcPr>
            <w:tcW w:w="60" w:type="dxa"/>
            <w:vAlign w:val="bottom"/>
          </w:tcPr>
          <w:p>
            <w:pPr>
              <w:spacing w:after="0"/>
              <w:rPr>
                <w:sz w:val="17"/>
                <w:szCs w:val="17"/>
                <w:color w:val="auto"/>
              </w:rPr>
            </w:pPr>
          </w:p>
        </w:tc>
      </w:tr>
      <w:tr>
        <w:trPr>
          <w:trHeight w:val="203"/>
        </w:trPr>
        <w:tc>
          <w:tcPr>
            <w:tcW w:w="434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2120" w:type="dxa"/>
            <w:vAlign w:val="bottom"/>
            <w:gridSpan w:val="3"/>
            <w:shd w:val="clear" w:color="auto" w:fill="E5FFFF"/>
          </w:tcPr>
          <w:p>
            <w:pPr>
              <w:jc w:val="right"/>
              <w:ind w:right="140"/>
              <w:spacing w:after="0"/>
              <w:rPr>
                <w:sz w:val="20"/>
                <w:szCs w:val="20"/>
                <w:color w:val="auto"/>
              </w:rPr>
            </w:pPr>
            <w:r>
              <w:rPr>
                <w:rFonts w:ascii="Arial" w:cs="Arial" w:eastAsia="Arial" w:hAnsi="Arial"/>
                <w:sz w:val="16"/>
                <w:szCs w:val="16"/>
                <w:color w:val="auto"/>
              </w:rPr>
              <w:t>(6,327)</w:t>
            </w:r>
          </w:p>
        </w:tc>
        <w:tc>
          <w:tcPr>
            <w:tcW w:w="19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10,045</w:t>
            </w:r>
          </w:p>
        </w:tc>
        <w:tc>
          <w:tcPr>
            <w:tcW w:w="2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4,877</w:t>
            </w:r>
          </w:p>
        </w:tc>
        <w:tc>
          <w:tcPr>
            <w:tcW w:w="60" w:type="dxa"/>
            <w:vAlign w:val="bottom"/>
          </w:tcPr>
          <w:p>
            <w:pPr>
              <w:spacing w:after="0"/>
              <w:rPr>
                <w:sz w:val="17"/>
                <w:szCs w:val="17"/>
                <w:color w:val="auto"/>
              </w:rPr>
            </w:pPr>
          </w:p>
        </w:tc>
      </w:tr>
      <w:tr>
        <w:trPr>
          <w:trHeight w:val="196"/>
        </w:trPr>
        <w:tc>
          <w:tcPr>
            <w:tcW w:w="434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66,968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68,662</w:t>
            </w:r>
          </w:p>
        </w:tc>
        <w:tc>
          <w:tcPr>
            <w:tcW w:w="2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62,901</w:t>
            </w:r>
          </w:p>
        </w:tc>
        <w:tc>
          <w:tcPr>
            <w:tcW w:w="6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8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91"/>
              </w:rPr>
              <w:t>Partnership Performance Results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4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0"/>
              </w:rPr>
              <w:t>For the three months ended</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340" w:type="dxa"/>
            <w:vAlign w:val="bottom"/>
          </w:tcPr>
          <w:p>
            <w:pPr>
              <w:spacing w:after="0"/>
              <w:rPr>
                <w:sz w:val="18"/>
                <w:szCs w:val="18"/>
                <w:color w:val="auto"/>
              </w:rPr>
            </w:pPr>
          </w:p>
        </w:tc>
        <w:tc>
          <w:tcPr>
            <w:tcW w:w="212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March 31, 2018</w:t>
            </w:r>
          </w:p>
        </w:tc>
        <w:tc>
          <w:tcPr>
            <w:tcW w:w="20" w:type="dxa"/>
            <w:vAlign w:val="bottom"/>
          </w:tcPr>
          <w:p>
            <w:pPr>
              <w:spacing w:after="0"/>
              <w:rPr>
                <w:sz w:val="18"/>
                <w:szCs w:val="18"/>
                <w:color w:val="auto"/>
              </w:rPr>
            </w:pPr>
          </w:p>
        </w:tc>
        <w:tc>
          <w:tcPr>
            <w:tcW w:w="244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w w:val="90"/>
              </w:rPr>
              <w:t>December 31, 2018</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2019</w:t>
            </w:r>
          </w:p>
        </w:tc>
      </w:tr>
      <w:tr>
        <w:trPr>
          <w:trHeight w:val="202"/>
        </w:trPr>
        <w:tc>
          <w:tcPr>
            <w:tcW w:w="4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32,002</w:t>
            </w:r>
          </w:p>
        </w:tc>
        <w:tc>
          <w:tcPr>
            <w:tcW w:w="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900" w:type="dxa"/>
            <w:vAlign w:val="bottom"/>
            <w:tcBorders>
              <w:top w:val="single" w:sz="8" w:color="auto"/>
            </w:tcBorders>
            <w:gridSpan w:val="2"/>
            <w:shd w:val="clear" w:color="auto" w:fill="E5FFFF"/>
          </w:tcPr>
          <w:p>
            <w:pPr>
              <w:ind w:left="1460"/>
              <w:spacing w:after="0"/>
              <w:rPr>
                <w:sz w:val="20"/>
                <w:szCs w:val="20"/>
                <w:color w:val="auto"/>
              </w:rPr>
            </w:pPr>
            <w:r>
              <w:rPr>
                <w:rFonts w:ascii="Arial" w:cs="Arial" w:eastAsia="Arial" w:hAnsi="Arial"/>
                <w:sz w:val="16"/>
                <w:szCs w:val="16"/>
                <w:color w:val="auto"/>
                <w:w w:val="85"/>
              </w:rPr>
              <w:t>20,424</w:t>
            </w:r>
          </w:p>
        </w:tc>
        <w:tc>
          <w:tcPr>
            <w:tcW w:w="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20,366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Depreciation</w:t>
            </w:r>
          </w:p>
        </w:tc>
        <w:tc>
          <w:tcPr>
            <w:tcW w:w="1900" w:type="dxa"/>
            <w:vAlign w:val="bottom"/>
          </w:tcPr>
          <w:p>
            <w:pPr>
              <w:jc w:val="right"/>
              <w:spacing w:after="0"/>
              <w:rPr>
                <w:sz w:val="20"/>
                <w:szCs w:val="20"/>
                <w:color w:val="auto"/>
              </w:rPr>
            </w:pPr>
            <w:r>
              <w:rPr>
                <w:rFonts w:ascii="Arial" w:cs="Arial" w:eastAsia="Arial" w:hAnsi="Arial"/>
                <w:sz w:val="16"/>
                <w:szCs w:val="16"/>
                <w:color w:val="auto"/>
              </w:rPr>
              <w:t>16,786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3"/>
          </w:tcPr>
          <w:p>
            <w:pPr>
              <w:ind w:left="1460"/>
              <w:spacing w:after="0"/>
              <w:rPr>
                <w:sz w:val="20"/>
                <w:szCs w:val="20"/>
                <w:color w:val="auto"/>
              </w:rPr>
            </w:pPr>
            <w:r>
              <w:rPr>
                <w:rFonts w:ascii="Arial" w:cs="Arial" w:eastAsia="Arial" w:hAnsi="Arial"/>
                <w:sz w:val="16"/>
                <w:szCs w:val="16"/>
                <w:color w:val="auto"/>
                <w:w w:val="89"/>
              </w:rPr>
              <w:t>19,681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20,380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13,888</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920" w:type="dxa"/>
            <w:vAlign w:val="bottom"/>
            <w:gridSpan w:val="3"/>
            <w:shd w:val="clear" w:color="auto" w:fill="E5FFFF"/>
          </w:tcPr>
          <w:p>
            <w:pPr>
              <w:ind w:left="1460"/>
              <w:spacing w:after="0"/>
              <w:rPr>
                <w:sz w:val="20"/>
                <w:szCs w:val="20"/>
                <w:color w:val="auto"/>
              </w:rPr>
            </w:pPr>
            <w:r>
              <w:rPr>
                <w:rFonts w:ascii="Arial" w:cs="Arial" w:eastAsia="Arial" w:hAnsi="Arial"/>
                <w:sz w:val="16"/>
                <w:szCs w:val="16"/>
                <w:color w:val="auto"/>
                <w:w w:val="89"/>
              </w:rPr>
              <w:t>16,285</w:t>
            </w:r>
          </w:p>
        </w:tc>
        <w:tc>
          <w:tcPr>
            <w:tcW w:w="2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17,902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Financial income</w:t>
            </w:r>
          </w:p>
        </w:tc>
        <w:tc>
          <w:tcPr>
            <w:tcW w:w="2120" w:type="dxa"/>
            <w:vAlign w:val="bottom"/>
            <w:gridSpan w:val="3"/>
          </w:tcPr>
          <w:p>
            <w:pPr>
              <w:jc w:val="right"/>
              <w:ind w:right="160"/>
              <w:spacing w:after="0"/>
              <w:rPr>
                <w:sz w:val="20"/>
                <w:szCs w:val="20"/>
                <w:color w:val="auto"/>
              </w:rPr>
            </w:pPr>
            <w:r>
              <w:rPr>
                <w:rFonts w:ascii="Arial" w:cs="Arial" w:eastAsia="Arial" w:hAnsi="Arial"/>
                <w:sz w:val="16"/>
                <w:szCs w:val="16"/>
                <w:color w:val="auto"/>
              </w:rPr>
              <w:t>(519)</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auto"/>
              </w:rPr>
              <w:t>(719)</w:t>
            </w:r>
          </w:p>
        </w:tc>
        <w:tc>
          <w:tcPr>
            <w:tcW w:w="3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(624)</w:t>
            </w:r>
          </w:p>
        </w:tc>
        <w:tc>
          <w:tcPr>
            <w:tcW w:w="80" w:type="dxa"/>
            <w:vAlign w:val="bottom"/>
            <w:gridSpan w:val="2"/>
          </w:tcPr>
          <w:p>
            <w:pPr>
              <w:spacing w:after="0"/>
              <w:rPr>
                <w:sz w:val="17"/>
                <w:szCs w:val="17"/>
                <w:color w:val="auto"/>
              </w:rPr>
            </w:pPr>
          </w:p>
        </w:tc>
      </w:tr>
      <w:tr>
        <w:trPr>
          <w:trHeight w:val="203"/>
        </w:trPr>
        <w:tc>
          <w:tcPr>
            <w:tcW w:w="434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212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(6,327)</w:t>
            </w:r>
          </w:p>
        </w:tc>
        <w:tc>
          <w:tcPr>
            <w:tcW w:w="1920" w:type="dxa"/>
            <w:vAlign w:val="bottom"/>
            <w:gridSpan w:val="3"/>
            <w:shd w:val="clear" w:color="auto" w:fill="E5FFFF"/>
          </w:tcPr>
          <w:p>
            <w:pPr>
              <w:ind w:left="1460"/>
              <w:spacing w:after="0"/>
              <w:rPr>
                <w:sz w:val="20"/>
                <w:szCs w:val="20"/>
                <w:color w:val="auto"/>
              </w:rPr>
            </w:pPr>
            <w:r>
              <w:rPr>
                <w:rFonts w:ascii="Arial" w:cs="Arial" w:eastAsia="Arial" w:hAnsi="Arial"/>
                <w:sz w:val="16"/>
                <w:szCs w:val="16"/>
                <w:color w:val="auto"/>
                <w:w w:val="89"/>
              </w:rPr>
              <w:t>10,045</w:t>
            </w:r>
          </w:p>
        </w:tc>
        <w:tc>
          <w:tcPr>
            <w:tcW w:w="2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4,877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34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55,830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top w:val="single" w:sz="8" w:color="auto"/>
              <w:bottom w:val="single" w:sz="8" w:color="auto"/>
            </w:tcBorders>
            <w:gridSpan w:val="2"/>
          </w:tcPr>
          <w:p>
            <w:pPr>
              <w:ind w:left="1460"/>
              <w:spacing w:after="0"/>
              <w:rPr>
                <w:sz w:val="20"/>
                <w:szCs w:val="20"/>
                <w:color w:val="auto"/>
              </w:rPr>
            </w:pPr>
            <w:r>
              <w:rPr>
                <w:rFonts w:ascii="Arial" w:cs="Arial" w:eastAsia="Arial" w:hAnsi="Arial"/>
                <w:sz w:val="16"/>
                <w:szCs w:val="16"/>
                <w:b w:val="1"/>
                <w:bCs w:val="1"/>
                <w:color w:val="auto"/>
                <w:w w:val="85"/>
              </w:rPr>
              <w:t>65,716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19"/>
        </w:trPr>
        <w:tc>
          <w:tcPr>
            <w:tcW w:w="526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1"/>
        </w:trPr>
        <w:tc>
          <w:tcPr>
            <w:tcW w:w="5260" w:type="dxa"/>
            <w:vAlign w:val="bottom"/>
          </w:tcPr>
          <w:p>
            <w:pPr>
              <w:spacing w:after="0"/>
              <w:rPr>
                <w:sz w:val="24"/>
                <w:szCs w:val="24"/>
                <w:color w:val="auto"/>
              </w:rPr>
            </w:pPr>
          </w:p>
        </w:tc>
        <w:tc>
          <w:tcPr>
            <w:tcW w:w="5540" w:type="dxa"/>
            <w:vAlign w:val="bottom"/>
            <w:gridSpan w:val="9"/>
          </w:tcPr>
          <w:p>
            <w:pPr>
              <w:jc w:val="center"/>
              <w:spacing w:after="0"/>
              <w:rPr>
                <w:sz w:val="20"/>
                <w:szCs w:val="20"/>
                <w:color w:val="auto"/>
              </w:rPr>
            </w:pPr>
            <w:r>
              <w:rPr>
                <w:rFonts w:ascii="Arial" w:cs="Arial" w:eastAsia="Arial" w:hAnsi="Arial"/>
                <w:sz w:val="16"/>
                <w:szCs w:val="16"/>
                <w:b w:val="1"/>
                <w:bCs w:val="1"/>
                <w:color w:val="auto"/>
                <w:w w:val="92"/>
              </w:rPr>
              <w:t>IFRS Common Control Reported Results</w:t>
            </w:r>
          </w:p>
        </w:tc>
      </w:tr>
      <w:tr>
        <w:trPr>
          <w:trHeight w:val="203"/>
        </w:trPr>
        <w:tc>
          <w:tcPr>
            <w:tcW w:w="5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For the three months ended</w:t>
            </w:r>
          </w:p>
        </w:tc>
        <w:tc>
          <w:tcPr>
            <w:tcW w:w="150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178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March 31, 2018</w:t>
            </w:r>
          </w:p>
        </w:tc>
        <w:tc>
          <w:tcPr>
            <w:tcW w:w="2260" w:type="dxa"/>
            <w:vAlign w:val="bottom"/>
            <w:gridSpan w:val="5"/>
          </w:tcPr>
          <w:p>
            <w:pPr>
              <w:ind w:left="300"/>
              <w:spacing w:after="0"/>
              <w:rPr>
                <w:sz w:val="20"/>
                <w:szCs w:val="20"/>
                <w:color w:val="auto"/>
              </w:rPr>
            </w:pPr>
            <w:r>
              <w:rPr>
                <w:rFonts w:ascii="Arial" w:cs="Arial" w:eastAsia="Arial" w:hAnsi="Arial"/>
                <w:sz w:val="16"/>
                <w:szCs w:val="16"/>
                <w:b w:val="1"/>
                <w:bCs w:val="1"/>
                <w:color w:val="auto"/>
              </w:rPr>
              <w:t>December 31, 2018</w:t>
            </w: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31, 2019</w:t>
            </w:r>
          </w:p>
        </w:tc>
      </w:tr>
      <w:tr>
        <w:trPr>
          <w:trHeight w:val="202"/>
        </w:trPr>
        <w:tc>
          <w:tcPr>
            <w:tcW w:w="52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5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37,292</w:t>
            </w:r>
          </w:p>
        </w:tc>
        <w:tc>
          <w:tcPr>
            <w:tcW w:w="200" w:type="dxa"/>
            <w:vAlign w:val="bottom"/>
            <w:tcBorders>
              <w:top w:val="single" w:sz="8" w:color="E5FFFF"/>
            </w:tcBorders>
            <w:shd w:val="clear" w:color="auto" w:fill="E5FFFF"/>
          </w:tcPr>
          <w:p>
            <w:pPr>
              <w:spacing w:after="0"/>
              <w:rPr>
                <w:sz w:val="17"/>
                <w:szCs w:val="17"/>
                <w:color w:val="auto"/>
              </w:rPr>
            </w:pPr>
          </w:p>
        </w:tc>
        <w:tc>
          <w:tcPr>
            <w:tcW w:w="1920" w:type="dxa"/>
            <w:vAlign w:val="bottom"/>
            <w:tcBorders>
              <w:top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21,836</w:t>
            </w:r>
          </w:p>
        </w:tc>
        <w:tc>
          <w:tcPr>
            <w:tcW w:w="1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20,366</w:t>
            </w: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780" w:type="dxa"/>
            <w:vAlign w:val="bottom"/>
            <w:gridSpan w:val="3"/>
          </w:tcPr>
          <w:p>
            <w:pPr>
              <w:jc w:val="right"/>
              <w:ind w:right="59"/>
              <w:spacing w:after="0"/>
              <w:rPr>
                <w:sz w:val="20"/>
                <w:szCs w:val="20"/>
                <w:color w:val="auto"/>
              </w:rPr>
            </w:pPr>
            <w:r>
              <w:rPr>
                <w:rFonts w:ascii="Arial" w:cs="Arial" w:eastAsia="Arial" w:hAnsi="Arial"/>
                <w:sz w:val="16"/>
                <w:szCs w:val="16"/>
                <w:color w:val="auto"/>
              </w:rPr>
              <w:t>(6,370)</w:t>
            </w:r>
          </w:p>
        </w:tc>
        <w:tc>
          <w:tcPr>
            <w:tcW w:w="2100" w:type="dxa"/>
            <w:vAlign w:val="bottom"/>
            <w:gridSpan w:val="3"/>
          </w:tcPr>
          <w:p>
            <w:pPr>
              <w:jc w:val="right"/>
              <w:ind w:right="200"/>
              <w:spacing w:after="0"/>
              <w:rPr>
                <w:sz w:val="20"/>
                <w:szCs w:val="20"/>
                <w:color w:val="auto"/>
              </w:rPr>
            </w:pPr>
            <w:r>
              <w:rPr>
                <w:rFonts w:ascii="Arial" w:cs="Arial" w:eastAsia="Arial" w:hAnsi="Arial"/>
                <w:sz w:val="16"/>
                <w:szCs w:val="16"/>
                <w:color w:val="auto"/>
              </w:rPr>
              <w:t>10,435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5,607</w:t>
            </w:r>
          </w:p>
        </w:tc>
      </w:tr>
      <w:tr>
        <w:trPr>
          <w:trHeight w:val="203"/>
        </w:trPr>
        <w:tc>
          <w:tcPr>
            <w:tcW w:w="526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900</w:t>
            </w:r>
          </w:p>
        </w:tc>
        <w:tc>
          <w:tcPr>
            <w:tcW w:w="200" w:type="dxa"/>
            <w:vAlign w:val="bottom"/>
            <w:shd w:val="clear" w:color="auto" w:fill="E5FFFF"/>
          </w:tcPr>
          <w:p>
            <w:pPr>
              <w:spacing w:after="0"/>
              <w:rPr>
                <w:sz w:val="17"/>
                <w:szCs w:val="17"/>
                <w:color w:val="auto"/>
              </w:rPr>
            </w:pPr>
          </w:p>
        </w:tc>
        <w:tc>
          <w:tcPr>
            <w:tcW w:w="2260" w:type="dxa"/>
            <w:vAlign w:val="bottom"/>
            <w:gridSpan w:val="5"/>
            <w:shd w:val="clear" w:color="auto" w:fill="E5FFFF"/>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988</w:t>
            </w:r>
          </w:p>
        </w:tc>
      </w:tr>
      <w:tr>
        <w:trPr>
          <w:trHeight w:val="196"/>
        </w:trPr>
        <w:tc>
          <w:tcPr>
            <w:tcW w:w="526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31,822</w:t>
            </w:r>
          </w:p>
        </w:tc>
        <w:tc>
          <w:tcPr>
            <w:tcW w:w="200" w:type="dxa"/>
            <w:vAlign w:val="bottom"/>
          </w:tcPr>
          <w:p>
            <w:pPr>
              <w:spacing w:after="0"/>
              <w:rPr>
                <w:sz w:val="17"/>
                <w:szCs w:val="17"/>
                <w:color w:val="auto"/>
              </w:rPr>
            </w:pPr>
          </w:p>
        </w:tc>
        <w:tc>
          <w:tcPr>
            <w:tcW w:w="1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32,271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26,961</w:t>
            </w:r>
          </w:p>
        </w:tc>
      </w:tr>
      <w:tr>
        <w:trPr>
          <w:trHeight w:val="20"/>
        </w:trPr>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80"/>
        </w:trPr>
        <w:tc>
          <w:tcPr>
            <w:tcW w:w="5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0"/>
              </w:rPr>
              <w:t>Partnership Performance Results</w:t>
            </w:r>
          </w:p>
        </w:tc>
        <w:tc>
          <w:tcPr>
            <w:tcW w:w="1500" w:type="dxa"/>
            <w:vAlign w:val="bottom"/>
          </w:tcPr>
          <w:p>
            <w:pPr>
              <w:spacing w:after="0"/>
              <w:rPr>
                <w:sz w:val="24"/>
                <w:szCs w:val="24"/>
                <w:color w:val="auto"/>
              </w:rPr>
            </w:pPr>
          </w:p>
        </w:tc>
      </w:tr>
      <w:tr>
        <w:trPr>
          <w:trHeight w:val="203"/>
        </w:trPr>
        <w:tc>
          <w:tcPr>
            <w:tcW w:w="5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For the three months ended</w:t>
            </w:r>
          </w:p>
        </w:tc>
        <w:tc>
          <w:tcPr>
            <w:tcW w:w="150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178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March 31, 2018</w:t>
            </w:r>
          </w:p>
        </w:tc>
        <w:tc>
          <w:tcPr>
            <w:tcW w:w="226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2018</w:t>
            </w: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rPr>
              <w:t>March 31, 2019</w:t>
            </w:r>
          </w:p>
        </w:tc>
      </w:tr>
      <w:tr>
        <w:trPr>
          <w:trHeight w:val="202"/>
        </w:trPr>
        <w:tc>
          <w:tcPr>
            <w:tcW w:w="52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32,002</w:t>
            </w:r>
          </w:p>
        </w:tc>
        <w:tc>
          <w:tcPr>
            <w:tcW w:w="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20,424</w:t>
            </w:r>
          </w:p>
        </w:tc>
        <w:tc>
          <w:tcPr>
            <w:tcW w:w="2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20,366</w:t>
            </w: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780" w:type="dxa"/>
            <w:vAlign w:val="bottom"/>
            <w:gridSpan w:val="3"/>
          </w:tcPr>
          <w:p>
            <w:pPr>
              <w:jc w:val="right"/>
              <w:ind w:right="79"/>
              <w:spacing w:after="0"/>
              <w:rPr>
                <w:sz w:val="20"/>
                <w:szCs w:val="20"/>
                <w:color w:val="auto"/>
              </w:rPr>
            </w:pPr>
            <w:r>
              <w:rPr>
                <w:rFonts w:ascii="Arial" w:cs="Arial" w:eastAsia="Arial" w:hAnsi="Arial"/>
                <w:sz w:val="16"/>
                <w:szCs w:val="16"/>
                <w:color w:val="auto"/>
              </w:rPr>
              <w:t>(6,370)</w:t>
            </w:r>
          </w:p>
        </w:tc>
        <w:tc>
          <w:tcPr>
            <w:tcW w:w="1920" w:type="dxa"/>
            <w:vAlign w:val="bottom"/>
            <w:gridSpan w:val="2"/>
          </w:tcPr>
          <w:p>
            <w:pPr>
              <w:jc w:val="right"/>
              <w:ind w:right="20"/>
              <w:spacing w:after="0"/>
              <w:rPr>
                <w:sz w:val="20"/>
                <w:szCs w:val="20"/>
                <w:color w:val="auto"/>
              </w:rPr>
            </w:pPr>
            <w:r>
              <w:rPr>
                <w:rFonts w:ascii="Arial" w:cs="Arial" w:eastAsia="Arial" w:hAnsi="Arial"/>
                <w:sz w:val="16"/>
                <w:szCs w:val="16"/>
                <w:color w:val="auto"/>
              </w:rPr>
              <w:t>10,435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5,607</w:t>
            </w:r>
          </w:p>
        </w:tc>
      </w:tr>
      <w:tr>
        <w:trPr>
          <w:trHeight w:val="203"/>
        </w:trPr>
        <w:tc>
          <w:tcPr>
            <w:tcW w:w="526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900</w:t>
            </w:r>
          </w:p>
        </w:tc>
        <w:tc>
          <w:tcPr>
            <w:tcW w:w="200" w:type="dxa"/>
            <w:vAlign w:val="bottom"/>
            <w:shd w:val="clear" w:color="auto" w:fill="E5FFFF"/>
          </w:tcPr>
          <w:p>
            <w:pPr>
              <w:spacing w:after="0"/>
              <w:rPr>
                <w:sz w:val="17"/>
                <w:szCs w:val="17"/>
                <w:color w:val="auto"/>
              </w:rPr>
            </w:pPr>
          </w:p>
        </w:tc>
        <w:tc>
          <w:tcPr>
            <w:tcW w:w="2260" w:type="dxa"/>
            <w:vAlign w:val="bottom"/>
            <w:gridSpan w:val="5"/>
            <w:shd w:val="clear" w:color="auto" w:fill="E5FFFF"/>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988</w:t>
            </w:r>
          </w:p>
        </w:tc>
      </w:tr>
      <w:tr>
        <w:trPr>
          <w:trHeight w:val="196"/>
        </w:trPr>
        <w:tc>
          <w:tcPr>
            <w:tcW w:w="526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26,532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30,859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26,961</w:t>
            </w:r>
          </w:p>
        </w:tc>
      </w:tr>
      <w:tr>
        <w:trPr>
          <w:trHeight w:val="20"/>
        </w:trPr>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Distributable Cash Flow</w:t>
      </w:r>
    </w:p>
    <w:p>
      <w:pPr>
        <w:spacing w:after="0" w:line="239"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Distributable cash flow means EBITDA, on the basis of the Partnership Performance Results, after considering financial costs for the period, including realized loss on derivatives (interest rate swaps and forward foreign exchange contracts) and excluding amortization of loan fees, 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20"/>
                <w:szCs w:val="20"/>
                <w:color w:val="auto"/>
              </w:rPr>
            </w:pPr>
            <w:r>
              <w:rPr>
                <w:rFonts w:ascii="Arial" w:cs="Arial" w:eastAsia="Arial" w:hAnsi="Arial"/>
                <w:sz w:val="16"/>
                <w:szCs w:val="16"/>
                <w:b w:val="1"/>
                <w:bCs w:val="1"/>
                <w:color w:val="auto"/>
                <w:w w:val="99"/>
              </w:rPr>
              <w:t>Reconciliation of Distributable Cash Flow to Partnership’s Profit: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9"/>
        </w:trPr>
        <w:tc>
          <w:tcPr>
            <w:tcW w:w="494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4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For the three months ended</w:t>
            </w: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940" w:type="dxa"/>
            <w:vAlign w:val="bottom"/>
          </w:tcPr>
          <w:p>
            <w:pPr>
              <w:spacing w:after="0"/>
              <w:rPr>
                <w:sz w:val="18"/>
                <w:szCs w:val="18"/>
                <w:color w:val="auto"/>
              </w:rPr>
            </w:pPr>
          </w:p>
        </w:tc>
        <w:tc>
          <w:tcPr>
            <w:tcW w:w="1800" w:type="dxa"/>
            <w:vAlign w:val="bottom"/>
            <w:gridSpan w:val="2"/>
          </w:tcPr>
          <w:p>
            <w:pPr>
              <w:jc w:val="right"/>
              <w:ind w:right="320"/>
              <w:spacing w:after="0" w:line="217" w:lineRule="exact"/>
              <w:rPr>
                <w:sz w:val="20"/>
                <w:szCs w:val="20"/>
                <w:color w:val="auto"/>
              </w:rPr>
            </w:pPr>
            <w:r>
              <w:rPr>
                <w:rFonts w:ascii="Arial" w:cs="Arial" w:eastAsia="Arial" w:hAnsi="Arial"/>
                <w:sz w:val="16"/>
                <w:szCs w:val="16"/>
                <w:b w:val="1"/>
                <w:bCs w:val="1"/>
                <w:color w:val="auto"/>
              </w:rPr>
              <w:t xml:space="preserve">March 31, 2018 </w:t>
            </w:r>
            <w:r>
              <w:rPr>
                <w:rFonts w:ascii="Arial" w:cs="Arial" w:eastAsia="Arial" w:hAnsi="Arial"/>
                <w:sz w:val="21"/>
                <w:szCs w:val="21"/>
                <w:b w:val="1"/>
                <w:bCs w:val="1"/>
                <w:color w:val="auto"/>
                <w:vertAlign w:val="superscript"/>
              </w:rPr>
              <w:t>(1)</w:t>
            </w:r>
          </w:p>
        </w:tc>
        <w:tc>
          <w:tcPr>
            <w:tcW w:w="80" w:type="dxa"/>
            <w:vAlign w:val="bottom"/>
          </w:tcPr>
          <w:p>
            <w:pPr>
              <w:spacing w:after="0"/>
              <w:rPr>
                <w:sz w:val="18"/>
                <w:szCs w:val="18"/>
                <w:color w:val="auto"/>
              </w:rPr>
            </w:pPr>
          </w:p>
        </w:tc>
        <w:tc>
          <w:tcPr>
            <w:tcW w:w="2040" w:type="dxa"/>
            <w:vAlign w:val="bottom"/>
            <w:gridSpan w:val="2"/>
          </w:tcPr>
          <w:p>
            <w:pPr>
              <w:jc w:val="right"/>
              <w:ind w:right="360"/>
              <w:spacing w:after="0" w:line="217" w:lineRule="exact"/>
              <w:rPr>
                <w:sz w:val="20"/>
                <w:szCs w:val="20"/>
                <w:color w:val="auto"/>
              </w:rPr>
            </w:pPr>
            <w:r>
              <w:rPr>
                <w:rFonts w:ascii="Arial" w:cs="Arial" w:eastAsia="Arial" w:hAnsi="Arial"/>
                <w:sz w:val="16"/>
                <w:szCs w:val="16"/>
                <w:b w:val="1"/>
                <w:bCs w:val="1"/>
                <w:color w:val="auto"/>
              </w:rPr>
              <w:t xml:space="preserve">December 31, 2018 </w:t>
            </w:r>
            <w:r>
              <w:rPr>
                <w:rFonts w:ascii="Arial" w:cs="Arial" w:eastAsia="Arial" w:hAnsi="Arial"/>
                <w:sz w:val="21"/>
                <w:szCs w:val="21"/>
                <w:b w:val="1"/>
                <w:bCs w:val="1"/>
                <w:color w:val="auto"/>
                <w:vertAlign w:val="superscript"/>
              </w:rPr>
              <w:t>(1)</w:t>
            </w:r>
          </w:p>
        </w:tc>
        <w:tc>
          <w:tcPr>
            <w:tcW w:w="1700" w:type="dxa"/>
            <w:vAlign w:val="bottom"/>
            <w:gridSpan w:val="2"/>
          </w:tcPr>
          <w:p>
            <w:pPr>
              <w:ind w:left="200"/>
              <w:spacing w:after="0" w:line="217" w:lineRule="exact"/>
              <w:rPr>
                <w:sz w:val="20"/>
                <w:szCs w:val="20"/>
                <w:color w:val="auto"/>
              </w:rPr>
            </w:pPr>
            <w:r>
              <w:rPr>
                <w:rFonts w:ascii="Arial" w:cs="Arial" w:eastAsia="Arial" w:hAnsi="Arial"/>
                <w:sz w:val="16"/>
                <w:szCs w:val="16"/>
                <w:b w:val="1"/>
                <w:bCs w:val="1"/>
                <w:color w:val="auto"/>
              </w:rPr>
              <w:t xml:space="preserve">March 31, 2019 </w:t>
            </w:r>
            <w:r>
              <w:rPr>
                <w:rFonts w:ascii="Arial" w:cs="Arial" w:eastAsia="Arial" w:hAnsi="Arial"/>
                <w:sz w:val="21"/>
                <w:szCs w:val="21"/>
                <w:b w:val="1"/>
                <w:bCs w:val="1"/>
                <w:color w:val="auto"/>
                <w:vertAlign w:val="superscript"/>
              </w:rPr>
              <w:t>(4)</w:t>
            </w:r>
          </w:p>
        </w:tc>
      </w:tr>
      <w:tr>
        <w:trPr>
          <w:trHeight w:val="196"/>
        </w:trPr>
        <w:tc>
          <w:tcPr>
            <w:tcW w:w="4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Partnership’s profit for the period</w:t>
            </w: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32,002</w:t>
            </w:r>
          </w:p>
        </w:tc>
        <w:tc>
          <w:tcPr>
            <w:tcW w:w="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20,424</w:t>
            </w:r>
          </w:p>
        </w:tc>
        <w:tc>
          <w:tcPr>
            <w:tcW w:w="16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20,366</w:t>
            </w:r>
          </w:p>
        </w:tc>
        <w:tc>
          <w:tcPr>
            <w:tcW w:w="60" w:type="dxa"/>
            <w:vAlign w:val="bottom"/>
          </w:tcPr>
          <w:p>
            <w:pPr>
              <w:spacing w:after="0"/>
              <w:rPr>
                <w:sz w:val="17"/>
                <w:szCs w:val="17"/>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6"/>
                <w:szCs w:val="16"/>
                <w:color w:val="auto"/>
              </w:rPr>
              <w:t>Depreciation</w:t>
            </w:r>
          </w:p>
        </w:tc>
        <w:tc>
          <w:tcPr>
            <w:tcW w:w="1720" w:type="dxa"/>
            <w:vAlign w:val="bottom"/>
          </w:tcPr>
          <w:p>
            <w:pPr>
              <w:jc w:val="right"/>
              <w:spacing w:after="0"/>
              <w:rPr>
                <w:sz w:val="20"/>
                <w:szCs w:val="20"/>
                <w:color w:val="auto"/>
              </w:rPr>
            </w:pPr>
            <w:r>
              <w:rPr>
                <w:rFonts w:ascii="Arial" w:cs="Arial" w:eastAsia="Arial" w:hAnsi="Arial"/>
                <w:sz w:val="16"/>
                <w:szCs w:val="16"/>
                <w:color w:val="auto"/>
              </w:rPr>
              <w:t>16,786</w:t>
            </w:r>
          </w:p>
        </w:tc>
        <w:tc>
          <w:tcPr>
            <w:tcW w:w="80" w:type="dxa"/>
            <w:vAlign w:val="bottom"/>
          </w:tcPr>
          <w:p>
            <w:pPr>
              <w:spacing w:after="0"/>
              <w:rPr>
                <w:sz w:val="17"/>
                <w:szCs w:val="17"/>
                <w:color w:val="auto"/>
              </w:rPr>
            </w:pPr>
          </w:p>
        </w:tc>
        <w:tc>
          <w:tcPr>
            <w:tcW w:w="2120" w:type="dxa"/>
            <w:vAlign w:val="bottom"/>
            <w:gridSpan w:val="3"/>
          </w:tcPr>
          <w:p>
            <w:pPr>
              <w:jc w:val="right"/>
              <w:ind w:right="160"/>
              <w:spacing w:after="0"/>
              <w:rPr>
                <w:sz w:val="20"/>
                <w:szCs w:val="20"/>
                <w:color w:val="auto"/>
              </w:rPr>
            </w:pPr>
            <w:r>
              <w:rPr>
                <w:rFonts w:ascii="Arial" w:cs="Arial" w:eastAsia="Arial" w:hAnsi="Arial"/>
                <w:sz w:val="16"/>
                <w:szCs w:val="16"/>
                <w:color w:val="auto"/>
              </w:rPr>
              <w:t>19,681</w:t>
            </w:r>
          </w:p>
        </w:tc>
        <w:tc>
          <w:tcPr>
            <w:tcW w:w="1640" w:type="dxa"/>
            <w:vAlign w:val="bottom"/>
          </w:tcPr>
          <w:p>
            <w:pPr>
              <w:jc w:val="right"/>
              <w:spacing w:after="0"/>
              <w:rPr>
                <w:sz w:val="20"/>
                <w:szCs w:val="20"/>
                <w:color w:val="auto"/>
              </w:rPr>
            </w:pPr>
            <w:r>
              <w:rPr>
                <w:rFonts w:ascii="Arial" w:cs="Arial" w:eastAsia="Arial" w:hAnsi="Arial"/>
                <w:sz w:val="16"/>
                <w:szCs w:val="16"/>
                <w:color w:val="auto"/>
              </w:rPr>
              <w:t>20,380</w:t>
            </w:r>
          </w:p>
        </w:tc>
        <w:tc>
          <w:tcPr>
            <w:tcW w:w="60" w:type="dxa"/>
            <w:vAlign w:val="bottom"/>
          </w:tcPr>
          <w:p>
            <w:pPr>
              <w:spacing w:after="0"/>
              <w:rPr>
                <w:sz w:val="17"/>
                <w:szCs w:val="17"/>
                <w:color w:val="auto"/>
              </w:rPr>
            </w:pPr>
          </w:p>
        </w:tc>
      </w:tr>
      <w:tr>
        <w:trPr>
          <w:trHeight w:val="203"/>
        </w:trPr>
        <w:tc>
          <w:tcPr>
            <w:tcW w:w="49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13,888</w:t>
            </w:r>
          </w:p>
        </w:tc>
        <w:tc>
          <w:tcPr>
            <w:tcW w:w="80" w:type="dxa"/>
            <w:vAlign w:val="bottom"/>
            <w:shd w:val="clear" w:color="auto" w:fill="E5FFFF"/>
          </w:tcPr>
          <w:p>
            <w:pPr>
              <w:spacing w:after="0"/>
              <w:rPr>
                <w:sz w:val="17"/>
                <w:szCs w:val="17"/>
                <w:color w:val="auto"/>
              </w:rPr>
            </w:pPr>
          </w:p>
        </w:tc>
        <w:tc>
          <w:tcPr>
            <w:tcW w:w="212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16,285</w:t>
            </w:r>
          </w:p>
        </w:tc>
        <w:tc>
          <w:tcPr>
            <w:tcW w:w="1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17,902</w:t>
            </w:r>
          </w:p>
        </w:tc>
        <w:tc>
          <w:tcPr>
            <w:tcW w:w="60" w:type="dxa"/>
            <w:vAlign w:val="bottom"/>
          </w:tcPr>
          <w:p>
            <w:pPr>
              <w:spacing w:after="0"/>
              <w:rPr>
                <w:sz w:val="17"/>
                <w:szCs w:val="17"/>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6"/>
                <w:szCs w:val="16"/>
                <w:color w:val="auto"/>
              </w:rPr>
              <w:t>Financial income</w:t>
            </w:r>
          </w:p>
        </w:tc>
        <w:tc>
          <w:tcPr>
            <w:tcW w:w="1800" w:type="dxa"/>
            <w:vAlign w:val="bottom"/>
            <w:gridSpan w:val="2"/>
          </w:tcPr>
          <w:p>
            <w:pPr>
              <w:jc w:val="right"/>
              <w:ind w:right="40"/>
              <w:spacing w:after="0"/>
              <w:rPr>
                <w:sz w:val="20"/>
                <w:szCs w:val="20"/>
                <w:color w:val="auto"/>
              </w:rPr>
            </w:pPr>
            <w:r>
              <w:rPr>
                <w:rFonts w:ascii="Arial" w:cs="Arial" w:eastAsia="Arial" w:hAnsi="Arial"/>
                <w:sz w:val="16"/>
                <w:szCs w:val="16"/>
                <w:color w:val="auto"/>
              </w:rPr>
              <w:t>(519)</w:t>
            </w:r>
          </w:p>
        </w:tc>
        <w:tc>
          <w:tcPr>
            <w:tcW w:w="2120" w:type="dxa"/>
            <w:vAlign w:val="bottom"/>
            <w:gridSpan w:val="3"/>
          </w:tcPr>
          <w:p>
            <w:pPr>
              <w:jc w:val="right"/>
              <w:ind w:right="120"/>
              <w:spacing w:after="0"/>
              <w:rPr>
                <w:sz w:val="20"/>
                <w:szCs w:val="20"/>
                <w:color w:val="auto"/>
              </w:rPr>
            </w:pPr>
            <w:r>
              <w:rPr>
                <w:rFonts w:ascii="Arial" w:cs="Arial" w:eastAsia="Arial" w:hAnsi="Arial"/>
                <w:sz w:val="16"/>
                <w:szCs w:val="16"/>
                <w:color w:val="auto"/>
              </w:rPr>
              <w:t>(719)</w:t>
            </w:r>
          </w:p>
        </w:tc>
        <w:tc>
          <w:tcPr>
            <w:tcW w:w="1640" w:type="dxa"/>
            <w:vAlign w:val="bottom"/>
          </w:tcPr>
          <w:p>
            <w:pPr>
              <w:jc w:val="right"/>
              <w:spacing w:after="0"/>
              <w:rPr>
                <w:sz w:val="20"/>
                <w:szCs w:val="20"/>
                <w:color w:val="auto"/>
              </w:rPr>
            </w:pPr>
            <w:r>
              <w:rPr>
                <w:rFonts w:ascii="Arial" w:cs="Arial" w:eastAsia="Arial" w:hAnsi="Arial"/>
                <w:sz w:val="16"/>
                <w:szCs w:val="16"/>
                <w:color w:val="auto"/>
              </w:rPr>
              <w:t>(624)</w:t>
            </w:r>
          </w:p>
        </w:tc>
        <w:tc>
          <w:tcPr>
            <w:tcW w:w="60" w:type="dxa"/>
            <w:vAlign w:val="bottom"/>
          </w:tcPr>
          <w:p>
            <w:pPr>
              <w:spacing w:after="0"/>
              <w:rPr>
                <w:sz w:val="17"/>
                <w:szCs w:val="17"/>
                <w:color w:val="auto"/>
              </w:rPr>
            </w:pPr>
          </w:p>
        </w:tc>
      </w:tr>
      <w:tr>
        <w:trPr>
          <w:trHeight w:val="203"/>
        </w:trPr>
        <w:tc>
          <w:tcPr>
            <w:tcW w:w="494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18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(6,327)</w:t>
            </w:r>
          </w:p>
        </w:tc>
        <w:tc>
          <w:tcPr>
            <w:tcW w:w="212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10,045</w:t>
            </w:r>
          </w:p>
        </w:tc>
        <w:tc>
          <w:tcPr>
            <w:tcW w:w="1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4,877</w:t>
            </w:r>
          </w:p>
        </w:tc>
        <w:tc>
          <w:tcPr>
            <w:tcW w:w="60" w:type="dxa"/>
            <w:vAlign w:val="bottom"/>
          </w:tcPr>
          <w:p>
            <w:pPr>
              <w:spacing w:after="0"/>
              <w:rPr>
                <w:sz w:val="17"/>
                <w:szCs w:val="17"/>
                <w:color w:val="auto"/>
              </w:rPr>
            </w:pPr>
          </w:p>
        </w:tc>
      </w:tr>
      <w:tr>
        <w:trPr>
          <w:trHeight w:val="196"/>
        </w:trPr>
        <w:tc>
          <w:tcPr>
            <w:tcW w:w="49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55,830</w:t>
            </w:r>
          </w:p>
        </w:tc>
        <w:tc>
          <w:tcPr>
            <w:tcW w:w="8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65,716</w:t>
            </w:r>
          </w:p>
        </w:tc>
        <w:tc>
          <w:tcPr>
            <w:tcW w:w="160" w:type="dxa"/>
            <w:vAlign w:val="bottom"/>
            <w:tcBorders>
              <w:bottom w:val="single" w:sz="8" w:color="E5FFFF"/>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62,901</w:t>
            </w:r>
          </w:p>
        </w:tc>
        <w:tc>
          <w:tcPr>
            <w:tcW w:w="60" w:type="dxa"/>
            <w:vAlign w:val="bottom"/>
          </w:tcPr>
          <w:p>
            <w:pPr>
              <w:spacing w:after="0"/>
              <w:rPr>
                <w:sz w:val="17"/>
                <w:szCs w:val="17"/>
                <w:color w:val="auto"/>
              </w:rPr>
            </w:pPr>
          </w:p>
        </w:tc>
      </w:tr>
      <w:tr>
        <w:trPr>
          <w:trHeight w:val="173"/>
        </w:trPr>
        <w:tc>
          <w:tcPr>
            <w:tcW w:w="4940" w:type="dxa"/>
            <w:vAlign w:val="bottom"/>
            <w:shd w:val="clear" w:color="auto" w:fill="E5FFFF"/>
          </w:tcPr>
          <w:p>
            <w:pPr>
              <w:spacing w:after="0" w:line="173" w:lineRule="exact"/>
              <w:rPr>
                <w:sz w:val="20"/>
                <w:szCs w:val="20"/>
                <w:color w:val="auto"/>
              </w:rPr>
            </w:pPr>
            <w:r>
              <w:rPr>
                <w:rFonts w:ascii="Arial" w:cs="Arial" w:eastAsia="Arial" w:hAnsi="Arial"/>
                <w:sz w:val="16"/>
                <w:szCs w:val="16"/>
                <w:color w:val="auto"/>
                <w:w w:val="97"/>
              </w:rPr>
              <w:t>Financial costs (excluding amortization of loan fees and lease expense)</w:t>
            </w:r>
          </w:p>
        </w:tc>
        <w:tc>
          <w:tcPr>
            <w:tcW w:w="17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18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64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49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and realized loss on derivatives</w:t>
            </w:r>
          </w:p>
        </w:tc>
        <w:tc>
          <w:tcPr>
            <w:tcW w:w="18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(11,771)</w:t>
            </w:r>
          </w:p>
        </w:tc>
        <w:tc>
          <w:tcPr>
            <w:tcW w:w="212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(14,667)</w:t>
            </w:r>
          </w:p>
        </w:tc>
        <w:tc>
          <w:tcPr>
            <w:tcW w:w="1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(14,784)</w:t>
            </w:r>
          </w:p>
        </w:tc>
        <w:tc>
          <w:tcPr>
            <w:tcW w:w="60" w:type="dxa"/>
            <w:vAlign w:val="bottom"/>
          </w:tcPr>
          <w:p>
            <w:pPr>
              <w:spacing w:after="0"/>
              <w:rPr>
                <w:sz w:val="18"/>
                <w:szCs w:val="18"/>
                <w:color w:val="auto"/>
              </w:rPr>
            </w:pPr>
          </w:p>
        </w:tc>
      </w:tr>
      <w:tr>
        <w:trPr>
          <w:trHeight w:val="203"/>
        </w:trPr>
        <w:tc>
          <w:tcPr>
            <w:tcW w:w="4940" w:type="dxa"/>
            <w:vAlign w:val="bottom"/>
          </w:tcPr>
          <w:p>
            <w:pPr>
              <w:spacing w:after="0" w:line="203" w:lineRule="exact"/>
              <w:rPr>
                <w:sz w:val="20"/>
                <w:szCs w:val="20"/>
                <w:color w:val="auto"/>
              </w:rPr>
            </w:pPr>
            <w:r>
              <w:rPr>
                <w:rFonts w:ascii="Arial" w:cs="Arial" w:eastAsia="Arial" w:hAnsi="Arial"/>
                <w:sz w:val="16"/>
                <w:szCs w:val="16"/>
                <w:color w:val="auto"/>
              </w:rPr>
              <w:t xml:space="preserve">Dry-docking capital reserve </w:t>
            </w:r>
            <w:r>
              <w:rPr>
                <w:rFonts w:ascii="Arial" w:cs="Arial" w:eastAsia="Arial" w:hAnsi="Arial"/>
                <w:sz w:val="21"/>
                <w:szCs w:val="21"/>
                <w:color w:val="auto"/>
                <w:vertAlign w:val="superscript"/>
              </w:rPr>
              <w:t>(2)</w:t>
            </w:r>
          </w:p>
        </w:tc>
        <w:tc>
          <w:tcPr>
            <w:tcW w:w="1800" w:type="dxa"/>
            <w:vAlign w:val="bottom"/>
            <w:gridSpan w:val="2"/>
          </w:tcPr>
          <w:p>
            <w:pPr>
              <w:jc w:val="right"/>
              <w:ind w:right="40"/>
              <w:spacing w:after="0"/>
              <w:rPr>
                <w:sz w:val="20"/>
                <w:szCs w:val="20"/>
                <w:color w:val="auto"/>
              </w:rPr>
            </w:pPr>
            <w:r>
              <w:rPr>
                <w:rFonts w:ascii="Arial" w:cs="Arial" w:eastAsia="Arial" w:hAnsi="Arial"/>
                <w:sz w:val="16"/>
                <w:szCs w:val="16"/>
                <w:color w:val="auto"/>
              </w:rPr>
              <w:t>(3,245)</w:t>
            </w:r>
          </w:p>
        </w:tc>
        <w:tc>
          <w:tcPr>
            <w:tcW w:w="2120" w:type="dxa"/>
            <w:vAlign w:val="bottom"/>
            <w:gridSpan w:val="3"/>
          </w:tcPr>
          <w:p>
            <w:pPr>
              <w:jc w:val="right"/>
              <w:ind w:right="120"/>
              <w:spacing w:after="0"/>
              <w:rPr>
                <w:sz w:val="20"/>
                <w:szCs w:val="20"/>
                <w:color w:val="auto"/>
              </w:rPr>
            </w:pPr>
            <w:r>
              <w:rPr>
                <w:rFonts w:ascii="Arial" w:cs="Arial" w:eastAsia="Arial" w:hAnsi="Arial"/>
                <w:sz w:val="16"/>
                <w:szCs w:val="16"/>
                <w:color w:val="auto"/>
              </w:rPr>
              <w:t>(3,675)</w:t>
            </w:r>
          </w:p>
        </w:tc>
        <w:tc>
          <w:tcPr>
            <w:tcW w:w="1640" w:type="dxa"/>
            <w:vAlign w:val="bottom"/>
          </w:tcPr>
          <w:p>
            <w:pPr>
              <w:jc w:val="right"/>
              <w:spacing w:after="0"/>
              <w:rPr>
                <w:sz w:val="20"/>
                <w:szCs w:val="20"/>
                <w:color w:val="auto"/>
              </w:rPr>
            </w:pPr>
            <w:r>
              <w:rPr>
                <w:rFonts w:ascii="Arial" w:cs="Arial" w:eastAsia="Arial" w:hAnsi="Arial"/>
                <w:sz w:val="16"/>
                <w:szCs w:val="16"/>
                <w:color w:val="auto"/>
              </w:rPr>
              <w:t>(3,882)</w:t>
            </w:r>
          </w:p>
        </w:tc>
        <w:tc>
          <w:tcPr>
            <w:tcW w:w="60" w:type="dxa"/>
            <w:vAlign w:val="bottom"/>
          </w:tcPr>
          <w:p>
            <w:pPr>
              <w:spacing w:after="0"/>
              <w:rPr>
                <w:sz w:val="17"/>
                <w:szCs w:val="17"/>
                <w:color w:val="auto"/>
              </w:rPr>
            </w:pPr>
          </w:p>
        </w:tc>
      </w:tr>
      <w:tr>
        <w:trPr>
          <w:trHeight w:val="203"/>
        </w:trPr>
        <w:tc>
          <w:tcPr>
            <w:tcW w:w="494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 xml:space="preserve">Replacement capital reserve </w:t>
            </w:r>
            <w:r>
              <w:rPr>
                <w:rFonts w:ascii="Arial" w:cs="Arial" w:eastAsia="Arial" w:hAnsi="Arial"/>
                <w:sz w:val="21"/>
                <w:szCs w:val="21"/>
                <w:color w:val="auto"/>
                <w:vertAlign w:val="superscript"/>
              </w:rPr>
              <w:t>(2)</w:t>
            </w:r>
          </w:p>
        </w:tc>
        <w:tc>
          <w:tcPr>
            <w:tcW w:w="18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(8,314)</w:t>
            </w:r>
          </w:p>
        </w:tc>
        <w:tc>
          <w:tcPr>
            <w:tcW w:w="212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(9,430)</w:t>
            </w:r>
          </w:p>
        </w:tc>
        <w:tc>
          <w:tcPr>
            <w:tcW w:w="1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(9,045)</w:t>
            </w:r>
          </w:p>
        </w:tc>
        <w:tc>
          <w:tcPr>
            <w:tcW w:w="60" w:type="dxa"/>
            <w:vAlign w:val="bottom"/>
          </w:tcPr>
          <w:p>
            <w:pPr>
              <w:spacing w:after="0"/>
              <w:rPr>
                <w:sz w:val="17"/>
                <w:szCs w:val="17"/>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6"/>
                <w:szCs w:val="16"/>
                <w:color w:val="auto"/>
              </w:rPr>
              <w:t>Accrued preferred equity distribution</w:t>
            </w:r>
          </w:p>
        </w:tc>
        <w:tc>
          <w:tcPr>
            <w:tcW w:w="1800" w:type="dxa"/>
            <w:vAlign w:val="bottom"/>
            <w:gridSpan w:val="2"/>
          </w:tcPr>
          <w:p>
            <w:pPr>
              <w:jc w:val="right"/>
              <w:ind w:right="40"/>
              <w:spacing w:after="0"/>
              <w:rPr>
                <w:sz w:val="20"/>
                <w:szCs w:val="20"/>
                <w:color w:val="auto"/>
              </w:rPr>
            </w:pPr>
            <w:r>
              <w:rPr>
                <w:rFonts w:ascii="Arial" w:cs="Arial" w:eastAsia="Arial" w:hAnsi="Arial"/>
                <w:sz w:val="16"/>
                <w:szCs w:val="16"/>
                <w:color w:val="auto"/>
              </w:rPr>
              <w:t>(5,038)</w:t>
            </w:r>
          </w:p>
        </w:tc>
        <w:tc>
          <w:tcPr>
            <w:tcW w:w="2120" w:type="dxa"/>
            <w:vAlign w:val="bottom"/>
            <w:gridSpan w:val="3"/>
          </w:tcPr>
          <w:p>
            <w:pPr>
              <w:jc w:val="right"/>
              <w:ind w:right="120"/>
              <w:spacing w:after="0"/>
              <w:rPr>
                <w:sz w:val="20"/>
                <w:szCs w:val="20"/>
                <w:color w:val="auto"/>
              </w:rPr>
            </w:pPr>
            <w:r>
              <w:rPr>
                <w:rFonts w:ascii="Arial" w:cs="Arial" w:eastAsia="Arial" w:hAnsi="Arial"/>
                <w:sz w:val="16"/>
                <w:szCs w:val="16"/>
                <w:color w:val="auto"/>
              </w:rPr>
              <w:t>(6,543)</w:t>
            </w:r>
          </w:p>
        </w:tc>
        <w:tc>
          <w:tcPr>
            <w:tcW w:w="1640" w:type="dxa"/>
            <w:vAlign w:val="bottom"/>
          </w:tcPr>
          <w:p>
            <w:pPr>
              <w:jc w:val="right"/>
              <w:spacing w:after="0"/>
              <w:rPr>
                <w:sz w:val="20"/>
                <w:szCs w:val="20"/>
                <w:color w:val="auto"/>
              </w:rPr>
            </w:pPr>
            <w:r>
              <w:rPr>
                <w:rFonts w:ascii="Arial" w:cs="Arial" w:eastAsia="Arial" w:hAnsi="Arial"/>
                <w:sz w:val="16"/>
                <w:szCs w:val="16"/>
                <w:color w:val="auto"/>
              </w:rPr>
              <w:t>(7,582)</w:t>
            </w:r>
          </w:p>
        </w:tc>
        <w:tc>
          <w:tcPr>
            <w:tcW w:w="60" w:type="dxa"/>
            <w:vAlign w:val="bottom"/>
          </w:tcPr>
          <w:p>
            <w:pPr>
              <w:spacing w:after="0"/>
              <w:rPr>
                <w:sz w:val="17"/>
                <w:szCs w:val="17"/>
                <w:color w:val="auto"/>
              </w:rPr>
            </w:pPr>
          </w:p>
        </w:tc>
      </w:tr>
      <w:tr>
        <w:trPr>
          <w:trHeight w:val="196"/>
        </w:trPr>
        <w:tc>
          <w:tcPr>
            <w:tcW w:w="4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Distributable cash flow</w:t>
            </w: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27,462</w:t>
            </w:r>
          </w:p>
        </w:tc>
        <w:tc>
          <w:tcPr>
            <w:tcW w:w="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31,401</w:t>
            </w:r>
          </w:p>
        </w:tc>
        <w:tc>
          <w:tcPr>
            <w:tcW w:w="16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27,608</w:t>
            </w:r>
          </w:p>
        </w:tc>
        <w:tc>
          <w:tcPr>
            <w:tcW w:w="60" w:type="dxa"/>
            <w:vAlign w:val="bottom"/>
          </w:tcPr>
          <w:p>
            <w:pPr>
              <w:spacing w:after="0"/>
              <w:rPr>
                <w:sz w:val="17"/>
                <w:szCs w:val="17"/>
                <w:color w:val="auto"/>
              </w:rPr>
            </w:pPr>
          </w:p>
        </w:tc>
      </w:tr>
      <w:tr>
        <w:trPr>
          <w:trHeight w:val="196"/>
        </w:trPr>
        <w:tc>
          <w:tcPr>
            <w:tcW w:w="4940" w:type="dxa"/>
            <w:vAlign w:val="bottom"/>
            <w:tcBorders>
              <w:bottom w:val="single" w:sz="8" w:color="E5FFFF"/>
            </w:tcBorders>
          </w:tcPr>
          <w:p>
            <w:pPr>
              <w:spacing w:after="0" w:line="196" w:lineRule="exact"/>
              <w:rPr>
                <w:sz w:val="20"/>
                <w:szCs w:val="20"/>
                <w:color w:val="auto"/>
              </w:rPr>
            </w:pPr>
            <w:r>
              <w:rPr>
                <w:rFonts w:ascii="Arial" w:cs="Arial" w:eastAsia="Arial" w:hAnsi="Arial"/>
                <w:sz w:val="16"/>
                <w:szCs w:val="16"/>
                <w:color w:val="auto"/>
              </w:rPr>
              <w:t xml:space="preserve">Other reserves </w:t>
            </w:r>
            <w:r>
              <w:rPr>
                <w:rFonts w:ascii="Arial" w:cs="Arial" w:eastAsia="Arial" w:hAnsi="Arial"/>
                <w:sz w:val="21"/>
                <w:szCs w:val="21"/>
                <w:color w:val="auto"/>
                <w:vertAlign w:val="superscript"/>
              </w:rPr>
              <w:t>(3)</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w:t>
            </w:r>
          </w:p>
        </w:tc>
        <w:tc>
          <w:tcPr>
            <w:tcW w:w="8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(4,472)</w:t>
            </w:r>
          </w:p>
        </w:tc>
        <w:tc>
          <w:tcPr>
            <w:tcW w:w="160" w:type="dxa"/>
            <w:vAlign w:val="bottom"/>
            <w:tcBorders>
              <w:bottom w:val="single" w:sz="8" w:color="E5FF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60" w:type="dxa"/>
            <w:vAlign w:val="bottom"/>
          </w:tcPr>
          <w:p>
            <w:pPr>
              <w:spacing w:after="0"/>
              <w:rPr>
                <w:sz w:val="17"/>
                <w:szCs w:val="17"/>
                <w:color w:val="auto"/>
              </w:rPr>
            </w:pPr>
          </w:p>
        </w:tc>
      </w:tr>
      <w:tr>
        <w:trPr>
          <w:trHeight w:val="196"/>
        </w:trPr>
        <w:tc>
          <w:tcPr>
            <w:tcW w:w="49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distribution declared</w:t>
            </w: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24,272</w:t>
            </w:r>
          </w:p>
        </w:tc>
        <w:tc>
          <w:tcPr>
            <w:tcW w:w="8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1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26,929</w:t>
            </w:r>
          </w:p>
        </w:tc>
        <w:tc>
          <w:tcPr>
            <w:tcW w:w="160" w:type="dxa"/>
            <w:vAlign w:val="bottom"/>
            <w:tcBorders>
              <w:bottom w:val="single" w:sz="8" w:color="E5FFFF"/>
            </w:tcBorders>
            <w:shd w:val="clear" w:color="auto" w:fill="E5FFFF"/>
          </w:tcPr>
          <w:p>
            <w:pPr>
              <w:spacing w:after="0"/>
              <w:rPr>
                <w:sz w:val="17"/>
                <w:szCs w:val="17"/>
                <w:color w:val="auto"/>
              </w:rPr>
            </w:pPr>
          </w:p>
        </w:tc>
        <w:tc>
          <w:tcPr>
            <w:tcW w:w="1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26,929</w:t>
            </w:r>
          </w:p>
        </w:tc>
        <w:tc>
          <w:tcPr>
            <w:tcW w:w="6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 xml:space="preserve">Excludes amounts related to GAS-fourteen Ltd., the owner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GAS-twenty seven Ltd., the owner of the </w:t>
      </w:r>
      <w:r>
        <w:rPr>
          <w:rFonts w:ascii="Arial" w:cs="Arial" w:eastAsia="Arial" w:hAnsi="Arial"/>
          <w:sz w:val="16"/>
          <w:szCs w:val="16"/>
          <w:i w:val="1"/>
          <w:iCs w:val="1"/>
          <w:color w:val="auto"/>
        </w:rPr>
        <w:t>Methane</w:t>
      </w:r>
    </w:p>
    <w:p>
      <w:pPr>
        <w:spacing w:after="0" w:line="207" w:lineRule="exact"/>
        <w:rPr>
          <w:rFonts w:ascii="Arial" w:cs="Arial" w:eastAsia="Arial" w:hAnsi="Arial"/>
          <w:sz w:val="23"/>
          <w:szCs w:val="23"/>
          <w:color w:val="auto"/>
          <w:vertAlign w:val="superscript"/>
        </w:rPr>
      </w:pPr>
    </w:p>
    <w:p>
      <w:pPr>
        <w:ind w:left="5620"/>
        <w:spacing w:after="0"/>
        <w:rPr>
          <w:rFonts w:ascii="Arial" w:cs="Arial" w:eastAsia="Arial" w:hAnsi="Arial"/>
          <w:sz w:val="23"/>
          <w:szCs w:val="23"/>
          <w:color w:val="auto"/>
          <w:vertAlign w:val="superscript"/>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6" w:name="page17"/>
    <w:bookmarkEnd w:id="16"/>
    <w:p>
      <w:pPr>
        <w:ind w:left="332" w:right="260"/>
        <w:spacing w:after="0" w:line="324" w:lineRule="auto"/>
        <w:rPr>
          <w:sz w:val="20"/>
          <w:szCs w:val="20"/>
          <w:color w:val="auto"/>
        </w:rPr>
      </w:pPr>
      <w:r>
        <w:rPr>
          <w:rFonts w:ascii="Arial" w:cs="Arial" w:eastAsia="Arial" w:hAnsi="Arial"/>
          <w:sz w:val="14"/>
          <w:szCs w:val="14"/>
          <w:i w:val="1"/>
          <w:iCs w:val="1"/>
          <w:color w:val="auto"/>
        </w:rPr>
        <w:t>Becki Anne</w:t>
      </w:r>
      <w:r>
        <w:rPr>
          <w:rFonts w:ascii="Arial" w:cs="Arial" w:eastAsia="Arial" w:hAnsi="Arial"/>
          <w:sz w:val="14"/>
          <w:szCs w:val="14"/>
          <w:color w:val="auto"/>
        </w:rPr>
        <w:t>, for the periods prior to their transfers to the Partnership on April 26, 2018 and November 14, 2018, respectively. While such amounts are reflected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Partnership’s unaudited condensed consolidated financial statements because the transfers to the Partnership were accounted for as reorganizations of entities under common control under IFRS, GAS-fourteen Ltd. and GAS-twenty seven Ltd. were not owned by the Partnership prior to their respective transfers to the Partnership in April 2018 and November 2018, respectively, and accordingly the Partnership was not entitled to the cash or results generated in the period prior to such transfers.</w:t>
      </w:r>
    </w:p>
    <w:p>
      <w:pPr>
        <w:spacing w:after="0" w:line="157" w:lineRule="exact"/>
        <w:rPr>
          <w:sz w:val="20"/>
          <w:szCs w:val="20"/>
          <w:color w:val="auto"/>
        </w:rPr>
      </w:pPr>
    </w:p>
    <w:p>
      <w:pPr>
        <w:ind w:left="332" w:hanging="332"/>
        <w:spacing w:after="0" w:line="218"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Effective January 1, 2019, the Partnership revised the assumed re-investment rate used in calculating the dry-docking capital reserve and the replacement capital reserve to reflect the upward movement of the USD LIBOR rates.</w:t>
      </w:r>
    </w:p>
    <w:p>
      <w:pPr>
        <w:spacing w:after="0" w:line="213" w:lineRule="exact"/>
        <w:rPr>
          <w:rFonts w:ascii="Arial" w:cs="Arial" w:eastAsia="Arial" w:hAnsi="Arial"/>
          <w:sz w:val="23"/>
          <w:szCs w:val="23"/>
          <w:color w:val="auto"/>
          <w:vertAlign w:val="superscript"/>
        </w:rPr>
      </w:pPr>
    </w:p>
    <w:p>
      <w:pPr>
        <w:ind w:left="332" w:right="800" w:hanging="332"/>
        <w:spacing w:after="0" w:line="218"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Refers to movements in reserves (other than the dry-docking and replacement capital reserves) for the proper conduct of the business of the Partnership and its subsidiaries.</w:t>
      </w:r>
    </w:p>
    <w:p>
      <w:pPr>
        <w:spacing w:after="0" w:line="213" w:lineRule="exact"/>
        <w:rPr>
          <w:rFonts w:ascii="Arial" w:cs="Arial" w:eastAsia="Arial" w:hAnsi="Arial"/>
          <w:sz w:val="23"/>
          <w:szCs w:val="23"/>
          <w:color w:val="auto"/>
          <w:vertAlign w:val="superscript"/>
        </w:rPr>
      </w:pPr>
    </w:p>
    <w:p>
      <w:pPr>
        <w:ind w:left="332" w:right="700" w:hanging="332"/>
        <w:spacing w:after="0" w:line="218"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For the three months ended March 31, 2019, the cash distributions declared and the other reserves have been calculated based on the number of units issued and outstanding as of March 31, 2019.</w:t>
      </w: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6" w:right="25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color w:val="auto"/>
        </w:rPr>
        <w:t>Exhibit 99.2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Months Ended March 31, 2019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39" w:lineRule="exact"/>
        <w:rPr>
          <w:sz w:val="20"/>
          <w:szCs w:val="20"/>
          <w:color w:val="auto"/>
        </w:rPr>
      </w:pPr>
    </w:p>
    <w:p>
      <w:pPr>
        <w:ind w:right="100" w:firstLine="405"/>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three-month periods ended March 31, 2019 and March 31, 2018.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February 26, 2019.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160" w:firstLine="383"/>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48" w:lineRule="exact"/>
        <w:rPr>
          <w:sz w:val="20"/>
          <w:szCs w:val="20"/>
          <w:color w:val="auto"/>
        </w:rPr>
      </w:pPr>
    </w:p>
    <w:p>
      <w:pPr>
        <w:ind w:left="660" w:right="300" w:hanging="328"/>
        <w:spacing w:after="0" w:line="266" w:lineRule="auto"/>
        <w:tabs>
          <w:tab w:leader="none" w:pos="624" w:val="left"/>
        </w:tabs>
        <w:numPr>
          <w:ilvl w:val="0"/>
          <w:numId w:val="10"/>
        </w:numPr>
        <w:rPr>
          <w:rFonts w:ascii="Arial" w:cs="Arial" w:eastAsia="Arial" w:hAnsi="Arial"/>
          <w:sz w:val="17"/>
          <w:szCs w:val="17"/>
          <w:color w:val="auto"/>
        </w:rPr>
      </w:pPr>
      <w:r>
        <w:rPr>
          <w:rFonts w:ascii="Arial" w:cs="Arial" w:eastAsia="Arial" w:hAnsi="Arial"/>
          <w:sz w:val="15"/>
          <w:szCs w:val="15"/>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60" w:right="240" w:hanging="328"/>
        <w:spacing w:after="0" w:line="266" w:lineRule="auto"/>
        <w:tabs>
          <w:tab w:leader="none" w:pos="624" w:val="left"/>
        </w:tabs>
        <w:numPr>
          <w:ilvl w:val="0"/>
          <w:numId w:val="10"/>
        </w:numPr>
        <w:rPr>
          <w:rFonts w:ascii="Arial" w:cs="Arial" w:eastAsia="Arial" w:hAnsi="Arial"/>
          <w:sz w:val="17"/>
          <w:szCs w:val="17"/>
          <w:color w:val="auto"/>
        </w:rPr>
      </w:pPr>
      <w:r>
        <w:rPr>
          <w:rFonts w:ascii="Arial" w:cs="Arial" w:eastAsia="Arial" w:hAnsi="Arial"/>
          <w:sz w:val="15"/>
          <w:szCs w:val="15"/>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Euro;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5"/>
          <w:szCs w:val="15"/>
          <w:color w:val="auto"/>
        </w:rPr>
        <w:t>our ability to expand our portfolio by acquiring vessels through our drop-down pipeline with GasLog Ltd. (“GasLog”) or by acquiring other assets from third parties;</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9" w:lineRule="exact"/>
        <w:rPr>
          <w:rFonts w:ascii="Arial" w:cs="Arial" w:eastAsia="Arial" w:hAnsi="Arial"/>
          <w:sz w:val="18"/>
          <w:szCs w:val="18"/>
          <w:color w:val="auto"/>
        </w:rPr>
      </w:pPr>
    </w:p>
    <w:p>
      <w:pPr>
        <w:ind w:left="660" w:right="360" w:hanging="328"/>
        <w:spacing w:after="0" w:line="251"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60" w:right="200" w:hanging="328"/>
        <w:spacing w:after="0" w:line="251"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0" w:lineRule="exact"/>
        <w:rPr>
          <w:rFonts w:ascii="Arial" w:cs="Arial" w:eastAsia="Arial" w:hAnsi="Arial"/>
          <w:sz w:val="17"/>
          <w:szCs w:val="17"/>
          <w:color w:val="auto"/>
        </w:rPr>
      </w:pPr>
    </w:p>
    <w:p>
      <w:pPr>
        <w:ind w:left="660" w:right="60" w:hanging="328"/>
        <w:spacing w:after="0" w:line="251"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5"/>
          <w:szCs w:val="15"/>
          <w:color w:val="auto"/>
        </w:rPr>
        <w:t xml:space="preserve">other risks and uncertainties described in the Partnership’s Annual Report on Form 20-F filed with the SEC on February 26, 2019,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jc w:val="both"/>
        <w:ind w:right="6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280" w:firstLine="324"/>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Distribution</w:t>
      </w:r>
    </w:p>
    <w:p>
      <w:pPr>
        <w:spacing w:after="0" w:line="239" w:lineRule="exact"/>
        <w:rPr>
          <w:sz w:val="20"/>
          <w:szCs w:val="20"/>
          <w:color w:val="auto"/>
        </w:rPr>
      </w:pPr>
    </w:p>
    <w:p>
      <w:pPr>
        <w:ind w:right="280" w:firstLine="383"/>
        <w:spacing w:after="0" w:line="278" w:lineRule="auto"/>
        <w:rPr>
          <w:sz w:val="20"/>
          <w:szCs w:val="20"/>
          <w:color w:val="auto"/>
        </w:rPr>
      </w:pPr>
      <w:r>
        <w:rPr>
          <w:rFonts w:ascii="Arial" w:cs="Arial" w:eastAsia="Arial" w:hAnsi="Arial"/>
          <w:sz w:val="16"/>
          <w:szCs w:val="16"/>
          <w:color w:val="auto"/>
        </w:rPr>
        <w:t>On April 24, 2019, the board of directors of GasLog Partners approved and declared a quarterly cash distribution of $0.55 per common unit for the quarter ended March 31, 2019. The cash distribution is payable on May 10, 2019 to all unitholders of record as of May 6, 2019. The aggregate amount of the declared distribution will be $26.9 million based on the number of units issued and outstanding on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9" w:lineRule="exact"/>
        <w:rPr>
          <w:sz w:val="20"/>
          <w:szCs w:val="20"/>
          <w:color w:val="auto"/>
        </w:rPr>
      </w:pPr>
    </w:p>
    <w:p>
      <w:pPr>
        <w:ind w:right="240" w:firstLine="383"/>
        <w:spacing w:after="0" w:line="278"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As of April 25, 2019, GasLog Partners had not purchased any common units.</w:t>
      </w:r>
    </w:p>
    <w:p>
      <w:pPr>
        <w:spacing w:after="0" w:line="184" w:lineRule="exact"/>
        <w:rPr>
          <w:sz w:val="20"/>
          <w:szCs w:val="20"/>
          <w:color w:val="auto"/>
        </w:rPr>
      </w:pPr>
    </w:p>
    <w:p>
      <w:pPr>
        <w:ind w:firstLine="383"/>
        <w:spacing w:after="0" w:line="310" w:lineRule="auto"/>
        <w:rPr>
          <w:sz w:val="20"/>
          <w:szCs w:val="20"/>
          <w:color w:val="auto"/>
        </w:rPr>
      </w:pPr>
      <w:r>
        <w:rPr>
          <w:rFonts w:ascii="Arial" w:cs="Arial" w:eastAsia="Arial" w:hAnsi="Arial"/>
          <w:sz w:val="14"/>
          <w:szCs w:val="14"/>
          <w:color w:val="auto"/>
        </w:rPr>
        <w:t xml:space="preserve">On February 20, 2019, GasLog Partners entered into a credit agreement with Credit Suisse AG, Nordea Bank Abp, filial i Norge and Iyo Bank, Ltd., Singapore Branch, each an original lender, of up to $450.0 million (the “2019 Partnership Facility”), in order to refinance the existing indebtedness due in November 2019 on five of its vessels. Subsequently, on the same date, the Development Bank of Japan, Inc. entered the facility as lender via transfer certificate. The agreement provides for an amortizing revolving credit facility which can be repaid and redrawn at any time for a period of five years. The total available facility amount will be reduced on a quarterly basis, with a final balloon amount payable concurrently with the last quarterly installment, if any, in February 2024. The vessels covered by the 2019 Partnership Facility are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Shanghai</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Santiago</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Sydney</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Rita Andrea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Jane Elizabeth</w:t>
      </w:r>
      <w:r>
        <w:rPr>
          <w:rFonts w:ascii="Arial" w:cs="Arial" w:eastAsia="Arial" w:hAnsi="Arial"/>
          <w:sz w:val="14"/>
          <w:szCs w:val="14"/>
          <w:color w:val="auto"/>
        </w:rPr>
        <w:t>. Interest on the 2019 Partnership Facility is payable at a rate of</w:t>
      </w:r>
      <w:r>
        <w:rPr>
          <w:rFonts w:ascii="Arial" w:cs="Arial" w:eastAsia="Arial" w:hAnsi="Arial"/>
          <w:sz w:val="14"/>
          <w:szCs w:val="14"/>
          <w:i w:val="1"/>
          <w:iCs w:val="1"/>
          <w:color w:val="auto"/>
        </w:rPr>
        <w:t xml:space="preserve"> </w:t>
      </w:r>
      <w:r>
        <w:rPr>
          <w:rFonts w:ascii="Arial" w:cs="Arial" w:eastAsia="Arial" w:hAnsi="Arial"/>
          <w:sz w:val="14"/>
          <w:szCs w:val="14"/>
          <w:color w:val="auto"/>
        </w:rPr>
        <w:t>London Interbank Offered Rate (“LIBOR”) plus 2.0%-2.2%, which represents a reduced margin above LIBOR compared to the previous facility. On March 6, 2019, the Partnership drew down $360.0 million under the 2019 Partnership Facility, out of which $354.4 million was used to prepay the outstanding debt of the entities which own these vessels, namely GAS-three Ltd., GAS-four Ltd., GAS-five Ltd., GAS-sixteen Ltd. and GAS-seventeen Ltd., which would have been due in November 2019.</w:t>
      </w:r>
    </w:p>
    <w:p>
      <w:pPr>
        <w:spacing w:after="0" w:line="168" w:lineRule="exact"/>
        <w:rPr>
          <w:sz w:val="20"/>
          <w:szCs w:val="20"/>
          <w:color w:val="auto"/>
        </w:rPr>
      </w:pPr>
    </w:p>
    <w:p>
      <w:pPr>
        <w:ind w:right="60" w:firstLine="383"/>
        <w:spacing w:after="0" w:line="293" w:lineRule="auto"/>
        <w:rPr>
          <w:sz w:val="20"/>
          <w:szCs w:val="20"/>
          <w:color w:val="auto"/>
        </w:rPr>
      </w:pPr>
      <w:r>
        <w:rPr>
          <w:rFonts w:ascii="Arial" w:cs="Arial" w:eastAsia="Arial" w:hAnsi="Arial"/>
          <w:sz w:val="15"/>
          <w:szCs w:val="15"/>
          <w:color w:val="auto"/>
        </w:rPr>
        <w:t xml:space="preserve">On March 13, 2019, GasLog Partners entered into an agreement to acquire from GasLog 100% of the shares in the entity that owns and charters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a 174,000 cubic meter (“cbm”) tri-fuel diesel electric (“TFDE”) carrier built in 2016 which is chartered to a subsidiary of Royal Dutch Shell plc (“Shell”) through June 2026. The aggregate purchase price for the acquisition was $214.0 million, which included $1.0 million for positive net working capital balances transferred with the vessel. GasLog Partners financed the acquisition with cash on hand, including proceeds from the Series C Preference Units’ public offering in November 2018, and the assumption of the </w:t>
      </w:r>
      <w:r>
        <w:rPr>
          <w:rFonts w:ascii="Arial" w:cs="Arial" w:eastAsia="Arial" w:hAnsi="Arial"/>
          <w:sz w:val="15"/>
          <w:szCs w:val="15"/>
          <w:i w:val="1"/>
          <w:iCs w:val="1"/>
          <w:color w:val="auto"/>
        </w:rPr>
        <w:t>GasLog Glasgow</w:t>
      </w:r>
      <w:r>
        <w:rPr>
          <w:rFonts w:ascii="Arial" w:cs="Arial" w:eastAsia="Arial" w:hAnsi="Arial"/>
          <w:sz w:val="15"/>
          <w:szCs w:val="15"/>
          <w:color w:val="auto"/>
        </w:rPr>
        <w:t>’s outstanding indebtedness of $134.1 million. The acquisition closed on April 1, 2019.</w:t>
      </w:r>
    </w:p>
    <w:p>
      <w:pPr>
        <w:spacing w:after="0" w:line="176" w:lineRule="exact"/>
        <w:rPr>
          <w:sz w:val="20"/>
          <w:szCs w:val="20"/>
          <w:color w:val="auto"/>
        </w:rPr>
      </w:pPr>
    </w:p>
    <w:p>
      <w:pPr>
        <w:jc w:val="both"/>
        <w:ind w:right="120" w:firstLine="383"/>
        <w:spacing w:after="0" w:line="278" w:lineRule="auto"/>
        <w:rPr>
          <w:sz w:val="20"/>
          <w:szCs w:val="20"/>
          <w:color w:val="auto"/>
        </w:rPr>
      </w:pPr>
      <w:r>
        <w:rPr>
          <w:rFonts w:ascii="Arial" w:cs="Arial" w:eastAsia="Arial" w:hAnsi="Arial"/>
          <w:sz w:val="16"/>
          <w:szCs w:val="16"/>
          <w:color w:val="auto"/>
        </w:rPr>
        <w:t>As of March 31, 2019, GasLog held a 27.5% interest in the Partnership (including 2.0% through general partner units).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w:t>
      </w:r>
    </w:p>
    <w:p>
      <w:pPr>
        <w:spacing w:after="0" w:line="235" w:lineRule="exact"/>
        <w:rPr>
          <w:sz w:val="20"/>
          <w:szCs w:val="20"/>
          <w:color w:val="auto"/>
        </w:rPr>
      </w:pPr>
    </w:p>
    <w:p>
      <w:pPr>
        <w:ind w:right="380" w:firstLine="428"/>
        <w:spacing w:after="0" w:line="273" w:lineRule="auto"/>
        <w:rPr>
          <w:sz w:val="20"/>
          <w:szCs w:val="20"/>
          <w:color w:val="auto"/>
        </w:rPr>
      </w:pPr>
      <w:r>
        <w:rPr>
          <w:rFonts w:ascii="Arial" w:cs="Arial" w:eastAsia="Arial" w:hAnsi="Arial"/>
          <w:sz w:val="16"/>
          <w:szCs w:val="16"/>
          <w:color w:val="auto"/>
        </w:rPr>
        <w:t xml:space="preserve">As of March 31, 2019, our fleet consisted of 14 LNG carriers, including nine vessels with TFDE propulsion and five modern steam turbine propulsion (“Steam”) vessels. On April 1, 2019, our fleet increased to 15 LNG carriers upon completion of the acquisition of the </w:t>
      </w:r>
      <w:r>
        <w:rPr>
          <w:rFonts w:ascii="Arial" w:cs="Arial" w:eastAsia="Arial" w:hAnsi="Arial"/>
          <w:sz w:val="16"/>
          <w:szCs w:val="16"/>
          <w:i w:val="1"/>
          <w:iCs w:val="1"/>
          <w:color w:val="auto"/>
        </w:rPr>
        <w:t>GasLog Glasgow</w:t>
      </w:r>
      <w:r>
        <w:rPr>
          <w:rFonts w:ascii="Arial" w:cs="Arial" w:eastAsia="Arial" w:hAnsi="Arial"/>
          <w:sz w:val="16"/>
          <w:szCs w:val="16"/>
          <w:color w:val="auto"/>
        </w:rPr>
        <w:t>.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w:t>
      </w:r>
    </w:p>
    <w:p>
      <w:pPr>
        <w:spacing w:after="0" w:line="189" w:lineRule="exact"/>
        <w:rPr>
          <w:sz w:val="20"/>
          <w:szCs w:val="20"/>
          <w:color w:val="auto"/>
        </w:rPr>
      </w:pPr>
    </w:p>
    <w:p>
      <w:pPr>
        <w:ind w:right="20" w:firstLine="428"/>
        <w:spacing w:after="0" w:line="293" w:lineRule="auto"/>
        <w:rPr>
          <w:sz w:val="20"/>
          <w:szCs w:val="20"/>
          <w:color w:val="auto"/>
        </w:rPr>
      </w:pPr>
      <w:r>
        <w:rPr>
          <w:rFonts w:ascii="Arial" w:cs="Arial" w:eastAsia="Arial" w:hAnsi="Arial"/>
          <w:sz w:val="15"/>
          <w:szCs w:val="15"/>
          <w:color w:val="auto"/>
        </w:rPr>
        <w:t>We operate our vessels mainly under multi-year charters with fixed-fee contracts that generate predictable cash flows during the life of these charters. One of our vessels currently operates in the spot market through the Cool Pool, an LNG carrier pooling arrangement operated by GasLog and Golar LNG Ltd. (the “Cool Pool”). We intend to grow our fleet through further acquisitions of LNG carriers or other LNG infrastructure assets from GasLog and third parties. However, we cannot assure you that we will make any particular acquisition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Fleet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fleet currently consists of the following vessels: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Charter</w:t>
            </w: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31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34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 Built</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(cbm)</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Propulsion</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Expiration</w:t>
            </w:r>
          </w:p>
        </w:tc>
        <w:tc>
          <w:tcPr>
            <w:tcW w:w="1540" w:type="dxa"/>
            <w:vAlign w:val="bottom"/>
            <w:gridSpan w:val="2"/>
          </w:tcPr>
          <w:p>
            <w:pPr>
              <w:jc w:val="right"/>
              <w:ind w:right="166"/>
              <w:spacing w:after="0"/>
              <w:rPr>
                <w:sz w:val="20"/>
                <w:szCs w:val="20"/>
                <w:color w:val="auto"/>
              </w:rPr>
            </w:pPr>
            <w:r>
              <w:rPr>
                <w:rFonts w:ascii="Arial" w:cs="Arial" w:eastAsia="Arial" w:hAnsi="Arial"/>
                <w:sz w:val="16"/>
                <w:szCs w:val="16"/>
                <w:b w:val="1"/>
                <w:bCs w:val="1"/>
                <w:color w:val="auto"/>
              </w:rPr>
              <w:t>Optional Period</w:t>
            </w:r>
          </w:p>
        </w:tc>
      </w:tr>
      <w:tr>
        <w:trPr>
          <w:trHeight w:val="202"/>
        </w:trPr>
        <w:tc>
          <w:tcPr>
            <w:tcW w:w="3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w:t>
            </w:r>
          </w:p>
        </w:tc>
        <w:tc>
          <w:tcPr>
            <w:tcW w:w="2720" w:type="dxa"/>
            <w:vAlign w:val="bottom"/>
            <w:tcBorders>
              <w:top w:val="single" w:sz="8" w:color="auto"/>
            </w:tcBorders>
            <w:shd w:val="clear" w:color="auto" w:fill="E5FFFF"/>
          </w:tcPr>
          <w:p>
            <w:pPr>
              <w:ind w:left="40"/>
              <w:spacing w:after="0"/>
              <w:rPr>
                <w:sz w:val="20"/>
                <w:szCs w:val="20"/>
                <w:color w:val="auto"/>
              </w:rPr>
            </w:pPr>
            <w:r>
              <w:rPr>
                <w:rFonts w:ascii="Arial" w:cs="Arial" w:eastAsia="Arial" w:hAnsi="Arial"/>
                <w:sz w:val="16"/>
                <w:szCs w:val="16"/>
                <w:i w:val="1"/>
                <w:iCs w:val="1"/>
                <w:color w:val="auto"/>
              </w:rPr>
              <w:t>GasLog Shanghai</w:t>
            </w:r>
          </w:p>
        </w:tc>
        <w:tc>
          <w:tcPr>
            <w:tcW w:w="1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center"/>
              <w:spacing w:after="0" w:line="202" w:lineRule="exact"/>
              <w:rPr>
                <w:sz w:val="20"/>
                <w:szCs w:val="20"/>
                <w:color w:val="auto"/>
              </w:rPr>
            </w:pPr>
            <w:r>
              <w:rPr>
                <w:rFonts w:ascii="Arial" w:cs="Arial" w:eastAsia="Arial" w:hAnsi="Arial"/>
                <w:sz w:val="16"/>
                <w:szCs w:val="16"/>
                <w:color w:val="auto"/>
                <w:w w:val="88"/>
              </w:rPr>
              <w:t xml:space="preserve">Spot Market </w:t>
            </w:r>
            <w:r>
              <w:rPr>
                <w:rFonts w:ascii="Arial" w:cs="Arial" w:eastAsia="Arial" w:hAnsi="Arial"/>
                <w:sz w:val="21"/>
                <w:szCs w:val="21"/>
                <w:color w:val="auto"/>
                <w:w w:val="88"/>
                <w:vertAlign w:val="superscript"/>
              </w:rPr>
              <w:t>(1)</w:t>
            </w:r>
          </w:p>
        </w:tc>
        <w:tc>
          <w:tcPr>
            <w:tcW w:w="12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2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center"/>
              <w:ind w:left="5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E5FFFF"/>
          </w:tcPr>
          <w:p>
            <w:pPr>
              <w:spacing w:after="0"/>
              <w:rPr>
                <w:sz w:val="17"/>
                <w:szCs w:val="17"/>
                <w:color w:val="auto"/>
              </w:rPr>
            </w:pP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2</w:t>
            </w:r>
          </w:p>
        </w:tc>
        <w:tc>
          <w:tcPr>
            <w:tcW w:w="284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Jane Elizabeth</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2006</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145,000</w:t>
            </w: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54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89"/>
              </w:rPr>
              <w:t xml:space="preserve">October 2019 </w:t>
            </w:r>
            <w:r>
              <w:rPr>
                <w:rFonts w:ascii="Arial" w:cs="Arial" w:eastAsia="Arial" w:hAnsi="Arial"/>
                <w:sz w:val="21"/>
                <w:szCs w:val="21"/>
                <w:color w:val="auto"/>
                <w:w w:val="89"/>
                <w:vertAlign w:val="superscript"/>
              </w:rPr>
              <w:t>(2)</w:t>
            </w:r>
          </w:p>
        </w:tc>
        <w:tc>
          <w:tcPr>
            <w:tcW w:w="880" w:type="dxa"/>
            <w:vAlign w:val="bottom"/>
          </w:tcPr>
          <w:p>
            <w:pPr>
              <w:jc w:val="center"/>
              <w:ind w:left="5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3</w:t>
            </w:r>
          </w:p>
        </w:tc>
        <w:tc>
          <w:tcPr>
            <w:tcW w:w="284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Methane Alison Victoria</w:t>
            </w: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2007</w:t>
            </w:r>
          </w:p>
        </w:tc>
        <w:tc>
          <w:tcPr>
            <w:tcW w:w="120" w:type="dxa"/>
            <w:vAlign w:val="bottom"/>
            <w:shd w:val="clear" w:color="auto" w:fill="E5FFFF"/>
          </w:tcPr>
          <w:p>
            <w:pPr>
              <w:spacing w:after="0"/>
              <w:rPr>
                <w:sz w:val="17"/>
                <w:szCs w:val="17"/>
                <w:color w:val="auto"/>
              </w:rPr>
            </w:pPr>
          </w:p>
        </w:tc>
        <w:tc>
          <w:tcPr>
            <w:tcW w:w="9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145,000</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6"/>
              </w:rPr>
              <w:t>Steam</w:t>
            </w:r>
          </w:p>
        </w:tc>
        <w:tc>
          <w:tcPr>
            <w:tcW w:w="154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87"/>
              </w:rPr>
              <w:t xml:space="preserve">December 2019 </w:t>
            </w:r>
            <w:r>
              <w:rPr>
                <w:rFonts w:ascii="Arial" w:cs="Arial" w:eastAsia="Arial" w:hAnsi="Arial"/>
                <w:sz w:val="21"/>
                <w:szCs w:val="21"/>
                <w:color w:val="auto"/>
                <w:w w:val="87"/>
                <w:vertAlign w:val="superscript"/>
              </w:rPr>
              <w:t>(2)</w:t>
            </w:r>
          </w:p>
        </w:tc>
        <w:tc>
          <w:tcPr>
            <w:tcW w:w="880" w:type="dxa"/>
            <w:vAlign w:val="bottom"/>
            <w:shd w:val="clear" w:color="auto" w:fill="E5FFFF"/>
          </w:tcPr>
          <w:p>
            <w:pPr>
              <w:jc w:val="center"/>
              <w:ind w:left="579"/>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spacing w:after="0"/>
              <w:rPr>
                <w:sz w:val="17"/>
                <w:szCs w:val="17"/>
                <w:color w:val="auto"/>
              </w:rPr>
            </w:pPr>
          </w:p>
        </w:tc>
      </w:tr>
      <w:tr>
        <w:trPr>
          <w:trHeight w:val="193"/>
        </w:trPr>
        <w:tc>
          <w:tcPr>
            <w:tcW w:w="300" w:type="dxa"/>
            <w:vAlign w:val="bottom"/>
          </w:tcPr>
          <w:p>
            <w:pPr>
              <w:spacing w:after="0"/>
              <w:rPr>
                <w:sz w:val="16"/>
                <w:szCs w:val="16"/>
                <w:color w:val="auto"/>
              </w:rPr>
            </w:pPr>
          </w:p>
        </w:tc>
        <w:tc>
          <w:tcPr>
            <w:tcW w:w="2840" w:type="dxa"/>
            <w:vAlign w:val="bottom"/>
            <w:gridSpan w:val="2"/>
          </w:tcPr>
          <w:p>
            <w:pPr>
              <w:ind w:left="40"/>
              <w:spacing w:after="0"/>
              <w:rPr>
                <w:sz w:val="20"/>
                <w:szCs w:val="20"/>
                <w:color w:val="auto"/>
              </w:rPr>
            </w:pPr>
            <w:r>
              <w:rPr>
                <w:rFonts w:ascii="Arial" w:cs="Arial" w:eastAsia="Arial" w:hAnsi="Arial"/>
                <w:sz w:val="16"/>
                <w:szCs w:val="16"/>
                <w:i w:val="1"/>
                <w:iCs w:val="1"/>
                <w:color w:val="auto"/>
              </w:rPr>
              <w:t xml:space="preserve">Methane Jane Elizabeth </w:t>
            </w:r>
            <w:r>
              <w:rPr>
                <w:rFonts w:ascii="Arial" w:cs="Arial" w:eastAsia="Arial" w:hAnsi="Arial"/>
                <w:sz w:val="16"/>
                <w:szCs w:val="16"/>
                <w:color w:val="auto"/>
              </w:rPr>
              <w:t>or</w:t>
            </w:r>
            <w:r>
              <w:rPr>
                <w:rFonts w:ascii="Arial" w:cs="Arial" w:eastAsia="Arial" w:hAnsi="Arial"/>
                <w:sz w:val="16"/>
                <w:szCs w:val="16"/>
                <w:i w:val="1"/>
                <w:iCs w:val="1"/>
                <w:color w:val="auto"/>
              </w:rPr>
              <w:t xml:space="preserve"> Methane</w:t>
            </w: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2006/2007</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145,000</w:t>
            </w:r>
          </w:p>
        </w:tc>
        <w:tc>
          <w:tcPr>
            <w:tcW w:w="120" w:type="dxa"/>
            <w:vAlign w:val="bottom"/>
          </w:tcPr>
          <w:p>
            <w:pPr>
              <w:spacing w:after="0"/>
              <w:rPr>
                <w:sz w:val="16"/>
                <w:szCs w:val="16"/>
                <w:color w:val="auto"/>
              </w:rPr>
            </w:pPr>
          </w:p>
        </w:tc>
        <w:tc>
          <w:tcPr>
            <w:tcW w:w="1620" w:type="dxa"/>
            <w:vAlign w:val="bottom"/>
            <w:gridSpan w:val="2"/>
          </w:tcPr>
          <w:p>
            <w:pPr>
              <w:jc w:val="center"/>
              <w:ind w:right="120"/>
              <w:spacing w:after="0" w:line="193" w:lineRule="exact"/>
              <w:rPr>
                <w:sz w:val="20"/>
                <w:szCs w:val="20"/>
                <w:color w:val="auto"/>
              </w:rPr>
            </w:pPr>
            <w:r>
              <w:rPr>
                <w:rFonts w:ascii="Arial" w:cs="Arial" w:eastAsia="Arial" w:hAnsi="Arial"/>
                <w:sz w:val="16"/>
                <w:szCs w:val="16"/>
                <w:color w:val="auto"/>
                <w:w w:val="91"/>
              </w:rPr>
              <w:t xml:space="preserve">Trafigura </w:t>
            </w:r>
            <w:r>
              <w:rPr>
                <w:rFonts w:ascii="Arial" w:cs="Arial" w:eastAsia="Arial" w:hAnsi="Arial"/>
                <w:sz w:val="21"/>
                <w:szCs w:val="21"/>
                <w:color w:val="auto"/>
                <w:w w:val="91"/>
                <w:vertAlign w:val="superscript"/>
              </w:rPr>
              <w:t>(2)</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November or</w:t>
            </w:r>
          </w:p>
        </w:tc>
        <w:tc>
          <w:tcPr>
            <w:tcW w:w="1540" w:type="dxa"/>
            <w:vAlign w:val="bottom"/>
            <w:gridSpan w:val="2"/>
          </w:tcPr>
          <w:p>
            <w:pPr>
              <w:jc w:val="center"/>
              <w:spacing w:after="0" w:line="193" w:lineRule="exact"/>
              <w:rPr>
                <w:sz w:val="20"/>
                <w:szCs w:val="20"/>
                <w:color w:val="auto"/>
              </w:rPr>
            </w:pPr>
            <w:r>
              <w:rPr>
                <w:rFonts w:ascii="Arial" w:cs="Arial" w:eastAsia="Arial" w:hAnsi="Arial"/>
                <w:sz w:val="16"/>
                <w:szCs w:val="16"/>
                <w:color w:val="auto"/>
                <w:w w:val="88"/>
              </w:rPr>
              <w:t xml:space="preserve">2021–2024 </w:t>
            </w:r>
            <w:r>
              <w:rPr>
                <w:rFonts w:ascii="Arial" w:cs="Arial" w:eastAsia="Arial" w:hAnsi="Arial"/>
                <w:sz w:val="21"/>
                <w:szCs w:val="21"/>
                <w:color w:val="auto"/>
                <w:w w:val="88"/>
                <w:vertAlign w:val="superscript"/>
              </w:rPr>
              <w:t>(3)</w:t>
            </w:r>
          </w:p>
        </w:tc>
      </w:tr>
      <w:tr>
        <w:trPr>
          <w:trHeight w:val="212"/>
        </w:trPr>
        <w:tc>
          <w:tcPr>
            <w:tcW w:w="300" w:type="dxa"/>
            <w:vAlign w:val="bottom"/>
          </w:tcPr>
          <w:p>
            <w:pPr>
              <w:spacing w:after="0"/>
              <w:rPr>
                <w:sz w:val="18"/>
                <w:szCs w:val="18"/>
                <w:color w:val="auto"/>
              </w:rPr>
            </w:pPr>
          </w:p>
        </w:tc>
        <w:tc>
          <w:tcPr>
            <w:tcW w:w="2840" w:type="dxa"/>
            <w:vAlign w:val="bottom"/>
            <w:gridSpan w:val="2"/>
          </w:tcPr>
          <w:p>
            <w:pPr>
              <w:ind w:left="40"/>
              <w:spacing w:after="0" w:line="213" w:lineRule="exact"/>
              <w:rPr>
                <w:sz w:val="20"/>
                <w:szCs w:val="20"/>
                <w:color w:val="auto"/>
              </w:rPr>
            </w:pPr>
            <w:r>
              <w:rPr>
                <w:rFonts w:ascii="Arial" w:cs="Arial" w:eastAsia="Arial" w:hAnsi="Arial"/>
                <w:sz w:val="16"/>
                <w:szCs w:val="16"/>
                <w:i w:val="1"/>
                <w:iCs w:val="1"/>
                <w:color w:val="auto"/>
              </w:rPr>
              <w:t xml:space="preserve">Alison Victoria </w:t>
            </w:r>
            <w:r>
              <w:rPr>
                <w:rFonts w:ascii="Arial" w:cs="Arial" w:eastAsia="Arial" w:hAnsi="Arial"/>
                <w:sz w:val="21"/>
                <w:szCs w:val="21"/>
                <w:color w:val="auto"/>
                <w:vertAlign w:val="superscript"/>
              </w:rPr>
              <w:t>(2)</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December 2020</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4</w:t>
            </w:r>
          </w:p>
        </w:tc>
        <w:tc>
          <w:tcPr>
            <w:tcW w:w="284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Methane Rita Andrea</w:t>
            </w: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2006</w:t>
            </w:r>
          </w:p>
        </w:tc>
        <w:tc>
          <w:tcPr>
            <w:tcW w:w="120" w:type="dxa"/>
            <w:vAlign w:val="bottom"/>
            <w:shd w:val="clear" w:color="auto" w:fill="E5FFFF"/>
          </w:tcPr>
          <w:p>
            <w:pPr>
              <w:spacing w:after="0"/>
              <w:rPr>
                <w:sz w:val="17"/>
                <w:szCs w:val="17"/>
                <w:color w:val="auto"/>
              </w:rPr>
            </w:pPr>
          </w:p>
        </w:tc>
        <w:tc>
          <w:tcPr>
            <w:tcW w:w="9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145,000</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6"/>
              </w:rPr>
              <w:t>Steam</w:t>
            </w:r>
          </w:p>
        </w:tc>
        <w:tc>
          <w:tcPr>
            <w:tcW w:w="15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7"/>
              </w:rPr>
              <w:t>April 2020</w:t>
            </w:r>
          </w:p>
        </w:tc>
        <w:tc>
          <w:tcPr>
            <w:tcW w:w="880" w:type="dxa"/>
            <w:vAlign w:val="bottom"/>
            <w:shd w:val="clear" w:color="auto" w:fill="E5FFFF"/>
          </w:tcPr>
          <w:p>
            <w:pPr>
              <w:jc w:val="center"/>
              <w:ind w:left="579"/>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spacing w:after="0"/>
              <w:rPr>
                <w:sz w:val="17"/>
                <w:szCs w:val="17"/>
                <w:color w:val="auto"/>
              </w:rPr>
            </w:pP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5</w:t>
            </w:r>
          </w:p>
        </w:tc>
        <w:tc>
          <w:tcPr>
            <w:tcW w:w="284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Shirley Elisabeth</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2007</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145,000</w:t>
            </w: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2020</w:t>
            </w:r>
          </w:p>
        </w:tc>
        <w:tc>
          <w:tcPr>
            <w:tcW w:w="880" w:type="dxa"/>
            <w:vAlign w:val="bottom"/>
          </w:tcPr>
          <w:p>
            <w:pPr>
              <w:jc w:val="center"/>
              <w:ind w:left="5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6</w:t>
            </w:r>
          </w:p>
        </w:tc>
        <w:tc>
          <w:tcPr>
            <w:tcW w:w="284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Sydney</w:t>
            </w: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shd w:val="clear" w:color="auto" w:fill="E5FFFF"/>
          </w:tcPr>
          <w:p>
            <w:pPr>
              <w:spacing w:after="0"/>
              <w:rPr>
                <w:sz w:val="17"/>
                <w:szCs w:val="17"/>
                <w:color w:val="auto"/>
              </w:rPr>
            </w:pPr>
          </w:p>
        </w:tc>
        <w:tc>
          <w:tcPr>
            <w:tcW w:w="9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85"/>
              </w:rPr>
              <w:t xml:space="preserve">Cheniere </w:t>
            </w:r>
            <w:r>
              <w:rPr>
                <w:rFonts w:ascii="Arial" w:cs="Arial" w:eastAsia="Arial" w:hAnsi="Arial"/>
                <w:sz w:val="21"/>
                <w:szCs w:val="21"/>
                <w:color w:val="auto"/>
                <w:w w:val="85"/>
                <w:vertAlign w:val="superscript"/>
              </w:rPr>
              <w:t>(4)</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5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2020</w:t>
            </w:r>
          </w:p>
        </w:tc>
        <w:tc>
          <w:tcPr>
            <w:tcW w:w="154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2020-2021 </w:t>
            </w:r>
            <w:r>
              <w:rPr>
                <w:rFonts w:ascii="Arial" w:cs="Arial" w:eastAsia="Arial" w:hAnsi="Arial"/>
                <w:sz w:val="21"/>
                <w:szCs w:val="21"/>
                <w:color w:val="auto"/>
                <w:w w:val="87"/>
                <w:vertAlign w:val="superscript"/>
              </w:rPr>
              <w:t>(5)</w:t>
            </w: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7</w:t>
            </w:r>
          </w:p>
        </w:tc>
        <w:tc>
          <w:tcPr>
            <w:tcW w:w="284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Heather Sally</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2007</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145,000</w:t>
            </w: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December 2020</w:t>
            </w:r>
          </w:p>
        </w:tc>
        <w:tc>
          <w:tcPr>
            <w:tcW w:w="880" w:type="dxa"/>
            <w:vAlign w:val="bottom"/>
          </w:tcPr>
          <w:p>
            <w:pPr>
              <w:jc w:val="center"/>
              <w:ind w:left="5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8</w:t>
            </w:r>
          </w:p>
        </w:tc>
        <w:tc>
          <w:tcPr>
            <w:tcW w:w="284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Seattle</w:t>
            </w: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shd w:val="clear" w:color="auto" w:fill="E5FFFF"/>
          </w:tcPr>
          <w:p>
            <w:pPr>
              <w:spacing w:after="0"/>
              <w:rPr>
                <w:sz w:val="17"/>
                <w:szCs w:val="17"/>
                <w:color w:val="auto"/>
              </w:rPr>
            </w:pPr>
          </w:p>
        </w:tc>
        <w:tc>
          <w:tcPr>
            <w:tcW w:w="9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5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2021</w:t>
            </w:r>
          </w:p>
        </w:tc>
        <w:tc>
          <w:tcPr>
            <w:tcW w:w="880" w:type="dxa"/>
            <w:vAlign w:val="bottom"/>
            <w:shd w:val="clear" w:color="auto" w:fill="E5FFFF"/>
          </w:tcPr>
          <w:p>
            <w:pPr>
              <w:jc w:val="center"/>
              <w:ind w:left="579"/>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spacing w:after="0"/>
              <w:rPr>
                <w:sz w:val="17"/>
                <w:szCs w:val="17"/>
                <w:color w:val="auto"/>
              </w:rPr>
            </w:pP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9</w:t>
            </w:r>
          </w:p>
        </w:tc>
        <w:tc>
          <w:tcPr>
            <w:tcW w:w="2840" w:type="dxa"/>
            <w:vAlign w:val="bottom"/>
            <w:gridSpan w:val="2"/>
          </w:tcPr>
          <w:p>
            <w:pPr>
              <w:ind w:left="40"/>
              <w:spacing w:after="0"/>
              <w:rPr>
                <w:sz w:val="20"/>
                <w:szCs w:val="20"/>
                <w:color w:val="auto"/>
              </w:rPr>
            </w:pPr>
            <w:r>
              <w:rPr>
                <w:rFonts w:ascii="Arial" w:cs="Arial" w:eastAsia="Arial" w:hAnsi="Arial"/>
                <w:sz w:val="16"/>
                <w:szCs w:val="16"/>
                <w:i w:val="1"/>
                <w:iCs w:val="1"/>
                <w:color w:val="auto"/>
              </w:rPr>
              <w:t>Solaris</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2021</w:t>
            </w:r>
          </w:p>
        </w:tc>
        <w:tc>
          <w:tcPr>
            <w:tcW w:w="880" w:type="dxa"/>
            <w:vAlign w:val="bottom"/>
          </w:tcPr>
          <w:p>
            <w:pPr>
              <w:jc w:val="center"/>
              <w:ind w:left="57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10</w:t>
            </w:r>
          </w:p>
        </w:tc>
        <w:tc>
          <w:tcPr>
            <w:tcW w:w="284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Santiago</w:t>
            </w: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shd w:val="clear" w:color="auto" w:fill="E5FFFF"/>
          </w:tcPr>
          <w:p>
            <w:pPr>
              <w:spacing w:after="0"/>
              <w:rPr>
                <w:sz w:val="17"/>
                <w:szCs w:val="17"/>
                <w:color w:val="auto"/>
              </w:rPr>
            </w:pPr>
          </w:p>
        </w:tc>
        <w:tc>
          <w:tcPr>
            <w:tcW w:w="9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6"/>
              </w:rPr>
              <w:t>Trafigura</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5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December 2021</w:t>
            </w:r>
          </w:p>
        </w:tc>
        <w:tc>
          <w:tcPr>
            <w:tcW w:w="154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2022-2028 </w:t>
            </w:r>
            <w:r>
              <w:rPr>
                <w:rFonts w:ascii="Arial" w:cs="Arial" w:eastAsia="Arial" w:hAnsi="Arial"/>
                <w:sz w:val="21"/>
                <w:szCs w:val="21"/>
                <w:color w:val="auto"/>
                <w:w w:val="87"/>
                <w:vertAlign w:val="superscript"/>
              </w:rPr>
              <w:t>(6)</w:t>
            </w: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11</w:t>
            </w:r>
          </w:p>
        </w:tc>
        <w:tc>
          <w:tcPr>
            <w:tcW w:w="284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Geneva</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September 2023</w:t>
            </w:r>
          </w:p>
        </w:tc>
        <w:tc>
          <w:tcPr>
            <w:tcW w:w="1540" w:type="dxa"/>
            <w:vAlign w:val="bottom"/>
            <w:gridSpan w:val="2"/>
          </w:tcPr>
          <w:p>
            <w:pPr>
              <w:jc w:val="center"/>
              <w:spacing w:after="0" w:line="203"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1"/>
                <w:szCs w:val="21"/>
                <w:color w:val="auto"/>
                <w:w w:val="88"/>
                <w:vertAlign w:val="superscript"/>
              </w:rPr>
              <w:t>(7)</w:t>
            </w: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12</w:t>
            </w:r>
          </w:p>
        </w:tc>
        <w:tc>
          <w:tcPr>
            <w:tcW w:w="284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Gibraltar</w:t>
            </w: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2016</w:t>
            </w:r>
          </w:p>
        </w:tc>
        <w:tc>
          <w:tcPr>
            <w:tcW w:w="120" w:type="dxa"/>
            <w:vAlign w:val="bottom"/>
            <w:shd w:val="clear" w:color="auto" w:fill="E5FFFF"/>
          </w:tcPr>
          <w:p>
            <w:pPr>
              <w:spacing w:after="0"/>
              <w:rPr>
                <w:sz w:val="17"/>
                <w:szCs w:val="17"/>
                <w:color w:val="auto"/>
              </w:rPr>
            </w:pPr>
          </w:p>
        </w:tc>
        <w:tc>
          <w:tcPr>
            <w:tcW w:w="9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5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October 2023</w:t>
            </w:r>
          </w:p>
        </w:tc>
        <w:tc>
          <w:tcPr>
            <w:tcW w:w="154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8"/>
              </w:rPr>
              <w:t xml:space="preserve">2028–2031 </w:t>
            </w:r>
            <w:r>
              <w:rPr>
                <w:rFonts w:ascii="Arial" w:cs="Arial" w:eastAsia="Arial" w:hAnsi="Arial"/>
                <w:sz w:val="21"/>
                <w:szCs w:val="21"/>
                <w:color w:val="auto"/>
                <w:w w:val="88"/>
                <w:vertAlign w:val="superscript"/>
              </w:rPr>
              <w:t>(7)</w:t>
            </w:r>
          </w:p>
        </w:tc>
      </w:tr>
      <w:tr>
        <w:trPr>
          <w:trHeight w:val="203"/>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13</w:t>
            </w:r>
          </w:p>
        </w:tc>
        <w:tc>
          <w:tcPr>
            <w:tcW w:w="284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Becki Anne</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2010</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170,000</w:t>
            </w: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March 2024</w:t>
            </w:r>
          </w:p>
        </w:tc>
        <w:tc>
          <w:tcPr>
            <w:tcW w:w="1540" w:type="dxa"/>
            <w:vAlign w:val="bottom"/>
            <w:gridSpan w:val="2"/>
          </w:tcPr>
          <w:p>
            <w:pPr>
              <w:jc w:val="center"/>
              <w:spacing w:after="0" w:line="203" w:lineRule="exact"/>
              <w:rPr>
                <w:sz w:val="20"/>
                <w:szCs w:val="20"/>
                <w:color w:val="auto"/>
              </w:rPr>
            </w:pPr>
            <w:r>
              <w:rPr>
                <w:rFonts w:ascii="Arial" w:cs="Arial" w:eastAsia="Arial" w:hAnsi="Arial"/>
                <w:sz w:val="16"/>
                <w:szCs w:val="16"/>
                <w:color w:val="auto"/>
                <w:w w:val="87"/>
              </w:rPr>
              <w:t xml:space="preserve">2027-2029 </w:t>
            </w:r>
            <w:r>
              <w:rPr>
                <w:rFonts w:ascii="Arial" w:cs="Arial" w:eastAsia="Arial" w:hAnsi="Arial"/>
                <w:sz w:val="21"/>
                <w:szCs w:val="21"/>
                <w:color w:val="auto"/>
                <w:w w:val="87"/>
                <w:vertAlign w:val="superscript"/>
              </w:rPr>
              <w:t>(8)</w:t>
            </w:r>
          </w:p>
        </w:tc>
      </w:tr>
      <w:tr>
        <w:trPr>
          <w:trHeight w:val="203"/>
        </w:trPr>
        <w:tc>
          <w:tcPr>
            <w:tcW w:w="30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14</w:t>
            </w:r>
          </w:p>
        </w:tc>
        <w:tc>
          <w:tcPr>
            <w:tcW w:w="284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Greece</w:t>
            </w: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2016</w:t>
            </w:r>
          </w:p>
        </w:tc>
        <w:tc>
          <w:tcPr>
            <w:tcW w:w="120" w:type="dxa"/>
            <w:vAlign w:val="bottom"/>
            <w:shd w:val="clear" w:color="auto" w:fill="E5FFFF"/>
          </w:tcPr>
          <w:p>
            <w:pPr>
              <w:spacing w:after="0"/>
              <w:rPr>
                <w:sz w:val="17"/>
                <w:szCs w:val="17"/>
                <w:color w:val="auto"/>
              </w:rPr>
            </w:pPr>
          </w:p>
        </w:tc>
        <w:tc>
          <w:tcPr>
            <w:tcW w:w="9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5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March 2026</w:t>
            </w:r>
          </w:p>
        </w:tc>
        <w:tc>
          <w:tcPr>
            <w:tcW w:w="8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2031</w:t>
            </w:r>
          </w:p>
        </w:tc>
        <w:tc>
          <w:tcPr>
            <w:tcW w:w="660" w:type="dxa"/>
            <w:vAlign w:val="bottom"/>
            <w:shd w:val="clear" w:color="auto" w:fill="E5FFFF"/>
          </w:tcPr>
          <w:p>
            <w:pPr>
              <w:jc w:val="right"/>
              <w:ind w:right="466"/>
              <w:spacing w:after="0"/>
              <w:rPr>
                <w:sz w:val="20"/>
                <w:szCs w:val="20"/>
                <w:color w:val="auto"/>
              </w:rPr>
            </w:pPr>
            <w:r>
              <w:rPr>
                <w:rFonts w:ascii="Arial" w:cs="Arial" w:eastAsia="Arial" w:hAnsi="Arial"/>
                <w:sz w:val="11"/>
                <w:szCs w:val="11"/>
                <w:color w:val="auto"/>
                <w:w w:val="88"/>
              </w:rPr>
              <w:t>(9)</w:t>
            </w:r>
          </w:p>
        </w:tc>
      </w:tr>
      <w:tr>
        <w:trPr>
          <w:trHeight w:val="281"/>
        </w:trPr>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9"/>
              </w:rPr>
              <w:t>15</w:t>
            </w:r>
          </w:p>
        </w:tc>
        <w:tc>
          <w:tcPr>
            <w:tcW w:w="2840" w:type="dxa"/>
            <w:vAlign w:val="bottom"/>
            <w:gridSpan w:val="2"/>
          </w:tcPr>
          <w:p>
            <w:pPr>
              <w:ind w:left="40"/>
              <w:spacing w:after="0"/>
              <w:rPr>
                <w:sz w:val="20"/>
                <w:szCs w:val="20"/>
                <w:color w:val="auto"/>
              </w:rPr>
            </w:pPr>
            <w:r>
              <w:rPr>
                <w:rFonts w:ascii="Arial" w:cs="Arial" w:eastAsia="Arial" w:hAnsi="Arial"/>
                <w:sz w:val="16"/>
                <w:szCs w:val="16"/>
                <w:i w:val="1"/>
                <w:iCs w:val="1"/>
                <w:color w:val="auto"/>
              </w:rPr>
              <w:t xml:space="preserve">GasLog Glasgow </w:t>
            </w:r>
            <w:r>
              <w:rPr>
                <w:rFonts w:ascii="Arial" w:cs="Arial" w:eastAsia="Arial" w:hAnsi="Arial"/>
                <w:sz w:val="21"/>
                <w:szCs w:val="21"/>
                <w:color w:val="auto"/>
                <w:vertAlign w:val="superscript"/>
              </w:rPr>
              <w:t>(10)</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2026</w:t>
            </w:r>
          </w:p>
        </w:tc>
        <w:tc>
          <w:tcPr>
            <w:tcW w:w="880" w:type="dxa"/>
            <w:vAlign w:val="bottom"/>
          </w:tcPr>
          <w:p>
            <w:pPr>
              <w:jc w:val="right"/>
              <w:spacing w:after="0"/>
              <w:rPr>
                <w:sz w:val="20"/>
                <w:szCs w:val="20"/>
                <w:color w:val="auto"/>
              </w:rPr>
            </w:pPr>
            <w:r>
              <w:rPr>
                <w:rFonts w:ascii="Arial" w:cs="Arial" w:eastAsia="Arial" w:hAnsi="Arial"/>
                <w:sz w:val="16"/>
                <w:szCs w:val="16"/>
                <w:color w:val="auto"/>
              </w:rPr>
              <w:t>2031</w:t>
            </w:r>
          </w:p>
        </w:tc>
        <w:tc>
          <w:tcPr>
            <w:tcW w:w="660" w:type="dxa"/>
            <w:vAlign w:val="bottom"/>
          </w:tcPr>
          <w:p>
            <w:pPr>
              <w:jc w:val="right"/>
              <w:ind w:right="466"/>
              <w:spacing w:after="0"/>
              <w:rPr>
                <w:sz w:val="20"/>
                <w:szCs w:val="20"/>
                <w:color w:val="auto"/>
              </w:rPr>
            </w:pPr>
            <w:r>
              <w:rPr>
                <w:rFonts w:ascii="Arial" w:cs="Arial" w:eastAsia="Arial" w:hAnsi="Arial"/>
                <w:sz w:val="11"/>
                <w:szCs w:val="11"/>
                <w:color w:val="auto"/>
                <w:w w:val="88"/>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78740</wp:posOffset>
            </wp:positionV>
            <wp:extent cx="1724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5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vessel is currently operating in the spot market under the Cool Pool.</w:t>
      </w:r>
    </w:p>
    <w:p>
      <w:pPr>
        <w:jc w:val="both"/>
        <w:ind w:left="340" w:right="100" w:hanging="332"/>
        <w:spacing w:after="0" w:line="202"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GasLog Partners has secured a one-year charter with Trafigura Maritime Logistics PTE Ltd. (“Trafigura”)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 The charter rate for this one-year charter is lower than the current charter rates of either the </w:t>
      </w:r>
      <w:r>
        <w:rPr>
          <w:rFonts w:ascii="Arial" w:cs="Arial" w:eastAsia="Arial" w:hAnsi="Arial"/>
          <w:sz w:val="14"/>
          <w:szCs w:val="14"/>
          <w:i w:val="1"/>
          <w:iCs w:val="1"/>
          <w:color w:val="auto"/>
        </w:rPr>
        <w:t xml:space="preserve">Methane Jane Elizabeth </w:t>
      </w:r>
      <w:r>
        <w:rPr>
          <w:rFonts w:ascii="Arial" w:cs="Arial" w:eastAsia="Arial" w:hAnsi="Arial"/>
          <w:sz w:val="14"/>
          <w:szCs w:val="14"/>
          <w:color w:val="auto"/>
        </w:rPr>
        <w:t>or the</w:t>
      </w:r>
      <w:r>
        <w:rPr>
          <w:rFonts w:ascii="Arial" w:cs="Arial" w:eastAsia="Arial" w:hAnsi="Arial"/>
          <w:sz w:val="14"/>
          <w:szCs w:val="14"/>
          <w:i w:val="1"/>
          <w:iCs w:val="1"/>
          <w:color w:val="auto"/>
        </w:rPr>
        <w:t xml:space="preserve"> Methane Alison Victoria</w:t>
      </w:r>
      <w:r>
        <w:rPr>
          <w:rFonts w:ascii="Arial" w:cs="Arial" w:eastAsia="Arial" w:hAnsi="Arial"/>
          <w:sz w:val="14"/>
          <w:szCs w:val="14"/>
          <w:color w:val="auto"/>
        </w:rPr>
        <w:t>.</w:t>
      </w:r>
    </w:p>
    <w:p>
      <w:pPr>
        <w:ind w:left="340" w:right="100" w:hanging="332"/>
        <w:spacing w:after="0" w:line="193"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82" w:lineRule="auto"/>
        <w:tabs>
          <w:tab w:leader="none" w:pos="32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The vessel began its 18-month charter with Cheniere Energy, Inc. (“Cheniere”) in December 2018.</w:t>
      </w:r>
    </w:p>
    <w:p>
      <w:pPr>
        <w:ind w:left="340" w:right="80" w:hanging="332"/>
        <w:spacing w:after="0" w:line="193"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hanging="332"/>
        <w:spacing w:after="0" w:line="193"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right="80" w:hanging="332"/>
        <w:spacing w:after="0" w:line="193"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right="180" w:hanging="332"/>
        <w:spacing w:after="0" w:line="193" w:lineRule="auto"/>
        <w:tabs>
          <w:tab w:leader="none" w:pos="33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82" w:lineRule="auto"/>
        <w:tabs>
          <w:tab w:leader="none" w:pos="32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ind w:left="320" w:hanging="312"/>
        <w:spacing w:after="0" w:line="197" w:lineRule="auto"/>
        <w:tabs>
          <w:tab w:leader="none" w:pos="3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On April 1, 2019, GasLog Partners acquired from GasLog 100% of the shares in the entity that owns and charters the </w:t>
      </w:r>
      <w:r>
        <w:rPr>
          <w:rFonts w:ascii="Arial" w:cs="Arial" w:eastAsia="Arial" w:hAnsi="Arial"/>
          <w:sz w:val="14"/>
          <w:szCs w:val="14"/>
          <w:i w:val="1"/>
          <w:iCs w:val="1"/>
          <w:color w:val="auto"/>
        </w:rPr>
        <w:t>GasLog Glasgow.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ind w:right="60" w:firstLine="428"/>
        <w:spacing w:after="0" w:line="291"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are due to come off charter in October 2019, December 2019, April 2020, June 2020, June 2020 and December 2020, respectively, each plus or minus 30 days. GasLog Partners has secured a one-year charter for either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(as nominated by the Partnership), commencing in either November or December 2019 at the Partnership’s option. The charter rate for this one-year charter is lower than the current charter rates of either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GasLog Partners continues to pursue opportunities for new multi-year charters with third parties and, on an interim basis, may consider trading the vessels in the spot market, pursuing the most advantageous redeployment depending on evolving market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Vessels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Existing Vessel Interests Purchase Options</w:t>
      </w:r>
    </w:p>
    <w:p>
      <w:pPr>
        <w:spacing w:after="0" w:line="235" w:lineRule="exact"/>
        <w:rPr>
          <w:sz w:val="20"/>
          <w:szCs w:val="20"/>
          <w:color w:val="auto"/>
        </w:rPr>
      </w:pPr>
    </w:p>
    <w:p>
      <w:pPr>
        <w:ind w:right="280" w:firstLine="428"/>
        <w:spacing w:after="0" w:line="304" w:lineRule="auto"/>
        <w:rPr>
          <w:sz w:val="20"/>
          <w:szCs w:val="20"/>
          <w:color w:val="auto"/>
        </w:rPr>
      </w:pPr>
      <w:r>
        <w:rPr>
          <w:rFonts w:ascii="Arial" w:cs="Arial" w:eastAsia="Arial" w:hAnsi="Arial"/>
          <w:sz w:val="14"/>
          <w:szCs w:val="14"/>
          <w:color w:val="auto"/>
        </w:rPr>
        <w:t xml:space="preserve">We currently have the option to purchase from GasLog: (i)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and (ii) the </w:t>
      </w:r>
      <w:r>
        <w:rPr>
          <w:rFonts w:ascii="Arial" w:cs="Arial" w:eastAsia="Arial" w:hAnsi="Arial"/>
          <w:sz w:val="14"/>
          <w:szCs w:val="14"/>
          <w:i w:val="1"/>
          <w:iCs w:val="1"/>
          <w:color w:val="auto"/>
        </w:rPr>
        <w:t>GasLog Gladstone</w:t>
      </w:r>
      <w:r>
        <w:rPr>
          <w:rFonts w:ascii="Arial" w:cs="Arial" w:eastAsia="Arial" w:hAnsi="Arial"/>
          <w:sz w:val="14"/>
          <w:szCs w:val="14"/>
          <w:color w:val="auto"/>
        </w:rPr>
        <w:t>, each within 30 days after GasLog notifies us that the vessel has commenced its multi-year charter with Shell. In each case, our option to purchase is at fair market value as determined pursuant to the omnibus agreement.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Cargo</w:t>
            </w: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2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Capacity</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Charter</w:t>
            </w:r>
          </w:p>
        </w:tc>
      </w:tr>
      <w:tr>
        <w:trPr>
          <w:trHeight w:val="216"/>
        </w:trPr>
        <w:tc>
          <w:tcPr>
            <w:tcW w:w="288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Year Built</w:t>
            </w: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6"/>
              </w:rPr>
              <w:t>(cbm)</w:t>
            </w: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Charterer</w:t>
            </w:r>
          </w:p>
        </w:tc>
        <w:tc>
          <w:tcPr>
            <w:tcW w:w="122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87"/>
              </w:rPr>
              <w:t>Propulsion</w:t>
            </w:r>
            <w:r>
              <w:rPr>
                <w:rFonts w:ascii="Arial" w:cs="Arial" w:eastAsia="Arial" w:hAnsi="Arial"/>
                <w:sz w:val="21"/>
                <w:szCs w:val="21"/>
                <w:b w:val="1"/>
                <w:bCs w:val="1"/>
                <w:color w:val="auto"/>
                <w:w w:val="87"/>
                <w:vertAlign w:val="superscript"/>
              </w:rPr>
              <w:t>(1)</w:t>
            </w:r>
          </w:p>
        </w:tc>
        <w:tc>
          <w:tcPr>
            <w:tcW w:w="110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(2)</w:t>
            </w:r>
          </w:p>
        </w:tc>
      </w:tr>
      <w:tr>
        <w:trPr>
          <w:trHeight w:val="196"/>
        </w:trPr>
        <w:tc>
          <w:tcPr>
            <w:tcW w:w="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w:t>
            </w:r>
          </w:p>
        </w:tc>
        <w:tc>
          <w:tcPr>
            <w:tcW w:w="2440" w:type="dxa"/>
            <w:vAlign w:val="bottom"/>
            <w:tcBorders>
              <w:top w:val="single" w:sz="8" w:color="auto"/>
            </w:tcBorders>
            <w:shd w:val="clear" w:color="auto" w:fill="E5FFFF"/>
          </w:tcPr>
          <w:p>
            <w:pPr>
              <w:ind w:left="40"/>
              <w:spacing w:after="0"/>
              <w:rPr>
                <w:sz w:val="20"/>
                <w:szCs w:val="20"/>
                <w:color w:val="auto"/>
              </w:rPr>
            </w:pPr>
            <w:r>
              <w:rPr>
                <w:rFonts w:ascii="Arial" w:cs="Arial" w:eastAsia="Arial" w:hAnsi="Arial"/>
                <w:sz w:val="16"/>
                <w:szCs w:val="16"/>
                <w:i w:val="1"/>
                <w:iCs w:val="1"/>
                <w:color w:val="auto"/>
              </w:rPr>
              <w:t>GasLog Houston</w:t>
            </w:r>
          </w:p>
        </w:tc>
        <w:tc>
          <w:tcPr>
            <w:tcW w:w="18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2018</w:t>
            </w:r>
          </w:p>
        </w:tc>
        <w:tc>
          <w:tcPr>
            <w:tcW w:w="18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18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8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2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May 2028</w:t>
            </w:r>
          </w:p>
        </w:tc>
      </w:tr>
      <w:tr>
        <w:trPr>
          <w:trHeight w:val="210"/>
        </w:trPr>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62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Gladstone</w:t>
            </w:r>
          </w:p>
        </w:tc>
        <w:tc>
          <w:tcPr>
            <w:tcW w:w="1100" w:type="dxa"/>
            <w:vAlign w:val="bottom"/>
          </w:tcPr>
          <w:p>
            <w:pPr>
              <w:jc w:val="center"/>
              <w:spacing w:after="0"/>
              <w:rPr>
                <w:sz w:val="20"/>
                <w:szCs w:val="20"/>
                <w:color w:val="auto"/>
              </w:rPr>
            </w:pPr>
            <w:r>
              <w:rPr>
                <w:rFonts w:ascii="Arial" w:cs="Arial" w:eastAsia="Arial" w:hAnsi="Arial"/>
                <w:sz w:val="16"/>
                <w:szCs w:val="16"/>
                <w:color w:val="auto"/>
                <w:w w:val="95"/>
              </w:rPr>
              <w:t>2019</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1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Shell</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rPr>
              <w:t>X-DF</w:t>
            </w:r>
          </w:p>
        </w:tc>
        <w:tc>
          <w:tcPr>
            <w:tcW w:w="1100" w:type="dxa"/>
            <w:vAlign w:val="bottom"/>
          </w:tcPr>
          <w:p>
            <w:pPr>
              <w:jc w:val="center"/>
              <w:spacing w:after="0"/>
              <w:rPr>
                <w:sz w:val="20"/>
                <w:szCs w:val="20"/>
                <w:color w:val="auto"/>
              </w:rPr>
            </w:pPr>
            <w:r>
              <w:rPr>
                <w:rFonts w:ascii="Arial" w:cs="Arial" w:eastAsia="Arial" w:hAnsi="Arial"/>
                <w:sz w:val="16"/>
                <w:szCs w:val="16"/>
                <w:color w:val="auto"/>
                <w:w w:val="88"/>
              </w:rPr>
              <w:t>January 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2478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Reference to “X-DF” refers to low pressure dual-fuel two-stroke engine propulsion manufactured by Winterthur Gas &amp; Diesel. Previously referred to as LP-2S.</w:t>
      </w:r>
    </w:p>
    <w:p>
      <w:pPr>
        <w:spacing w:after="0" w:line="144"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Indicates the expiration of the initial fixed term.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i w:val="1"/>
          <w:iCs w:val="1"/>
          <w:color w:val="auto"/>
        </w:rPr>
        <w:t>Five-Year Vessel Business Opportunities</w:t>
      </w:r>
    </w:p>
    <w:p>
      <w:pPr>
        <w:spacing w:after="0" w:line="235" w:lineRule="exact"/>
        <w:rPr>
          <w:sz w:val="20"/>
          <w:szCs w:val="20"/>
          <w:color w:val="auto"/>
        </w:rPr>
      </w:pPr>
    </w:p>
    <w:p>
      <w:pPr>
        <w:ind w:firstLine="383"/>
        <w:spacing w:after="0" w:line="269"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eight newbuildings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Cargo</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Capacity</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Charter</w:t>
            </w:r>
          </w:p>
        </w:tc>
      </w:tr>
      <w:tr>
        <w:trPr>
          <w:trHeight w:val="216"/>
        </w:trPr>
        <w:tc>
          <w:tcPr>
            <w:tcW w:w="23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300" w:type="dxa"/>
            <w:vAlign w:val="bottom"/>
            <w:gridSpan w:val="2"/>
          </w:tcPr>
          <w:p>
            <w:pPr>
              <w:jc w:val="center"/>
              <w:ind w:right="180"/>
              <w:spacing w:after="0" w:line="217" w:lineRule="exact"/>
              <w:rPr>
                <w:sz w:val="20"/>
                <w:szCs w:val="20"/>
                <w:color w:val="auto"/>
              </w:rPr>
            </w:pPr>
            <w:r>
              <w:rPr>
                <w:rFonts w:ascii="Arial" w:cs="Arial" w:eastAsia="Arial" w:hAnsi="Arial"/>
                <w:sz w:val="16"/>
                <w:szCs w:val="16"/>
                <w:b w:val="1"/>
                <w:bCs w:val="1"/>
                <w:color w:val="auto"/>
                <w:w w:val="91"/>
              </w:rPr>
              <w:t>Year Built</w:t>
            </w:r>
            <w:r>
              <w:rPr>
                <w:rFonts w:ascii="Arial" w:cs="Arial" w:eastAsia="Arial" w:hAnsi="Arial"/>
                <w:sz w:val="21"/>
                <w:szCs w:val="21"/>
                <w:b w:val="1"/>
                <w:bCs w:val="1"/>
                <w:color w:val="auto"/>
                <w:w w:val="91"/>
                <w:vertAlign w:val="superscript"/>
              </w:rPr>
              <w:t>(1)</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(cbm)</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Charterer</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Propulsion</w:t>
            </w:r>
          </w:p>
        </w:tc>
        <w:tc>
          <w:tcPr>
            <w:tcW w:w="138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(2)</w:t>
            </w:r>
          </w:p>
        </w:tc>
      </w:tr>
      <w:tr>
        <w:trPr>
          <w:trHeight w:val="196"/>
        </w:trPr>
        <w:tc>
          <w:tcPr>
            <w:tcW w:w="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w:t>
            </w:r>
          </w:p>
        </w:tc>
        <w:tc>
          <w:tcPr>
            <w:tcW w:w="1900" w:type="dxa"/>
            <w:vAlign w:val="bottom"/>
            <w:tcBorders>
              <w:top w:val="single" w:sz="8" w:color="auto"/>
            </w:tcBorders>
            <w:shd w:val="clear" w:color="auto" w:fill="E5FFFF"/>
          </w:tcPr>
          <w:p>
            <w:pPr>
              <w:ind w:left="60"/>
              <w:spacing w:after="0"/>
              <w:rPr>
                <w:sz w:val="20"/>
                <w:szCs w:val="20"/>
                <w:color w:val="auto"/>
              </w:rPr>
            </w:pPr>
            <w:r>
              <w:rPr>
                <w:rFonts w:ascii="Arial" w:cs="Arial" w:eastAsia="Arial" w:hAnsi="Arial"/>
                <w:sz w:val="16"/>
                <w:szCs w:val="16"/>
                <w:i w:val="1"/>
                <w:iCs w:val="1"/>
                <w:color w:val="auto"/>
              </w:rPr>
              <w:t>GasLog Warsaw</w:t>
            </w:r>
          </w:p>
        </w:tc>
        <w:tc>
          <w:tcPr>
            <w:tcW w:w="1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Q3 2019</w:t>
            </w:r>
          </w:p>
        </w:tc>
        <w:tc>
          <w:tcPr>
            <w:tcW w:w="16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6"/>
                <w:szCs w:val="16"/>
                <w:color w:val="auto"/>
                <w:w w:val="81"/>
              </w:rPr>
              <w:t xml:space="preserve">Endesa </w:t>
            </w:r>
            <w:r>
              <w:rPr>
                <w:rFonts w:ascii="Arial" w:cs="Arial" w:eastAsia="Arial" w:hAnsi="Arial"/>
                <w:sz w:val="21"/>
                <w:szCs w:val="21"/>
                <w:color w:val="auto"/>
                <w:w w:val="81"/>
                <w:vertAlign w:val="superscript"/>
              </w:rPr>
              <w:t>(3)</w:t>
            </w:r>
          </w:p>
        </w:tc>
        <w:tc>
          <w:tcPr>
            <w:tcW w:w="1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2029</w:t>
            </w:r>
          </w:p>
        </w:tc>
      </w:tr>
      <w:tr>
        <w:trPr>
          <w:trHeight w:val="203"/>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080" w:type="dxa"/>
            <w:vAlign w:val="bottom"/>
            <w:gridSpan w:val="2"/>
          </w:tcPr>
          <w:p>
            <w:pPr>
              <w:ind w:left="60"/>
              <w:spacing w:after="0"/>
              <w:rPr>
                <w:sz w:val="20"/>
                <w:szCs w:val="20"/>
                <w:color w:val="auto"/>
              </w:rPr>
            </w:pPr>
            <w:r>
              <w:rPr>
                <w:rFonts w:ascii="Arial" w:cs="Arial" w:eastAsia="Arial" w:hAnsi="Arial"/>
                <w:sz w:val="16"/>
                <w:szCs w:val="16"/>
                <w:color w:val="auto"/>
              </w:rPr>
              <w:t>Hull No. 2213</w:t>
            </w: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Q2 2020</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80" w:type="dxa"/>
            <w:vAlign w:val="bottom"/>
          </w:tcPr>
          <w:p>
            <w:pPr>
              <w:spacing w:after="0"/>
              <w:rPr>
                <w:sz w:val="17"/>
                <w:szCs w:val="17"/>
                <w:color w:val="auto"/>
              </w:rPr>
            </w:pPr>
          </w:p>
        </w:tc>
        <w:tc>
          <w:tcPr>
            <w:tcW w:w="1320" w:type="dxa"/>
            <w:vAlign w:val="bottom"/>
            <w:gridSpan w:val="2"/>
          </w:tcPr>
          <w:p>
            <w:pPr>
              <w:jc w:val="center"/>
              <w:ind w:right="18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(4)</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rPr>
              <w:t>X-DF</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w:t>
            </w:r>
          </w:p>
        </w:tc>
        <w:tc>
          <w:tcPr>
            <w:tcW w:w="2080" w:type="dxa"/>
            <w:vAlign w:val="bottom"/>
            <w:gridSpan w:val="2"/>
            <w:shd w:val="clear" w:color="auto" w:fill="E5FFFF"/>
          </w:tcPr>
          <w:p>
            <w:pPr>
              <w:ind w:left="60"/>
              <w:spacing w:after="0"/>
              <w:rPr>
                <w:sz w:val="20"/>
                <w:szCs w:val="20"/>
                <w:color w:val="auto"/>
              </w:rPr>
            </w:pPr>
            <w:r>
              <w:rPr>
                <w:rFonts w:ascii="Arial" w:cs="Arial" w:eastAsia="Arial" w:hAnsi="Arial"/>
                <w:sz w:val="16"/>
                <w:szCs w:val="16"/>
                <w:color w:val="auto"/>
              </w:rPr>
              <w:t>Hull No. 2274</w:t>
            </w:r>
          </w:p>
        </w:tc>
        <w:tc>
          <w:tcPr>
            <w:tcW w:w="13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Q2 2020</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8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center"/>
              <w:ind w:right="180"/>
              <w:spacing w:after="0" w:line="203" w:lineRule="exact"/>
              <w:rPr>
                <w:sz w:val="20"/>
                <w:szCs w:val="20"/>
                <w:color w:val="auto"/>
              </w:rPr>
            </w:pPr>
            <w:r>
              <w:rPr>
                <w:rFonts w:ascii="Arial" w:cs="Arial" w:eastAsia="Arial" w:hAnsi="Arial"/>
                <w:sz w:val="16"/>
                <w:szCs w:val="16"/>
                <w:color w:val="auto"/>
                <w:w w:val="86"/>
              </w:rPr>
              <w:t xml:space="preserve">JERA </w:t>
            </w:r>
            <w:r>
              <w:rPr>
                <w:rFonts w:ascii="Arial" w:cs="Arial" w:eastAsia="Arial" w:hAnsi="Arial"/>
                <w:sz w:val="21"/>
                <w:szCs w:val="21"/>
                <w:color w:val="auto"/>
                <w:w w:val="86"/>
                <w:vertAlign w:val="superscript"/>
              </w:rPr>
              <w:t>(5)</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rPr>
              <w:t>X-DF</w:t>
            </w:r>
          </w:p>
        </w:tc>
        <w:tc>
          <w:tcPr>
            <w:tcW w:w="13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2032</w:t>
            </w:r>
          </w:p>
        </w:tc>
      </w:tr>
      <w:tr>
        <w:trPr>
          <w:trHeight w:val="203"/>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080" w:type="dxa"/>
            <w:vAlign w:val="bottom"/>
            <w:gridSpan w:val="2"/>
          </w:tcPr>
          <w:p>
            <w:pPr>
              <w:ind w:left="60"/>
              <w:spacing w:after="0"/>
              <w:rPr>
                <w:sz w:val="20"/>
                <w:szCs w:val="20"/>
                <w:color w:val="auto"/>
              </w:rPr>
            </w:pPr>
            <w:r>
              <w:rPr>
                <w:rFonts w:ascii="Arial" w:cs="Arial" w:eastAsia="Arial" w:hAnsi="Arial"/>
                <w:sz w:val="16"/>
                <w:szCs w:val="16"/>
                <w:color w:val="auto"/>
              </w:rPr>
              <w:t>Hull No. 2262</w:t>
            </w: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Q3 2020</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80" w:type="dxa"/>
            <w:vAlign w:val="bottom"/>
          </w:tcPr>
          <w:p>
            <w:pPr>
              <w:spacing w:after="0"/>
              <w:rPr>
                <w:sz w:val="17"/>
                <w:szCs w:val="17"/>
                <w:color w:val="auto"/>
              </w:rPr>
            </w:pPr>
          </w:p>
        </w:tc>
        <w:tc>
          <w:tcPr>
            <w:tcW w:w="1320" w:type="dxa"/>
            <w:vAlign w:val="bottom"/>
            <w:gridSpan w:val="2"/>
          </w:tcPr>
          <w:p>
            <w:pPr>
              <w:jc w:val="center"/>
              <w:ind w:right="18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(4)</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rPr>
              <w:t>X-DF</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w:t>
            </w:r>
          </w:p>
        </w:tc>
        <w:tc>
          <w:tcPr>
            <w:tcW w:w="2080" w:type="dxa"/>
            <w:vAlign w:val="bottom"/>
            <w:gridSpan w:val="2"/>
            <w:shd w:val="clear" w:color="auto" w:fill="E5FFFF"/>
          </w:tcPr>
          <w:p>
            <w:pPr>
              <w:ind w:left="60"/>
              <w:spacing w:after="0"/>
              <w:rPr>
                <w:sz w:val="20"/>
                <w:szCs w:val="20"/>
                <w:color w:val="auto"/>
              </w:rPr>
            </w:pPr>
            <w:r>
              <w:rPr>
                <w:rFonts w:ascii="Arial" w:cs="Arial" w:eastAsia="Arial" w:hAnsi="Arial"/>
                <w:sz w:val="16"/>
                <w:szCs w:val="16"/>
                <w:color w:val="auto"/>
              </w:rPr>
              <w:t>Hull No. 2300</w:t>
            </w:r>
          </w:p>
        </w:tc>
        <w:tc>
          <w:tcPr>
            <w:tcW w:w="13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Q4 2020</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8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89"/>
              </w:rPr>
              <w:t>Cheniere</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rPr>
              <w:t>X-DF</w:t>
            </w:r>
          </w:p>
        </w:tc>
        <w:tc>
          <w:tcPr>
            <w:tcW w:w="13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080" w:type="dxa"/>
            <w:vAlign w:val="bottom"/>
            <w:gridSpan w:val="2"/>
          </w:tcPr>
          <w:p>
            <w:pPr>
              <w:ind w:left="60"/>
              <w:spacing w:after="0"/>
              <w:rPr>
                <w:sz w:val="20"/>
                <w:szCs w:val="20"/>
                <w:color w:val="auto"/>
              </w:rPr>
            </w:pPr>
            <w:r>
              <w:rPr>
                <w:rFonts w:ascii="Arial" w:cs="Arial" w:eastAsia="Arial" w:hAnsi="Arial"/>
                <w:sz w:val="16"/>
                <w:szCs w:val="16"/>
                <w:color w:val="auto"/>
              </w:rPr>
              <w:t>Hull No. 2301</w:t>
            </w: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Q4 2020</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Cheniere</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rPr>
              <w:t>X-DF</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w:t>
            </w:r>
          </w:p>
        </w:tc>
        <w:tc>
          <w:tcPr>
            <w:tcW w:w="2080" w:type="dxa"/>
            <w:vAlign w:val="bottom"/>
            <w:gridSpan w:val="2"/>
            <w:shd w:val="clear" w:color="auto" w:fill="E5FFFF"/>
          </w:tcPr>
          <w:p>
            <w:pPr>
              <w:ind w:left="60"/>
              <w:spacing w:after="0"/>
              <w:rPr>
                <w:sz w:val="20"/>
                <w:szCs w:val="20"/>
                <w:color w:val="auto"/>
              </w:rPr>
            </w:pPr>
            <w:r>
              <w:rPr>
                <w:rFonts w:ascii="Arial" w:cs="Arial" w:eastAsia="Arial" w:hAnsi="Arial"/>
                <w:sz w:val="16"/>
                <w:szCs w:val="16"/>
                <w:color w:val="auto"/>
              </w:rPr>
              <w:t>Hull No. 2311</w:t>
            </w:r>
          </w:p>
        </w:tc>
        <w:tc>
          <w:tcPr>
            <w:tcW w:w="130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Q2 2021</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8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89"/>
              </w:rPr>
              <w:t>Cheniere</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rPr>
              <w:t>X-DF</w:t>
            </w:r>
          </w:p>
        </w:tc>
        <w:tc>
          <w:tcPr>
            <w:tcW w:w="13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2028</w:t>
            </w:r>
          </w:p>
        </w:tc>
      </w:tr>
      <w:tr>
        <w:trPr>
          <w:trHeight w:val="210"/>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080" w:type="dxa"/>
            <w:vAlign w:val="bottom"/>
            <w:gridSpan w:val="2"/>
          </w:tcPr>
          <w:p>
            <w:pPr>
              <w:ind w:left="60"/>
              <w:spacing w:after="0"/>
              <w:rPr>
                <w:sz w:val="20"/>
                <w:szCs w:val="20"/>
                <w:color w:val="auto"/>
              </w:rPr>
            </w:pPr>
            <w:r>
              <w:rPr>
                <w:rFonts w:ascii="Arial" w:cs="Arial" w:eastAsia="Arial" w:hAnsi="Arial"/>
                <w:sz w:val="16"/>
                <w:szCs w:val="16"/>
                <w:color w:val="auto"/>
              </w:rPr>
              <w:t>Hull No. 2312</w:t>
            </w: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Q3 2021</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Cheniere</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rPr>
              <w:t>X-DF</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2478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Expected delivery quarters are presented.</w:t>
      </w:r>
    </w:p>
    <w:p>
      <w:pPr>
        <w:spacing w:after="0" w:line="45" w:lineRule="exact"/>
        <w:rPr>
          <w:rFonts w:ascii="Arial" w:cs="Arial" w:eastAsia="Arial" w:hAnsi="Arial"/>
          <w:sz w:val="18"/>
          <w:szCs w:val="18"/>
          <w:color w:val="auto"/>
          <w:vertAlign w:val="superscript"/>
        </w:rPr>
      </w:pPr>
    </w:p>
    <w:p>
      <w:pPr>
        <w:ind w:left="200" w:hanging="192"/>
        <w:spacing w:after="0" w:line="197" w:lineRule="auto"/>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Charter expiration to be determined based upon actual date of delivery.</w:t>
      </w:r>
    </w:p>
    <w:p>
      <w:pPr>
        <w:spacing w:after="0" w:line="46" w:lineRule="exact"/>
        <w:rPr>
          <w:rFonts w:ascii="Arial" w:cs="Arial" w:eastAsia="Arial" w:hAnsi="Arial"/>
          <w:sz w:val="18"/>
          <w:szCs w:val="18"/>
          <w:color w:val="auto"/>
          <w:vertAlign w:val="superscript"/>
        </w:rPr>
      </w:pPr>
    </w:p>
    <w:p>
      <w:pPr>
        <w:ind w:left="200" w:hanging="192"/>
        <w:spacing w:after="0" w:line="197" w:lineRule="auto"/>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a wholly owned subsidiary of Endesa, S.A. (“Endesa”). The charter will commence in May 2021.</w:t>
      </w:r>
    </w:p>
    <w:p>
      <w:pPr>
        <w:spacing w:after="0" w:line="46" w:lineRule="exact"/>
        <w:rPr>
          <w:rFonts w:ascii="Arial" w:cs="Arial" w:eastAsia="Arial" w:hAnsi="Arial"/>
          <w:sz w:val="18"/>
          <w:szCs w:val="18"/>
          <w:color w:val="auto"/>
          <w:vertAlign w:val="superscript"/>
        </w:rPr>
      </w:pPr>
    </w:p>
    <w:p>
      <w:pPr>
        <w:ind w:left="200" w:hanging="192"/>
        <w:spacing w:after="0" w:line="197" w:lineRule="auto"/>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Pioneer Shipping Limited, a wholly owned subsidiary of Centrica plc (“Centrica”).</w:t>
      </w:r>
    </w:p>
    <w:p>
      <w:pPr>
        <w:spacing w:after="0" w:line="46" w:lineRule="exact"/>
        <w:rPr>
          <w:rFonts w:ascii="Arial" w:cs="Arial" w:eastAsia="Arial" w:hAnsi="Arial"/>
          <w:sz w:val="18"/>
          <w:szCs w:val="18"/>
          <w:color w:val="auto"/>
          <w:vertAlign w:val="superscript"/>
        </w:rPr>
      </w:pPr>
    </w:p>
    <w:p>
      <w:pPr>
        <w:ind w:left="200" w:hanging="192"/>
        <w:spacing w:after="0" w:line="197" w:lineRule="auto"/>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LNG Marine Transport Limited, the principal LNG shipping entity of Japan’s JERA Co., Inc (“JERA”).</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ind w:right="40" w:firstLine="383"/>
        <w:spacing w:after="0" w:line="293" w:lineRule="auto"/>
        <w:rPr>
          <w:sz w:val="20"/>
          <w:szCs w:val="20"/>
          <w:color w:val="auto"/>
        </w:rPr>
      </w:pPr>
      <w:r>
        <w:rPr>
          <w:rFonts w:ascii="Arial" w:cs="Arial" w:eastAsia="Arial" w:hAnsi="Arial"/>
          <w:sz w:val="15"/>
          <w:szCs w:val="15"/>
          <w:color w:val="auto"/>
        </w:rPr>
        <w:t xml:space="preserve">Our results set forth below are derived from the unaudited condensed consolidated financial statements of the Partnership. The transfers of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 xml:space="preserve">Methane Becki Anne </w:t>
      </w:r>
      <w:r>
        <w:rPr>
          <w:rFonts w:ascii="Arial" w:cs="Arial" w:eastAsia="Arial" w:hAnsi="Arial"/>
          <w:sz w:val="15"/>
          <w:szCs w:val="15"/>
          <w:color w:val="auto"/>
        </w:rPr>
        <w:t>from GasLog to the Partnership on April 26, 2018 and November 14, 2018, respectively, were accounted for as reorganizations of entities under common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control under IFRS. The unaudited condensed consolidated financial statements include the accounts of the Partnership and its subsidiaries assuming that they are consolidated from the dates of their incorporation by GasLog as they were under the common control of GasLog. Our results set forth below do not include results attributable to the </w:t>
      </w:r>
      <w:r>
        <w:rPr>
          <w:rFonts w:ascii="Arial" w:cs="Arial" w:eastAsia="Arial" w:hAnsi="Arial"/>
          <w:sz w:val="15"/>
          <w:szCs w:val="15"/>
          <w:i w:val="1"/>
          <w:iCs w:val="1"/>
          <w:color w:val="auto"/>
        </w:rPr>
        <w:t xml:space="preserve">GasLog Glasgow </w:t>
      </w:r>
      <w:r>
        <w:rPr>
          <w:rFonts w:ascii="Arial" w:cs="Arial" w:eastAsia="Arial" w:hAnsi="Arial"/>
          <w:sz w:val="15"/>
          <w:szCs w:val="15"/>
          <w:color w:val="auto"/>
        </w:rPr>
        <w:t>because the Partnership’s acquisition of the entity that owns and charters the</w:t>
      </w:r>
      <w:r>
        <w:rPr>
          <w:rFonts w:ascii="Arial" w:cs="Arial" w:eastAsia="Arial" w:hAnsi="Arial"/>
          <w:sz w:val="15"/>
          <w:szCs w:val="15"/>
          <w:i w:val="1"/>
          <w:iCs w:val="1"/>
          <w:color w:val="auto"/>
        </w:rPr>
        <w:t xml:space="preserve"> GasLog Glasgow </w:t>
      </w:r>
      <w:r>
        <w:rPr>
          <w:rFonts w:ascii="Arial" w:cs="Arial" w:eastAsia="Arial" w:hAnsi="Arial"/>
          <w:sz w:val="15"/>
          <w:szCs w:val="15"/>
          <w:color w:val="auto"/>
        </w:rPr>
        <w:t>closed on April 1, 2019.</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The Partnership’s historical results were retroactively restated to reflect the historical results of these acquired entities during the periods they were owned by GasLog.</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Three-month period ended March 31, 2018 compared to the three-month period ended March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4660" w:type="dxa"/>
            <w:vAlign w:val="bottom"/>
            <w:gridSpan w:val="7"/>
          </w:tcPr>
          <w:p>
            <w:pPr>
              <w:jc w:val="right"/>
              <w:ind w:right="940"/>
              <w:spacing w:after="0"/>
              <w:rPr>
                <w:sz w:val="20"/>
                <w:szCs w:val="20"/>
                <w:color w:val="auto"/>
              </w:rPr>
            </w:pPr>
            <w:r>
              <w:rPr>
                <w:rFonts w:ascii="Arial" w:cs="Arial" w:eastAsia="Arial" w:hAnsi="Arial"/>
                <w:sz w:val="16"/>
                <w:szCs w:val="16"/>
                <w:b w:val="1"/>
                <w:bCs w:val="1"/>
                <w:color w:val="auto"/>
              </w:rPr>
              <w:t>IFRS Reported Common Control Results</w:t>
            </w:r>
          </w:p>
        </w:tc>
        <w:tc>
          <w:tcPr>
            <w:tcW w:w="0" w:type="dxa"/>
            <w:vAlign w:val="bottom"/>
          </w:tcPr>
          <w:p>
            <w:pPr>
              <w:spacing w:after="0"/>
              <w:rPr>
                <w:sz w:val="1"/>
                <w:szCs w:val="1"/>
                <w:color w:val="auto"/>
              </w:rPr>
            </w:pPr>
          </w:p>
        </w:tc>
      </w:tr>
      <w:tr>
        <w:trPr>
          <w:trHeight w:val="202"/>
        </w:trPr>
        <w:tc>
          <w:tcPr>
            <w:tcW w:w="6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March 31, 2018</w:t>
            </w:r>
          </w:p>
        </w:tc>
        <w:tc>
          <w:tcPr>
            <w:tcW w:w="16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March 31, 2019</w:t>
            </w:r>
          </w:p>
        </w:tc>
        <w:tc>
          <w:tcPr>
            <w:tcW w:w="13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91,776</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(5,451)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rPr>
                <w:sz w:val="20"/>
                <w:szCs w:val="20"/>
                <w:color w:val="auto"/>
              </w:rPr>
            </w:pPr>
            <w:r>
              <w:rPr>
                <w:rFonts w:ascii="Arial" w:cs="Arial" w:eastAsia="Arial" w:hAnsi="Arial"/>
                <w:sz w:val="16"/>
                <w:szCs w:val="16"/>
                <w:color w:val="auto"/>
              </w:rPr>
              <w:t>Net pool allocation</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34</w:t>
            </w:r>
          </w:p>
        </w:tc>
        <w:tc>
          <w:tcPr>
            <w:tcW w:w="136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(1,239)</w:t>
            </w: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(1,742)</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rPr>
                <w:sz w:val="20"/>
                <w:szCs w:val="20"/>
                <w:color w:val="auto"/>
              </w:rPr>
            </w:pPr>
            <w:r>
              <w:rPr>
                <w:rFonts w:ascii="Arial" w:cs="Arial" w:eastAsia="Arial" w:hAnsi="Arial"/>
                <w:sz w:val="16"/>
                <w:szCs w:val="16"/>
                <w:color w:val="auto"/>
              </w:rPr>
              <w:t>Vessel operating costs</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(18,777)</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(17,118)</w:t>
            </w:r>
          </w:p>
        </w:tc>
        <w:tc>
          <w:tcPr>
            <w:tcW w:w="1360" w:type="dxa"/>
            <w:vAlign w:val="bottom"/>
          </w:tcPr>
          <w:p>
            <w:pPr>
              <w:jc w:val="right"/>
              <w:spacing w:after="0"/>
              <w:rPr>
                <w:sz w:val="20"/>
                <w:szCs w:val="20"/>
                <w:color w:val="auto"/>
              </w:rPr>
            </w:pPr>
            <w:r>
              <w:rPr>
                <w:rFonts w:ascii="Arial" w:cs="Arial" w:eastAsia="Arial" w:hAnsi="Arial"/>
                <w:sz w:val="16"/>
                <w:szCs w:val="16"/>
                <w:color w:val="auto"/>
              </w:rPr>
              <w:t>1,659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(20,089)</w:t>
            </w: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(20,380)</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(4,792)</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(4,598)</w:t>
            </w:r>
          </w:p>
        </w:tc>
        <w:tc>
          <w:tcPr>
            <w:tcW w:w="1360" w:type="dxa"/>
            <w:vAlign w:val="bottom"/>
          </w:tcPr>
          <w:p>
            <w:pPr>
              <w:jc w:val="right"/>
              <w:spacing w:after="0"/>
              <w:rPr>
                <w:sz w:val="20"/>
                <w:szCs w:val="20"/>
                <w:color w:val="auto"/>
              </w:rPr>
            </w:pPr>
            <w:r>
              <w:rPr>
                <w:rFonts w:ascii="Arial" w:cs="Arial" w:eastAsia="Arial" w:hAnsi="Arial"/>
                <w:sz w:val="16"/>
                <w:szCs w:val="16"/>
                <w:color w:val="auto"/>
              </w:rPr>
              <w:t>194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46,879</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42,521</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1340" w:type="dxa"/>
            <w:vAlign w:val="bottom"/>
          </w:tcPr>
          <w:p>
            <w:pPr>
              <w:jc w:val="right"/>
              <w:spacing w:after="0"/>
              <w:rPr>
                <w:sz w:val="20"/>
                <w:szCs w:val="20"/>
                <w:color w:val="auto"/>
              </w:rPr>
            </w:pPr>
            <w:r>
              <w:rPr>
                <w:rFonts w:ascii="Arial" w:cs="Arial" w:eastAsia="Arial" w:hAnsi="Arial"/>
                <w:sz w:val="16"/>
                <w:szCs w:val="16"/>
                <w:color w:val="auto"/>
              </w:rPr>
              <w:t>(16,440)</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(17,902)</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(1,462)</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526</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624</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rPr>
                <w:sz w:val="20"/>
                <w:szCs w:val="20"/>
                <w:color w:val="auto"/>
              </w:rPr>
            </w:pPr>
            <w:r>
              <w:rPr>
                <w:rFonts w:ascii="Arial" w:cs="Arial" w:eastAsia="Arial" w:hAnsi="Arial"/>
                <w:sz w:val="16"/>
                <w:szCs w:val="16"/>
                <w:color w:val="auto"/>
              </w:rPr>
              <w:t>Gain/(loss) on derivatives</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6,327</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(4,877)</w:t>
            </w:r>
          </w:p>
        </w:tc>
        <w:tc>
          <w:tcPr>
            <w:tcW w:w="1360" w:type="dxa"/>
            <w:vAlign w:val="bottom"/>
          </w:tcPr>
          <w:p>
            <w:pPr>
              <w:jc w:val="right"/>
              <w:spacing w:after="0"/>
              <w:rPr>
                <w:sz w:val="20"/>
                <w:szCs w:val="20"/>
                <w:color w:val="auto"/>
              </w:rPr>
            </w:pPr>
            <w:r>
              <w:rPr>
                <w:rFonts w:ascii="Arial" w:cs="Arial" w:eastAsia="Arial" w:hAnsi="Arial"/>
                <w:sz w:val="16"/>
                <w:szCs w:val="16"/>
                <w:color w:val="auto"/>
              </w:rPr>
              <w:t>(11,204)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37,292</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20,366</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(16,926)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83"/>
        </w:trPr>
        <w:tc>
          <w:tcPr>
            <w:tcW w:w="6480" w:type="dxa"/>
            <w:vAlign w:val="bottom"/>
            <w:gridSpan w:val="2"/>
            <w:vMerge w:val="continue"/>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32,002</w:t>
            </w:r>
          </w:p>
        </w:tc>
        <w:tc>
          <w:tcPr>
            <w:tcW w:w="280" w:type="dxa"/>
            <w:vAlign w:val="bottom"/>
            <w:vMerge w:val="continue"/>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20,366</w:t>
            </w:r>
          </w:p>
        </w:tc>
        <w:tc>
          <w:tcPr>
            <w:tcW w:w="280" w:type="dxa"/>
            <w:vAlign w:val="bottom"/>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(11,636</w:t>
            </w:r>
          </w:p>
        </w:tc>
        <w:tc>
          <w:tcPr>
            <w:tcW w:w="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For the three-month period ended March 31, 2018, we had an average of 14.0 vessels operating in our owned fleet having 1,258 operating days, while during the three-month period ended March 31, 2019, we had an average of 14.0 vessels operating in our owned fleet having 1,254 operating days.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decreased by $5.5 million, or 6.0%, from $91.8 million for the three-month period ended March 31, 2018 to $86.3</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1" w:name="page22"/>
    <w:bookmarkEnd w:id="21"/>
    <w:p>
      <w:pPr>
        <w:ind w:right="80"/>
        <w:spacing w:after="0" w:line="271" w:lineRule="auto"/>
        <w:rPr>
          <w:sz w:val="20"/>
          <w:szCs w:val="20"/>
          <w:color w:val="auto"/>
        </w:rPr>
      </w:pPr>
      <w:r>
        <w:rPr>
          <w:rFonts w:ascii="Arial" w:cs="Arial" w:eastAsia="Arial" w:hAnsi="Arial"/>
          <w:sz w:val="16"/>
          <w:szCs w:val="16"/>
          <w:color w:val="auto"/>
        </w:rPr>
        <w:t xml:space="preserve">million for the same period in 2019. The decrease in revenue is attributable to the expirations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GasLog Sydney </w:t>
      </w:r>
      <w:r>
        <w:rPr>
          <w:rFonts w:ascii="Arial" w:cs="Arial" w:eastAsia="Arial" w:hAnsi="Arial"/>
          <w:sz w:val="16"/>
          <w:szCs w:val="16"/>
          <w:color w:val="auto"/>
        </w:rPr>
        <w:t>in May, June and September 2018, respectively. Following the expirations of their initial charters, the</w:t>
      </w:r>
      <w:r>
        <w:rPr>
          <w:rFonts w:ascii="Arial" w:cs="Arial" w:eastAsia="Arial" w:hAnsi="Arial"/>
          <w:sz w:val="16"/>
          <w:szCs w:val="16"/>
          <w:i w:val="1"/>
          <w:iCs w:val="1"/>
          <w:color w:val="auto"/>
        </w:rPr>
        <w:t xml:space="preserve"> GasLog Shanghai </w:t>
      </w:r>
      <w:r>
        <w:rPr>
          <w:rFonts w:ascii="Arial" w:cs="Arial" w:eastAsia="Arial" w:hAnsi="Arial"/>
          <w:sz w:val="16"/>
          <w:szCs w:val="16"/>
          <w:color w:val="auto"/>
        </w:rPr>
        <w:t>has been trading in the spot market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 the Cool Pool,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began a new, multi-year charter with Trafigura in August 2018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began a new 18-month charter with Cheniere in December 2018. As a result, the average daily hire rate decreased from $72,954 for the three-month period ended March 31, 2018 to $68,840 for the three-month period ended March 31, 2019.</w:t>
      </w:r>
    </w:p>
    <w:p>
      <w:pPr>
        <w:spacing w:after="0" w:line="190" w:lineRule="exact"/>
        <w:rPr>
          <w:sz w:val="20"/>
          <w:szCs w:val="20"/>
          <w:color w:val="auto"/>
        </w:rPr>
      </w:pPr>
    </w:p>
    <w:p>
      <w:pPr>
        <w:ind w:right="80" w:firstLine="428"/>
        <w:spacing w:after="0" w:line="271"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was $0.0 million in the three months ended March 31, 2018 and $0.03 million in the three months ended March 31, 2019.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$0.03 million of net pool allocation in the three months ended March 31, 2019 represents the adjustment of the net results generated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accordance with the pool distribution formula. GasLog Partners recognized gross revenues and gross voyage expenses and commissions of $3.7 million and $0.3 million, respectively, from the operation of the </w:t>
      </w:r>
      <w:r>
        <w:rPr>
          <w:rFonts w:ascii="Arial" w:cs="Arial" w:eastAsia="Arial" w:hAnsi="Arial"/>
          <w:sz w:val="16"/>
          <w:szCs w:val="16"/>
          <w:i w:val="1"/>
          <w:iCs w:val="1"/>
          <w:color w:val="auto"/>
        </w:rPr>
        <w:t>GasLog Shanghai</w:t>
      </w:r>
      <w:r>
        <w:rPr>
          <w:rFonts w:ascii="Arial" w:cs="Arial" w:eastAsia="Arial" w:hAnsi="Arial"/>
          <w:sz w:val="16"/>
          <w:szCs w:val="16"/>
          <w:color w:val="auto"/>
        </w:rPr>
        <w:t>, which entered the Cool Pool in May 2018 (March 31, 2018: $0.0 million and $0.0 million, respectively). GasLog Partners’ total net pool performance is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980" w:type="dxa"/>
            <w:vAlign w:val="bottom"/>
            <w:gridSpan w:val="4"/>
          </w:tcPr>
          <w:p>
            <w:pPr>
              <w:ind w:left="500"/>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802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March 31, 2019</w:t>
            </w:r>
          </w:p>
        </w:tc>
      </w:tr>
      <w:tr>
        <w:trPr>
          <w:trHeight w:val="216"/>
        </w:trPr>
        <w:tc>
          <w:tcPr>
            <w:tcW w:w="8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40" w:type="dxa"/>
            <w:vAlign w:val="bottom"/>
            <w:tcBorders>
              <w:top w:val="single" w:sz="8" w:color="auto"/>
            </w:tcBorders>
            <w:shd w:val="clear" w:color="auto" w:fill="E5FFFF"/>
          </w:tcPr>
          <w:p>
            <w:pPr>
              <w:ind w:left="11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3,698</w:t>
            </w:r>
          </w:p>
        </w:tc>
        <w:tc>
          <w:tcPr>
            <w:tcW w:w="60" w:type="dxa"/>
            <w:vAlign w:val="bottom"/>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(290)</w:t>
            </w:r>
          </w:p>
        </w:tc>
      </w:tr>
      <w:tr>
        <w:trPr>
          <w:trHeight w:val="216"/>
        </w:trPr>
        <w:tc>
          <w:tcPr>
            <w:tcW w:w="802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 adjustment for net pool allocation (Net pool allocation)</w:t>
            </w:r>
          </w:p>
        </w:tc>
        <w:tc>
          <w:tcPr>
            <w:tcW w:w="1560" w:type="dxa"/>
            <w:vAlign w:val="bottom"/>
            <w:gridSpan w:val="2"/>
            <w:shd w:val="clear" w:color="auto" w:fill="E5FFFF"/>
          </w:tcPr>
          <w:p>
            <w:pPr>
              <w:ind w:left="1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6"/>
                <w:szCs w:val="16"/>
                <w:b w:val="1"/>
                <w:bCs w:val="1"/>
                <w:color w:val="auto"/>
              </w:rPr>
              <w:t>GasLog Partners’ total net pool performance</w:t>
            </w: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3,442</w:t>
            </w:r>
          </w:p>
        </w:tc>
        <w:tc>
          <w:tcPr>
            <w:tcW w:w="60" w:type="dxa"/>
            <w:vAlign w:val="bottom"/>
          </w:tcPr>
          <w:p>
            <w:pPr>
              <w:spacing w:after="0"/>
              <w:rPr>
                <w:sz w:val="18"/>
                <w:szCs w:val="18"/>
                <w:color w:val="auto"/>
              </w:rPr>
            </w:pPr>
          </w:p>
        </w:tc>
      </w:tr>
    </w:tbl>
    <w:p>
      <w:pPr>
        <w:spacing w:after="0" w:line="206" w:lineRule="exact"/>
        <w:rPr>
          <w:sz w:val="20"/>
          <w:szCs w:val="20"/>
          <w:color w:val="auto"/>
        </w:rPr>
      </w:pPr>
    </w:p>
    <w:p>
      <w:pPr>
        <w:ind w:right="60" w:firstLine="428"/>
        <w:spacing w:after="0" w:line="278"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increased by $0.5 million, or 41.7%, from $1.2 million in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2018 to $1.7 million in the three months ended March 31, 2019. The increase in voyage expenses and commissions is mainly attributable to an increase in bunker consumption costs due to the operation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the spot market in the first three months of 2019.</w:t>
      </w:r>
    </w:p>
    <w:p>
      <w:pPr>
        <w:spacing w:after="0" w:line="184" w:lineRule="exact"/>
        <w:rPr>
          <w:sz w:val="20"/>
          <w:szCs w:val="20"/>
          <w:color w:val="auto"/>
        </w:rPr>
      </w:pPr>
    </w:p>
    <w:p>
      <w:pPr>
        <w:ind w:right="80" w:firstLine="428"/>
        <w:spacing w:after="0" w:line="271"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decreased by $1.7 million, or 9.0%, from $18.8 million for the three-month period ended March 31, 2018 to $17.1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2019. The decrease in vessel operating costs is attributable to a decrease of $1.0 million in crew wages and technical maintenance expenses, mainly due to the favorable movement of the EUR/USD exchange rate, which decreased by an average of 8% in the first three months of 2019 as compared to the same period in 2018, and a decrease of $0.6 million in other operating expenses. As a result, daily operating costs per vessel decreased from $16,049 per day for the three-month period ended March 31, 2018 to $14,630 per day for the three-month period ended March 31, 2019.</w:t>
      </w:r>
    </w:p>
    <w:p>
      <w:pPr>
        <w:spacing w:after="0" w:line="190" w:lineRule="exact"/>
        <w:rPr>
          <w:sz w:val="20"/>
          <w:szCs w:val="20"/>
          <w:color w:val="auto"/>
        </w:rPr>
      </w:pPr>
    </w:p>
    <w:p>
      <w:pPr>
        <w:ind w:firstLine="428"/>
        <w:spacing w:after="0" w:line="273"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decreased by $0.2 million, or 4.2%, from $4.8 million for the three-month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March 31, 2018 to $4.6 million for the same period in 2019. The decrease in general and administrative expenses is attributable to a decrease of $0.2 million per vessel per year of the annual administrative services fees payable to GasLog in 2019, partially offset by the incremental fees payable to GasLog due to the acquisitions from GasLog of the </w:t>
      </w:r>
      <w:r>
        <w:rPr>
          <w:rFonts w:ascii="Arial" w:cs="Arial" w:eastAsia="Arial" w:hAnsi="Arial"/>
          <w:sz w:val="16"/>
          <w:szCs w:val="16"/>
          <w:i w:val="1"/>
          <w:iCs w:val="1"/>
          <w:color w:val="auto"/>
        </w:rPr>
        <w:t xml:space="preserve">GasLog Gibraltar </w:t>
      </w:r>
      <w:r>
        <w:rPr>
          <w:rFonts w:ascii="Arial" w:cs="Arial" w:eastAsia="Arial" w:hAnsi="Arial"/>
          <w:sz w:val="16"/>
          <w:szCs w:val="16"/>
          <w:color w:val="auto"/>
        </w:rPr>
        <w:t>in April 2018 and the</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in November 2018.</w:t>
      </w:r>
    </w:p>
    <w:p>
      <w:pPr>
        <w:spacing w:after="0" w:line="189" w:lineRule="exact"/>
        <w:rPr>
          <w:sz w:val="20"/>
          <w:szCs w:val="20"/>
          <w:color w:val="auto"/>
        </w:rPr>
      </w:pPr>
    </w:p>
    <w:p>
      <w:pPr>
        <w:ind w:right="100" w:firstLine="428"/>
        <w:spacing w:after="0" w:line="271"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$1.5 million, or 9.1%, from $16.4 million for the three-month period ended March 31, 2018 to $17.9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2019. The increase in financial costs is mainly attributable to an increase of $1.3 million in interest expense on loans, primarily due to the higher LIBOR rates in the first three months of 2019 as compared to the same period in 2018. During the three-month period ended March 31, 2018, we had an average of $1,374.4 million of outstanding indebtedness with a weighted average interest rate of 4.0%, compared to an average of $1,240.3 million of outstanding indebtedness with a weighted average interest rate of 4.8% during the three-month period ended March 31, 2019.</w:t>
      </w:r>
    </w:p>
    <w:p>
      <w:pPr>
        <w:spacing w:after="0" w:line="190" w:lineRule="exact"/>
        <w:rPr>
          <w:sz w:val="20"/>
          <w:szCs w:val="20"/>
          <w:color w:val="auto"/>
        </w:rPr>
      </w:pPr>
    </w:p>
    <w:p>
      <w:pPr>
        <w:ind w:right="220" w:firstLine="428"/>
        <w:spacing w:after="0" w:line="297" w:lineRule="auto"/>
        <w:rPr>
          <w:sz w:val="20"/>
          <w:szCs w:val="20"/>
          <w:color w:val="auto"/>
        </w:rPr>
      </w:pPr>
      <w:r>
        <w:rPr>
          <w:rFonts w:ascii="Arial" w:cs="Arial" w:eastAsia="Arial" w:hAnsi="Arial"/>
          <w:sz w:val="15"/>
          <w:szCs w:val="15"/>
          <w:b w:val="1"/>
          <w:bCs w:val="1"/>
          <w:i w:val="1"/>
          <w:iCs w:val="1"/>
          <w:color w:val="auto"/>
        </w:rPr>
        <w:t xml:space="preserve">Gain/(loss) on Derivatives: </w:t>
      </w:r>
      <w:r>
        <w:rPr>
          <w:rFonts w:ascii="Arial" w:cs="Arial" w:eastAsia="Arial" w:hAnsi="Arial"/>
          <w:sz w:val="15"/>
          <w:szCs w:val="15"/>
          <w:color w:val="auto"/>
        </w:rPr>
        <w:t>Gain on derivatives decreased by $11.2 million, from a gain of $6.3 million for the three-month period ended March 31, 2018 to a loss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$4.9 million for the same period in 2019. The decrease is attributable to a $12.0 million decrease in gain from the mark-to-market valuation of the derivatives which were carried at fair value through profit or loss, which reflected a gain of $6.4 million in the three months ended March 31, 2018 as compared to a loss of $5.6 million in the three months ended March 31, 2019, partially offset by a decrease of $0.8 million in realized loss on derivatives held for trading.</w:t>
      </w:r>
    </w:p>
    <w:p>
      <w:pPr>
        <w:spacing w:after="0" w:line="173" w:lineRule="exact"/>
        <w:rPr>
          <w:sz w:val="20"/>
          <w:szCs w:val="20"/>
          <w:color w:val="auto"/>
        </w:rPr>
      </w:pPr>
    </w:p>
    <w:p>
      <w:pPr>
        <w:ind w:right="120" w:firstLine="428"/>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$16.9 million, or 45.3%, from $37.3 million for the three-month period ended March 31, 2018 to $20.4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2019, as a result of the aforementioned factors.</w:t>
      </w:r>
    </w:p>
    <w:p>
      <w:pPr>
        <w:spacing w:after="0" w:line="172" w:lineRule="exact"/>
        <w:rPr>
          <w:sz w:val="20"/>
          <w:szCs w:val="20"/>
          <w:color w:val="auto"/>
        </w:rPr>
      </w:pPr>
    </w:p>
    <w:p>
      <w:pPr>
        <w:jc w:val="both"/>
        <w:ind w:right="160" w:firstLine="428"/>
        <w:spacing w:after="0" w:line="278"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decreased by $11.6 million, or 36.3%, from $32.0 million for the three-month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2018 to $20.4 million for the three-month period ended March 31, 2019. The decrease is mainly attributable to a $12.0 million decrease in gain from the mark-to-market valuation of the derivatives attributable to the Partnership, which were carried at fair value through profit or loss.</w:t>
      </w:r>
    </w:p>
    <w:p>
      <w:pPr>
        <w:spacing w:after="0" w:line="184" w:lineRule="exact"/>
        <w:rPr>
          <w:sz w:val="20"/>
          <w:szCs w:val="20"/>
          <w:color w:val="auto"/>
        </w:rPr>
      </w:pPr>
    </w:p>
    <w:p>
      <w:pPr>
        <w:ind w:right="20" w:firstLine="428"/>
        <w:spacing w:after="0" w:line="270" w:lineRule="auto"/>
        <w:rPr>
          <w:sz w:val="20"/>
          <w:szCs w:val="20"/>
          <w:color w:val="auto"/>
        </w:rPr>
      </w:pPr>
      <w:r>
        <w:rPr>
          <w:rFonts w:ascii="Arial" w:cs="Arial" w:eastAsia="Arial" w:hAnsi="Arial"/>
          <w:sz w:val="16"/>
          <w:szCs w:val="16"/>
          <w:color w:val="auto"/>
        </w:rPr>
        <w:t xml:space="preserve">Specifically, the profit attributable to the Partnership was mainly affected by (a) an increase in revenues of $9.2 million ($14.7 million contributed by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after their drop-downs to the Partnership, partially offset by a decrease in revenues of $5.5 million due to the expirations of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in May, June and September 2018, respectively), (b) an increase in operating expenses attributable to the Partnership of $1.5 million, mainly attributable to the operating expenses of the acquired vessels, partially offset by decreased crew wages and other operating expenses for the remaining fleet, and (c) an increase in depreciation expense attributable to the Partnership of $3.6 million, resulting primarily from the acquisition of the aforementioned vessels.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the profit attributable to the Partnership was further affected by (a) an increase in financial costs attributable to the Partnership of</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2" w:name="page23"/>
    <w:bookmarkEnd w:id="22"/>
    <w:p>
      <w:pPr>
        <w:spacing w:after="0" w:line="293" w:lineRule="auto"/>
        <w:rPr>
          <w:sz w:val="20"/>
          <w:szCs w:val="20"/>
          <w:color w:val="auto"/>
        </w:rPr>
      </w:pPr>
      <w:r>
        <w:rPr>
          <w:rFonts w:ascii="Arial" w:cs="Arial" w:eastAsia="Arial" w:hAnsi="Arial"/>
          <w:sz w:val="16"/>
          <w:szCs w:val="16"/>
          <w:color w:val="auto"/>
        </w:rPr>
        <w:t xml:space="preserve">$4.0 million, mainly due to increased interest expense of $2.7 million with respect to the aggregate outstanding debt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after their respective drop-downs to the Partnership, and (b) a decrease of $12.0 million in unrealized gain on derivatives.</w:t>
      </w:r>
    </w:p>
    <w:p>
      <w:pPr>
        <w:spacing w:after="0" w:line="172" w:lineRule="exact"/>
        <w:rPr>
          <w:sz w:val="20"/>
          <w:szCs w:val="20"/>
          <w:color w:val="auto"/>
        </w:rPr>
      </w:pPr>
    </w:p>
    <w:p>
      <w:pPr>
        <w:ind w:right="40" w:firstLine="428"/>
        <w:spacing w:after="0" w:line="273" w:lineRule="auto"/>
        <w:rPr>
          <w:sz w:val="20"/>
          <w:szCs w:val="20"/>
          <w:color w:val="auto"/>
        </w:rPr>
      </w:pPr>
      <w:r>
        <w:rPr>
          <w:rFonts w:ascii="Arial" w:cs="Arial" w:eastAsia="Arial" w:hAnsi="Arial"/>
          <w:sz w:val="16"/>
          <w:szCs w:val="16"/>
          <w:color w:val="auto"/>
        </w:rPr>
        <w:t>The above discussion of revenues, operating expenses, depreciation expense, financial costs and unrealized gain on derivatives in relation to the Profit attributable to the Partnership for the three-month period ended March 31, 2018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260" w:firstLine="510"/>
        <w:spacing w:after="0" w:line="293" w:lineRule="auto"/>
        <w:rPr>
          <w:sz w:val="20"/>
          <w:szCs w:val="20"/>
          <w:color w:val="auto"/>
        </w:rPr>
      </w:pPr>
      <w:r>
        <w:rPr>
          <w:rFonts w:ascii="Arial" w:cs="Arial" w:eastAsia="Arial" w:hAnsi="Arial"/>
          <w:sz w:val="15"/>
          <w:szCs w:val="15"/>
          <w:color w:val="auto"/>
        </w:rPr>
        <w:t>We operate in a capital-intensive industry and we expect to finance the purchase of additional vessels and other capital expenditures through a combination of borrowings from commercial banks, cash generated from operations and debt and equity financings, if any. In addition to paying distributions and potentially repurchasing common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76" w:lineRule="exact"/>
        <w:rPr>
          <w:sz w:val="20"/>
          <w:szCs w:val="20"/>
          <w:color w:val="auto"/>
        </w:rPr>
      </w:pPr>
    </w:p>
    <w:p>
      <w:pPr>
        <w:jc w:val="both"/>
        <w:ind w:right="200" w:firstLine="510"/>
        <w:spacing w:after="0" w:line="278" w:lineRule="auto"/>
        <w:rPr>
          <w:sz w:val="20"/>
          <w:szCs w:val="20"/>
          <w:color w:val="auto"/>
        </w:rPr>
      </w:pPr>
      <w:r>
        <w:rPr>
          <w:rFonts w:ascii="Arial" w:cs="Arial" w:eastAsia="Arial" w:hAnsi="Arial"/>
          <w:sz w:val="16"/>
          <w:szCs w:val="16"/>
          <w:color w:val="auto"/>
        </w:rPr>
        <w:t>As of March 31, 2019, we had $101.4 million of cash and cash equivalents, of which $45.6 million was held in current accounts and $55.8 million was held in time deposits with an original duration of less than three months. An amount of $5.0 million of time deposits with an original duration greater than three months was classified as short-term investments.</w:t>
      </w:r>
    </w:p>
    <w:p>
      <w:pPr>
        <w:spacing w:after="0" w:line="184" w:lineRule="exact"/>
        <w:rPr>
          <w:sz w:val="20"/>
          <w:szCs w:val="20"/>
          <w:color w:val="auto"/>
        </w:rPr>
      </w:pPr>
    </w:p>
    <w:p>
      <w:pPr>
        <w:ind w:right="280" w:firstLine="510"/>
        <w:spacing w:after="0" w:line="293" w:lineRule="auto"/>
        <w:rPr>
          <w:sz w:val="20"/>
          <w:szCs w:val="20"/>
          <w:color w:val="auto"/>
        </w:rPr>
      </w:pPr>
      <w:r>
        <w:rPr>
          <w:rFonts w:ascii="Arial" w:cs="Arial" w:eastAsia="Arial" w:hAnsi="Arial"/>
          <w:sz w:val="16"/>
          <w:szCs w:val="16"/>
          <w:color w:val="auto"/>
        </w:rPr>
        <w:t>On March 6, 2019, the respective subsidiaries of GasLog Partners drew down $360.0 million under the 2019 Partnership Facility and prepaid in full their aggregate outstanding debt of $354.5 million, which would have been due in November 2019.</w:t>
      </w:r>
    </w:p>
    <w:p>
      <w:pPr>
        <w:spacing w:after="0" w:line="172"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As of March 31, 2019, we had an aggregate of $1,207.0 million of indebtedness outstanding under our credit facilities, of which $70.7 million is repayable within one year. In addition, as of March 31, 2019 we had unused availability under our revolving credit facilities of $145.9 million.</w:t>
      </w:r>
    </w:p>
    <w:p>
      <w:pPr>
        <w:spacing w:after="0" w:line="172" w:lineRule="exact"/>
        <w:rPr>
          <w:sz w:val="20"/>
          <w:szCs w:val="20"/>
          <w:color w:val="auto"/>
        </w:rPr>
      </w:pPr>
    </w:p>
    <w:p>
      <w:pPr>
        <w:ind w:right="60" w:firstLine="510"/>
        <w:spacing w:after="0" w:line="305" w:lineRule="auto"/>
        <w:rPr>
          <w:sz w:val="20"/>
          <w:szCs w:val="20"/>
          <w:color w:val="auto"/>
        </w:rPr>
      </w:pPr>
      <w:r>
        <w:rPr>
          <w:rFonts w:ascii="Arial" w:cs="Arial" w:eastAsia="Arial" w:hAnsi="Arial"/>
          <w:sz w:val="15"/>
          <w:szCs w:val="15"/>
          <w:color w:val="auto"/>
        </w:rPr>
        <w:t xml:space="preserve">On April 1, 2019, in connection with the acquisition of GAS-twelve Ltd., the entity that owns the </w:t>
      </w:r>
      <w:r>
        <w:rPr>
          <w:rFonts w:ascii="Arial" w:cs="Arial" w:eastAsia="Arial" w:hAnsi="Arial"/>
          <w:sz w:val="15"/>
          <w:szCs w:val="15"/>
          <w:i w:val="1"/>
          <w:iCs w:val="1"/>
          <w:color w:val="auto"/>
        </w:rPr>
        <w:t>GasLog Glasgow</w:t>
      </w:r>
      <w:r>
        <w:rPr>
          <w:rFonts w:ascii="Arial" w:cs="Arial" w:eastAsia="Arial" w:hAnsi="Arial"/>
          <w:sz w:val="15"/>
          <w:szCs w:val="15"/>
          <w:color w:val="auto"/>
        </w:rPr>
        <w:t>, the Partnership paid GasLog $93.9 million representing the difference between the $214.0 million aggregate purchase price and the $134.1 million of outstanding indebtedness of the acquired entity assumed by GasLog Partners plus an adjustment of $14.0 million in order to maintain the agreed working capital position in the acquired entity of $1.0 million.</w:t>
      </w:r>
    </w:p>
    <w:p>
      <w:pPr>
        <w:spacing w:after="0" w:line="166" w:lineRule="exact"/>
        <w:rPr>
          <w:sz w:val="20"/>
          <w:szCs w:val="20"/>
          <w:color w:val="auto"/>
        </w:rPr>
      </w:pPr>
    </w:p>
    <w:p>
      <w:pPr>
        <w:ind w:right="40" w:firstLine="510"/>
        <w:spacing w:after="0" w:line="278" w:lineRule="auto"/>
        <w:rPr>
          <w:sz w:val="20"/>
          <w:szCs w:val="20"/>
          <w:color w:val="auto"/>
        </w:rPr>
      </w:pPr>
      <w:r>
        <w:rPr>
          <w:rFonts w:ascii="Arial" w:cs="Arial" w:eastAsia="Arial" w:hAnsi="Arial"/>
          <w:sz w:val="16"/>
          <w:szCs w:val="16"/>
          <w:color w:val="auto"/>
        </w:rPr>
        <w:t>The Partnership has entered into six interest rate swap agreements with GasLog at a notional value of $625.0 million in aggregate, maturing between 2020 and 2024. As of March 31, 2019, the Partnership has hedged 51.0% of its floating interest rate exposure on its outstanding debt at a weighted average interest rate of approximately 2.1% (excluding margin).</w:t>
      </w:r>
    </w:p>
    <w:p>
      <w:pPr>
        <w:spacing w:after="0" w:line="184"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Furthermore, the Partnership has in place six forward foreign exchange contracts with GasLog with a notional value of €12.0 million and staggered maturities during 2019 to mitigate its foreign exchange transaction exposure in its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As of March 31, 2019, our current assets totaled $124.9 million and current liabilities totaled $111.9 million, resulting in a positive working capital position of $13.0</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million.</w:t>
      </w:r>
    </w:p>
    <w:p>
      <w:pPr>
        <w:spacing w:after="0" w:line="231" w:lineRule="exact"/>
        <w:rPr>
          <w:sz w:val="20"/>
          <w:szCs w:val="20"/>
          <w:color w:val="auto"/>
        </w:rPr>
      </w:pPr>
    </w:p>
    <w:p>
      <w:pPr>
        <w:ind w:right="220" w:firstLine="486"/>
        <w:spacing w:after="0" w:line="329" w:lineRule="auto"/>
        <w:rPr>
          <w:sz w:val="20"/>
          <w:szCs w:val="20"/>
          <w:color w:val="auto"/>
        </w:rPr>
      </w:pPr>
      <w:r>
        <w:rPr>
          <w:rFonts w:ascii="Arial" w:cs="Arial" w:eastAsia="Arial" w:hAnsi="Arial"/>
          <w:sz w:val="15"/>
          <w:szCs w:val="15"/>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Three-month period ended March 31, 2018 compared to the three-month period ended March 31, 2019</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600" w:type="dxa"/>
            <w:vAlign w:val="bottom"/>
          </w:tcPr>
          <w:p>
            <w:pPr>
              <w:spacing w:after="0"/>
              <w:rPr>
                <w:sz w:val="17"/>
                <w:szCs w:val="17"/>
                <w:color w:val="auto"/>
              </w:rPr>
            </w:pPr>
          </w:p>
        </w:tc>
        <w:tc>
          <w:tcPr>
            <w:tcW w:w="3260" w:type="dxa"/>
            <w:vAlign w:val="bottom"/>
            <w:gridSpan w:val="4"/>
          </w:tcPr>
          <w:p>
            <w:pPr>
              <w:jc w:val="right"/>
              <w:ind w:right="1060"/>
              <w:spacing w:after="0"/>
              <w:rPr>
                <w:sz w:val="20"/>
                <w:szCs w:val="20"/>
                <w:color w:val="auto"/>
              </w:rPr>
            </w:pPr>
            <w:r>
              <w:rPr>
                <w:rFonts w:ascii="Arial" w:cs="Arial" w:eastAsia="Arial" w:hAnsi="Arial"/>
                <w:sz w:val="16"/>
                <w:szCs w:val="16"/>
                <w:b w:val="1"/>
                <w:bCs w:val="1"/>
                <w:color w:val="auto"/>
              </w:rPr>
              <w:t>Three months ended</w:t>
            </w: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860" w:type="dxa"/>
            <w:vAlign w:val="bottom"/>
          </w:tcPr>
          <w:p>
            <w:pPr>
              <w:spacing w:after="0"/>
              <w:rPr>
                <w:sz w:val="18"/>
                <w:szCs w:val="18"/>
                <w:color w:val="auto"/>
              </w:rPr>
            </w:pPr>
          </w:p>
        </w:tc>
        <w:tc>
          <w:tcPr>
            <w:tcW w:w="3260" w:type="dxa"/>
            <w:vAlign w:val="bottom"/>
            <w:gridSpan w:val="3"/>
          </w:tcPr>
          <w:p>
            <w:pPr>
              <w:ind w:left="1600"/>
              <w:spacing w:after="0"/>
              <w:rPr>
                <w:sz w:val="20"/>
                <w:szCs w:val="20"/>
                <w:color w:val="auto"/>
              </w:rPr>
            </w:pPr>
            <w:r>
              <w:rPr>
                <w:rFonts w:ascii="Arial" w:cs="Arial" w:eastAsia="Arial" w:hAnsi="Arial"/>
                <w:sz w:val="16"/>
                <w:szCs w:val="16"/>
                <w:b w:val="1"/>
                <w:bCs w:val="1"/>
                <w:color w:val="auto"/>
              </w:rPr>
              <w:t>March 31, 2018</w:t>
            </w:r>
          </w:p>
        </w:tc>
        <w:tc>
          <w:tcPr>
            <w:tcW w:w="16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1"/>
              </w:rPr>
              <w:t>March 31, 2019</w:t>
            </w:r>
          </w:p>
        </w:tc>
        <w:tc>
          <w:tcPr>
            <w:tcW w:w="1420" w:type="dxa"/>
            <w:vAlign w:val="bottom"/>
            <w:gridSpan w:val="2"/>
          </w:tcPr>
          <w:p>
            <w:pPr>
              <w:ind w:left="340"/>
              <w:spacing w:after="0"/>
              <w:rPr>
                <w:sz w:val="20"/>
                <w:szCs w:val="20"/>
                <w:color w:val="auto"/>
              </w:rPr>
            </w:pPr>
            <w:r>
              <w:rPr>
                <w:rFonts w:ascii="Arial" w:cs="Arial" w:eastAsia="Arial" w:hAnsi="Arial"/>
                <w:sz w:val="16"/>
                <w:szCs w:val="16"/>
                <w:b w:val="1"/>
                <w:bCs w:val="1"/>
                <w:color w:val="auto"/>
              </w:rPr>
              <w:t>Change</w:t>
            </w:r>
          </w:p>
        </w:tc>
      </w:tr>
      <w:tr>
        <w:trPr>
          <w:trHeight w:val="202"/>
        </w:trPr>
        <w:tc>
          <w:tcPr>
            <w:tcW w:w="4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6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ind w:left="799"/>
              <w:spacing w:after="0"/>
              <w:rPr>
                <w:sz w:val="20"/>
                <w:szCs w:val="20"/>
                <w:color w:val="auto"/>
              </w:rPr>
            </w:pPr>
            <w:r>
              <w:rPr>
                <w:rFonts w:ascii="Arial" w:cs="Arial" w:eastAsia="Arial" w:hAnsi="Arial"/>
                <w:sz w:val="16"/>
                <w:szCs w:val="16"/>
                <w:color w:val="auto"/>
                <w:w w:val="89"/>
              </w:rPr>
              <w:t>34,441</w:t>
            </w:r>
          </w:p>
        </w:tc>
        <w:tc>
          <w:tcPr>
            <w:tcW w:w="3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31,009</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(3,432)</w:t>
            </w:r>
          </w:p>
        </w:tc>
        <w:tc>
          <w:tcPr>
            <w:tcW w:w="60" w:type="dxa"/>
            <w:vAlign w:val="bottom"/>
          </w:tcPr>
          <w:p>
            <w:pPr>
              <w:spacing w:after="0"/>
              <w:rPr>
                <w:sz w:val="17"/>
                <w:szCs w:val="17"/>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Net cash (used in)/provided by investing activities</w:t>
            </w:r>
          </w:p>
        </w:tc>
        <w:tc>
          <w:tcPr>
            <w:tcW w:w="3260" w:type="dxa"/>
            <w:vAlign w:val="bottom"/>
            <w:gridSpan w:val="3"/>
          </w:tcPr>
          <w:p>
            <w:pPr>
              <w:jc w:val="center"/>
              <w:ind w:left="2059"/>
              <w:spacing w:after="0"/>
              <w:rPr>
                <w:sz w:val="20"/>
                <w:szCs w:val="20"/>
                <w:color w:val="auto"/>
              </w:rPr>
            </w:pPr>
            <w:r>
              <w:rPr>
                <w:rFonts w:ascii="Arial" w:cs="Arial" w:eastAsia="Arial" w:hAnsi="Arial"/>
                <w:sz w:val="16"/>
                <w:szCs w:val="16"/>
                <w:color w:val="auto"/>
                <w:w w:val="93"/>
              </w:rPr>
              <w:t>(12,817)</w:t>
            </w:r>
          </w:p>
        </w:tc>
        <w:tc>
          <w:tcPr>
            <w:tcW w:w="1320" w:type="dxa"/>
            <w:vAlign w:val="bottom"/>
          </w:tcPr>
          <w:p>
            <w:pPr>
              <w:jc w:val="right"/>
              <w:spacing w:after="0"/>
              <w:rPr>
                <w:sz w:val="20"/>
                <w:szCs w:val="20"/>
                <w:color w:val="auto"/>
              </w:rPr>
            </w:pPr>
            <w:r>
              <w:rPr>
                <w:rFonts w:ascii="Arial" w:cs="Arial" w:eastAsia="Arial" w:hAnsi="Arial"/>
                <w:sz w:val="16"/>
                <w:szCs w:val="16"/>
                <w:color w:val="auto"/>
              </w:rPr>
              <w:t>7,339</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20,156</w:t>
            </w:r>
          </w:p>
        </w:tc>
        <w:tc>
          <w:tcPr>
            <w:tcW w:w="60" w:type="dxa"/>
            <w:vAlign w:val="bottom"/>
          </w:tcPr>
          <w:p>
            <w:pPr>
              <w:spacing w:after="0"/>
              <w:rPr>
                <w:sz w:val="17"/>
                <w:szCs w:val="17"/>
                <w:color w:val="auto"/>
              </w:rPr>
            </w:pPr>
          </w:p>
        </w:tc>
      </w:tr>
      <w:tr>
        <w:trPr>
          <w:trHeight w:val="203"/>
        </w:trPr>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Net cash used in financing activities</w:t>
            </w:r>
          </w:p>
        </w:tc>
        <w:tc>
          <w:tcPr>
            <w:tcW w:w="3260" w:type="dxa"/>
            <w:vAlign w:val="bottom"/>
            <w:gridSpan w:val="3"/>
            <w:shd w:val="clear" w:color="auto" w:fill="E5FFFF"/>
          </w:tcPr>
          <w:p>
            <w:pPr>
              <w:jc w:val="center"/>
              <w:ind w:left="2059"/>
              <w:spacing w:after="0"/>
              <w:rPr>
                <w:sz w:val="20"/>
                <w:szCs w:val="20"/>
                <w:color w:val="auto"/>
              </w:rPr>
            </w:pPr>
            <w:r>
              <w:rPr>
                <w:rFonts w:ascii="Arial" w:cs="Arial" w:eastAsia="Arial" w:hAnsi="Arial"/>
                <w:sz w:val="16"/>
                <w:szCs w:val="16"/>
                <w:color w:val="auto"/>
                <w:w w:val="93"/>
              </w:rPr>
              <w:t>(21,929)</w:t>
            </w:r>
          </w:p>
        </w:tc>
        <w:tc>
          <w:tcPr>
            <w:tcW w:w="16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(66,120)</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(44,191)</w:t>
            </w:r>
          </w:p>
        </w:tc>
        <w:tc>
          <w:tcPr>
            <w:tcW w:w="60" w:type="dxa"/>
            <w:vAlign w:val="bottom"/>
          </w:tcPr>
          <w:p>
            <w:pPr>
              <w:spacing w:after="0"/>
              <w:rPr>
                <w:sz w:val="17"/>
                <w:szCs w:val="17"/>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35" w:lineRule="exact"/>
        <w:rPr>
          <w:sz w:val="20"/>
          <w:szCs w:val="20"/>
          <w:color w:val="auto"/>
        </w:rPr>
      </w:pPr>
    </w:p>
    <w:p>
      <w:pPr>
        <w:ind w:right="180" w:firstLine="428"/>
        <w:spacing w:after="0" w:line="273" w:lineRule="auto"/>
        <w:rPr>
          <w:sz w:val="20"/>
          <w:szCs w:val="20"/>
          <w:color w:val="auto"/>
        </w:rPr>
      </w:pPr>
      <w:r>
        <w:rPr>
          <w:rFonts w:ascii="Arial" w:cs="Arial" w:eastAsia="Arial" w:hAnsi="Arial"/>
          <w:sz w:val="16"/>
          <w:szCs w:val="16"/>
          <w:color w:val="auto"/>
        </w:rPr>
        <w:t>Net cash provided by operating activities decreased by $3.4 million, from $34.4 million in the three-month period ended March 31, 2018 to $31.0 million in the three-month period ended March 31, 2019. The decrease of $3.4 million is attributable to a decrease of $5.4 million in revenues and an increase of $3.1 million in cash paid for interest, partially offset by a $2.9 million movement in working capital accounts, a decrease of $1.4 million in vessel operating costs, voyage expenses and commissions and general and administrative expenses, and a decrease of $0.8 million in realized loss on derivatives held for trading.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Net Cash (used in)/provided by Investing Activities:</w:t>
      </w:r>
    </w:p>
    <w:p>
      <w:pPr>
        <w:spacing w:after="0" w:line="235" w:lineRule="exact"/>
        <w:rPr>
          <w:sz w:val="20"/>
          <w:szCs w:val="20"/>
          <w:color w:val="auto"/>
        </w:rPr>
      </w:pPr>
    </w:p>
    <w:p>
      <w:pPr>
        <w:ind w:right="220" w:firstLine="428"/>
        <w:spacing w:after="0" w:line="305" w:lineRule="auto"/>
        <w:rPr>
          <w:sz w:val="20"/>
          <w:szCs w:val="20"/>
          <w:color w:val="auto"/>
        </w:rPr>
      </w:pPr>
      <w:r>
        <w:rPr>
          <w:rFonts w:ascii="Arial" w:cs="Arial" w:eastAsia="Arial" w:hAnsi="Arial"/>
          <w:sz w:val="15"/>
          <w:szCs w:val="15"/>
          <w:color w:val="auto"/>
        </w:rPr>
        <w:t>Net cash used in investing activities decreased by $20.1 million, from net cash used in investing activities of $12.8 million in the three-month period ended March 31, 2018 to net cash provided by investing activities of $7.3 million in the three-month period ended March 31, 2019. The decrease of $20.1 million is mainly attributable to a decrease of net cash used in payments for vessels of $10.1 million and a decrease in net cash used in short-term investments of $10.0 million.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35" w:lineRule="exact"/>
        <w:rPr>
          <w:sz w:val="20"/>
          <w:szCs w:val="20"/>
          <w:color w:val="auto"/>
        </w:rPr>
      </w:pPr>
    </w:p>
    <w:p>
      <w:pPr>
        <w:ind w:right="220" w:firstLine="428"/>
        <w:spacing w:after="0" w:line="297" w:lineRule="auto"/>
        <w:rPr>
          <w:sz w:val="20"/>
          <w:szCs w:val="20"/>
          <w:color w:val="auto"/>
        </w:rPr>
      </w:pPr>
      <w:r>
        <w:rPr>
          <w:rFonts w:ascii="Arial" w:cs="Arial" w:eastAsia="Arial" w:hAnsi="Arial"/>
          <w:sz w:val="15"/>
          <w:szCs w:val="15"/>
          <w:color w:val="auto"/>
        </w:rPr>
        <w:t>Net cash used in financing activities increased by $44.2 million, from net cash used in financing activities of $21.9 million in the three-month period ended March 31, 2018 to net cash used in financing activities of $66.1 million in the three-month period ended March 31, 2019. The increase of $44.2 million is mainly attributable to an increase of $279.6 million in bank loan repayments, a decrease in net public offering proceeds of $111.9 million, an increase of $7.8 million in distributions paid and an increase of $4.8 million in payments of loan issuance costs, partially offset by an increase in bank loan drawdowns of $360.0 million.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Contracted Charter Revenue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after March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After</w:t>
            </w: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3880" w:type="dxa"/>
            <w:vAlign w:val="bottom"/>
          </w:tcPr>
          <w:p>
            <w:pPr>
              <w:spacing w:after="0"/>
              <w:rPr>
                <w:sz w:val="18"/>
                <w:szCs w:val="18"/>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March 31,</w:t>
            </w:r>
          </w:p>
        </w:tc>
        <w:tc>
          <w:tcPr>
            <w:tcW w:w="10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6"/>
                <w:szCs w:val="16"/>
                <w:b w:val="1"/>
                <w:bCs w:val="1"/>
                <w:color w:val="auto"/>
                <w:w w:val="90"/>
              </w:rPr>
              <w:t>For the years ending December 31,</w:t>
            </w:r>
          </w:p>
        </w:tc>
        <w:tc>
          <w:tcPr>
            <w:tcW w:w="1000" w:type="dxa"/>
            <w:vAlign w:val="bottom"/>
            <w:tcBorders>
              <w:bottom w:val="single" w:sz="8" w:color="auto"/>
            </w:tcBorders>
          </w:tcPr>
          <w:p>
            <w:pPr>
              <w:spacing w:after="0"/>
              <w:rPr>
                <w:sz w:val="18"/>
                <w:szCs w:val="18"/>
                <w:color w:val="auto"/>
              </w:rPr>
            </w:pPr>
          </w:p>
        </w:tc>
      </w:tr>
      <w:tr>
        <w:trPr>
          <w:trHeight w:val="202"/>
        </w:trPr>
        <w:tc>
          <w:tcPr>
            <w:tcW w:w="3880" w:type="dxa"/>
            <w:vAlign w:val="bottom"/>
          </w:tcPr>
          <w:p>
            <w:pPr>
              <w:spacing w:after="0"/>
              <w:rPr>
                <w:sz w:val="17"/>
                <w:szCs w:val="17"/>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2019</w:t>
            </w: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2024-2026</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Total</w:t>
            </w:r>
          </w:p>
        </w:tc>
      </w:tr>
      <w:tr>
        <w:trPr>
          <w:trHeight w:val="200"/>
        </w:trPr>
        <w:tc>
          <w:tcPr>
            <w:tcW w:w="3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360" w:type="dxa"/>
            <w:vAlign w:val="bottom"/>
            <w:gridSpan w:val="5"/>
          </w:tcPr>
          <w:p>
            <w:pPr>
              <w:jc w:val="right"/>
              <w:ind w:right="899"/>
              <w:spacing w:after="0"/>
              <w:rPr>
                <w:sz w:val="20"/>
                <w:szCs w:val="20"/>
                <w:color w:val="auto"/>
              </w:rPr>
            </w:pPr>
            <w:r>
              <w:rPr>
                <w:rFonts w:ascii="Arial" w:cs="Arial" w:eastAsia="Arial" w:hAnsi="Arial"/>
                <w:sz w:val="16"/>
                <w:szCs w:val="16"/>
                <w:b w:val="1"/>
                <w:bCs w:val="1"/>
                <w:i w:val="1"/>
                <w:iCs w:val="1"/>
                <w:color w:val="auto"/>
              </w:rPr>
              <w:t>(in millions of U.S. dollars, except days and percentages)</w:t>
            </w:r>
          </w:p>
        </w:tc>
        <w:tc>
          <w:tcPr>
            <w:tcW w:w="1000" w:type="dxa"/>
            <w:vAlign w:val="bottom"/>
          </w:tcPr>
          <w:p>
            <w:pPr>
              <w:spacing w:after="0"/>
              <w:rPr>
                <w:sz w:val="17"/>
                <w:szCs w:val="17"/>
                <w:color w:val="auto"/>
              </w:rPr>
            </w:pPr>
          </w:p>
        </w:tc>
      </w:tr>
      <w:tr>
        <w:trPr>
          <w:trHeight w:val="212"/>
        </w:trPr>
        <w:tc>
          <w:tcPr>
            <w:tcW w:w="3880" w:type="dxa"/>
            <w:vAlign w:val="bottom"/>
            <w:shd w:val="clear" w:color="auto" w:fill="E5FFFF"/>
          </w:tcPr>
          <w:p>
            <w:pPr>
              <w:spacing w:after="0" w:line="212"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(1)(2)(3)(4)</w:t>
            </w:r>
          </w:p>
        </w:tc>
        <w:tc>
          <w:tcPr>
            <w:tcW w:w="118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245.2</w:t>
            </w:r>
          </w:p>
        </w:tc>
        <w:tc>
          <w:tcPr>
            <w:tcW w:w="106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252.5</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157.9</w:t>
            </w:r>
          </w:p>
        </w:tc>
        <w:tc>
          <w:tcPr>
            <w:tcW w:w="114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120.6</w:t>
            </w:r>
          </w:p>
        </w:tc>
        <w:tc>
          <w:tcPr>
            <w:tcW w:w="9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108.2</w:t>
            </w:r>
          </w:p>
        </w:tc>
        <w:tc>
          <w:tcPr>
            <w:tcW w:w="1440" w:type="dxa"/>
            <w:vAlign w:val="bottom"/>
            <w:shd w:val="clear" w:color="auto" w:fill="E5FFFF"/>
          </w:tcPr>
          <w:p>
            <w:pPr>
              <w:jc w:val="right"/>
              <w:ind w:right="279"/>
              <w:spacing w:after="0"/>
              <w:rPr>
                <w:sz w:val="20"/>
                <w:szCs w:val="20"/>
                <w:color w:val="auto"/>
              </w:rPr>
            </w:pPr>
            <w:r>
              <w:rPr>
                <w:rFonts w:ascii="Arial" w:cs="Arial" w:eastAsia="Arial" w:hAnsi="Arial"/>
                <w:sz w:val="16"/>
                <w:szCs w:val="16"/>
                <w:color w:val="auto"/>
              </w:rPr>
              <w:t>75.4</w:t>
            </w:r>
          </w:p>
        </w:tc>
        <w:tc>
          <w:tcPr>
            <w:tcW w:w="10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959.8</w:t>
            </w:r>
          </w:p>
        </w:tc>
      </w:tr>
      <w:tr>
        <w:trPr>
          <w:trHeight w:val="203"/>
        </w:trPr>
        <w:tc>
          <w:tcPr>
            <w:tcW w:w="388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(1)(2)</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3,453</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3,597</w:t>
            </w:r>
          </w:p>
        </w:tc>
        <w:tc>
          <w:tcPr>
            <w:tcW w:w="800" w:type="dxa"/>
            <w:vAlign w:val="bottom"/>
          </w:tcPr>
          <w:p>
            <w:pPr>
              <w:jc w:val="right"/>
              <w:spacing w:after="0"/>
              <w:rPr>
                <w:sz w:val="20"/>
                <w:szCs w:val="20"/>
                <w:color w:val="auto"/>
              </w:rPr>
            </w:pPr>
            <w:r>
              <w:rPr>
                <w:rFonts w:ascii="Arial" w:cs="Arial" w:eastAsia="Arial" w:hAnsi="Arial"/>
                <w:sz w:val="16"/>
                <w:szCs w:val="16"/>
                <w:color w:val="auto"/>
              </w:rPr>
              <w:t>2,072</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1,460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1,307</w:t>
            </w:r>
          </w:p>
        </w:tc>
        <w:tc>
          <w:tcPr>
            <w:tcW w:w="1440" w:type="dxa"/>
            <w:vAlign w:val="bottom"/>
          </w:tcPr>
          <w:p>
            <w:pPr>
              <w:jc w:val="right"/>
              <w:ind w:right="279"/>
              <w:spacing w:after="0"/>
              <w:rPr>
                <w:sz w:val="20"/>
                <w:szCs w:val="20"/>
                <w:color w:val="auto"/>
              </w:rPr>
            </w:pPr>
            <w:r>
              <w:rPr>
                <w:rFonts w:ascii="Arial" w:cs="Arial" w:eastAsia="Arial" w:hAnsi="Arial"/>
                <w:sz w:val="16"/>
                <w:szCs w:val="16"/>
                <w:color w:val="auto"/>
              </w:rPr>
              <w:t>881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12,770</w:t>
            </w:r>
          </w:p>
        </w:tc>
      </w:tr>
      <w:tr>
        <w:trPr>
          <w:trHeight w:val="203"/>
        </w:trPr>
        <w:tc>
          <w:tcPr>
            <w:tcW w:w="38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(5)</w:t>
            </w:r>
          </w:p>
        </w:tc>
        <w:tc>
          <w:tcPr>
            <w:tcW w:w="118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3,820</w:t>
            </w:r>
          </w:p>
        </w:tc>
        <w:tc>
          <w:tcPr>
            <w:tcW w:w="106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5,004</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4,960</w:t>
            </w:r>
          </w:p>
        </w:tc>
        <w:tc>
          <w:tcPr>
            <w:tcW w:w="114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5,110</w:t>
            </w:r>
          </w:p>
        </w:tc>
        <w:tc>
          <w:tcPr>
            <w:tcW w:w="9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4,990</w:t>
            </w:r>
          </w:p>
        </w:tc>
        <w:tc>
          <w:tcPr>
            <w:tcW w:w="1440" w:type="dxa"/>
            <w:vAlign w:val="bottom"/>
            <w:shd w:val="clear" w:color="auto" w:fill="E5FFFF"/>
          </w:tcPr>
          <w:p>
            <w:pPr>
              <w:jc w:val="right"/>
              <w:ind w:right="279"/>
              <w:spacing w:after="0"/>
              <w:rPr>
                <w:sz w:val="20"/>
                <w:szCs w:val="20"/>
                <w:color w:val="auto"/>
              </w:rPr>
            </w:pPr>
            <w:r>
              <w:rPr>
                <w:rFonts w:ascii="Arial" w:cs="Arial" w:eastAsia="Arial" w:hAnsi="Arial"/>
                <w:sz w:val="16"/>
                <w:szCs w:val="16"/>
                <w:color w:val="auto"/>
              </w:rPr>
              <w:t>15,044</w:t>
            </w:r>
          </w:p>
        </w:tc>
        <w:tc>
          <w:tcPr>
            <w:tcW w:w="10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38,928</w:t>
            </w:r>
          </w:p>
        </w:tc>
      </w:tr>
      <w:tr>
        <w:trPr>
          <w:trHeight w:val="203"/>
        </w:trPr>
        <w:tc>
          <w:tcPr>
            <w:tcW w:w="388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(6)</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1,407</w:t>
            </w:r>
          </w:p>
        </w:tc>
        <w:tc>
          <w:tcPr>
            <w:tcW w:w="800" w:type="dxa"/>
            <w:vAlign w:val="bottom"/>
          </w:tcPr>
          <w:p>
            <w:pPr>
              <w:jc w:val="right"/>
              <w:spacing w:after="0"/>
              <w:rPr>
                <w:sz w:val="20"/>
                <w:szCs w:val="20"/>
                <w:color w:val="auto"/>
              </w:rPr>
            </w:pPr>
            <w:r>
              <w:rPr>
                <w:rFonts w:ascii="Arial" w:cs="Arial" w:eastAsia="Arial" w:hAnsi="Arial"/>
                <w:sz w:val="16"/>
                <w:szCs w:val="16"/>
                <w:color w:val="auto"/>
              </w:rPr>
              <w:t>2,888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3,650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3,683</w:t>
            </w:r>
          </w:p>
        </w:tc>
        <w:tc>
          <w:tcPr>
            <w:tcW w:w="1440" w:type="dxa"/>
            <w:vAlign w:val="bottom"/>
          </w:tcPr>
          <w:p>
            <w:pPr>
              <w:jc w:val="right"/>
              <w:ind w:right="279"/>
              <w:spacing w:after="0"/>
              <w:rPr>
                <w:sz w:val="20"/>
                <w:szCs w:val="20"/>
                <w:color w:val="auto"/>
              </w:rPr>
            </w:pPr>
            <w:r>
              <w:rPr>
                <w:rFonts w:ascii="Arial" w:cs="Arial" w:eastAsia="Arial" w:hAnsi="Arial"/>
                <w:sz w:val="16"/>
                <w:szCs w:val="16"/>
                <w:color w:val="auto"/>
              </w:rPr>
              <w:t>14,163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26,158</w:t>
            </w:r>
          </w:p>
        </w:tc>
      </w:tr>
      <w:tr>
        <w:trPr>
          <w:trHeight w:val="203"/>
        </w:trPr>
        <w:tc>
          <w:tcPr>
            <w:tcW w:w="3880" w:type="dxa"/>
            <w:vAlign w:val="bottom"/>
            <w:shd w:val="clear" w:color="auto" w:fill="E5FFFF"/>
          </w:tcPr>
          <w:p>
            <w:pPr>
              <w:spacing w:after="0"/>
              <w:rPr>
                <w:sz w:val="20"/>
                <w:szCs w:val="20"/>
                <w:color w:val="auto"/>
              </w:rPr>
            </w:pPr>
            <w:r>
              <w:rPr>
                <w:rFonts w:ascii="Arial" w:cs="Arial" w:eastAsia="Arial" w:hAnsi="Arial"/>
                <w:sz w:val="16"/>
                <w:szCs w:val="16"/>
                <w:color w:val="auto"/>
                <w:w w:val="98"/>
              </w:rPr>
              <w:t>Percentage of total contracted days/total available days</w:t>
            </w:r>
          </w:p>
        </w:tc>
        <w:tc>
          <w:tcPr>
            <w:tcW w:w="118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90.4%</w:t>
            </w:r>
          </w:p>
        </w:tc>
        <w:tc>
          <w:tcPr>
            <w:tcW w:w="106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71.9%</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41.8%</w:t>
            </w:r>
          </w:p>
        </w:tc>
        <w:tc>
          <w:tcPr>
            <w:tcW w:w="114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28.6%</w:t>
            </w:r>
          </w:p>
        </w:tc>
        <w:tc>
          <w:tcPr>
            <w:tcW w:w="9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26.2%</w:t>
            </w:r>
          </w:p>
        </w:tc>
        <w:tc>
          <w:tcPr>
            <w:tcW w:w="1440" w:type="dxa"/>
            <w:vAlign w:val="bottom"/>
            <w:shd w:val="clear" w:color="auto" w:fill="E5FFFF"/>
          </w:tcPr>
          <w:p>
            <w:pPr>
              <w:jc w:val="right"/>
              <w:ind w:right="279"/>
              <w:spacing w:after="0"/>
              <w:rPr>
                <w:sz w:val="20"/>
                <w:szCs w:val="20"/>
                <w:color w:val="auto"/>
              </w:rPr>
            </w:pPr>
            <w:r>
              <w:rPr>
                <w:rFonts w:ascii="Arial" w:cs="Arial" w:eastAsia="Arial" w:hAnsi="Arial"/>
                <w:sz w:val="16"/>
                <w:szCs w:val="16"/>
                <w:color w:val="auto"/>
              </w:rPr>
              <w:t>5.9%</w:t>
            </w:r>
          </w:p>
        </w:tc>
        <w:tc>
          <w:tcPr>
            <w:tcW w:w="10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0" w:right="40" w:hanging="192"/>
        <w:spacing w:after="0" w:line="217" w:lineRule="auto"/>
        <w:tabs>
          <w:tab w:leader="none" w:pos="191"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 xml:space="preserve">Reflects time charter revenues and contracted days for the 14 LNG carriers in our fleet as of March 31, 2019. Does not include charter revenues for the </w:t>
      </w:r>
      <w:r>
        <w:rPr>
          <w:rFonts w:ascii="Arial" w:cs="Arial" w:eastAsia="Arial" w:hAnsi="Arial"/>
          <w:sz w:val="14"/>
          <w:szCs w:val="14"/>
          <w:i w:val="1"/>
          <w:iCs w:val="1"/>
          <w:color w:val="auto"/>
        </w:rPr>
        <w:t>GasLog Glasgow</w:t>
      </w:r>
      <w:r>
        <w:rPr>
          <w:rFonts w:ascii="Arial" w:cs="Arial" w:eastAsia="Arial" w:hAnsi="Arial"/>
          <w:sz w:val="14"/>
          <w:szCs w:val="14"/>
          <w:color w:val="auto"/>
        </w:rPr>
        <w:t>, the acquisition of which was completed on April 1, 2019. This acquisition is expected to increase the percentages of our contracted days to our available days for the remainder of 2019, for 2020, 2021, 2022, 2023 and 2024-2026 to 91%, 74%, 46%, 36%, 33% and 12%, respectively.</w:t>
      </w:r>
    </w:p>
    <w:p>
      <w:pPr>
        <w:spacing w:after="0" w:line="183" w:lineRule="exact"/>
        <w:rPr>
          <w:rFonts w:ascii="Arial" w:cs="Arial" w:eastAsia="Arial" w:hAnsi="Arial"/>
          <w:sz w:val="18"/>
          <w:szCs w:val="18"/>
          <w:color w:val="auto"/>
          <w:vertAlign w:val="superscript"/>
        </w:rPr>
      </w:pPr>
    </w:p>
    <w:p>
      <w:pPr>
        <w:ind w:left="200" w:right="420" w:hanging="192"/>
        <w:spacing w:after="0" w:line="215" w:lineRule="auto"/>
        <w:tabs>
          <w:tab w:leader="none" w:pos="191"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spacing w:after="0" w:line="183" w:lineRule="exact"/>
        <w:rPr>
          <w:rFonts w:ascii="Arial" w:cs="Arial" w:eastAsia="Arial" w:hAnsi="Arial"/>
          <w:sz w:val="18"/>
          <w:szCs w:val="18"/>
          <w:color w:val="auto"/>
          <w:vertAlign w:val="superscript"/>
        </w:rPr>
      </w:pPr>
    </w:p>
    <w:p>
      <w:pPr>
        <w:ind w:left="200" w:right="300" w:hanging="192"/>
        <w:spacing w:after="0" w:line="215" w:lineRule="auto"/>
        <w:tabs>
          <w:tab w:leader="none" w:pos="191"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For time charters that include a fixed operating cost component, subject to annual escalation, revenue calculations include that fixed annual escalation. Revenue calculations for such charters include an estimate of the amount of the operating cost component and the management fee component.</w:t>
      </w:r>
    </w:p>
    <w:p>
      <w:pPr>
        <w:spacing w:after="0" w:line="158"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Revenue calculations assume no exercise of any option to extend the terms of the charters.</w:t>
      </w:r>
    </w:p>
    <w:p>
      <w:pPr>
        <w:spacing w:after="0" w:line="15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157" w:lineRule="exact"/>
        <w:rPr>
          <w:rFonts w:ascii="Arial" w:cs="Arial" w:eastAsia="Arial" w:hAnsi="Arial"/>
          <w:sz w:val="18"/>
          <w:szCs w:val="18"/>
          <w:color w:val="auto"/>
          <w:vertAlign w:val="superscript"/>
        </w:rPr>
      </w:pPr>
    </w:p>
    <w:p>
      <w:pPr>
        <w:ind w:left="200" w:hanging="192"/>
        <w:spacing w:after="0"/>
        <w:tabs>
          <w:tab w:leader="none" w:pos="2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191" w:lineRule="exact"/>
        <w:rPr>
          <w:sz w:val="20"/>
          <w:szCs w:val="20"/>
          <w:color w:val="auto"/>
        </w:rPr>
      </w:pPr>
    </w:p>
    <w:p>
      <w:pPr>
        <w:ind w:right="20" w:firstLine="324"/>
        <w:spacing w:after="0" w:line="285" w:lineRule="auto"/>
        <w:rPr>
          <w:sz w:val="20"/>
          <w:szCs w:val="20"/>
          <w:color w:val="auto"/>
        </w:rPr>
      </w:pPr>
      <w:r>
        <w:rPr>
          <w:rFonts w:ascii="Arial" w:cs="Arial" w:eastAsia="Arial" w:hAnsi="Arial"/>
          <w:sz w:val="15"/>
          <w:szCs w:val="15"/>
          <w:color w:val="auto"/>
        </w:rPr>
        <w:t>The table above provides information about our contracted charter revenues and ship utilization based on contracts in effect for the 14 LNG carriers in our fleet as of March 31, 2019.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any revenues from the vessel that is operating in the Cool Pool, any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26, 2019.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6"/>
                <w:szCs w:val="16"/>
                <w:b w:val="1"/>
                <w:bCs w:val="1"/>
                <w:color w:val="auto"/>
              </w:rPr>
              <w:t>GASLOG PARTNERS LP</w:t>
            </w:r>
          </w:p>
        </w:tc>
        <w:tc>
          <w:tcPr>
            <w:tcW w:w="900" w:type="dxa"/>
            <w:vAlign w:val="bottom"/>
          </w:tcPr>
          <w:p>
            <w:pPr>
              <w:spacing w:after="0"/>
              <w:rPr>
                <w:sz w:val="18"/>
                <w:szCs w:val="18"/>
                <w:color w:val="auto"/>
              </w:rPr>
            </w:pPr>
          </w:p>
        </w:tc>
      </w:tr>
      <w:tr>
        <w:trPr>
          <w:trHeight w:val="419"/>
        </w:trPr>
        <w:tc>
          <w:tcPr>
            <w:tcW w:w="10240" w:type="dxa"/>
            <w:vAlign w:val="bottom"/>
            <w:gridSpan w:val="6"/>
          </w:tcPr>
          <w:p>
            <w:pPr>
              <w:ind w:left="3420"/>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900" w:type="dxa"/>
            <w:vAlign w:val="bottom"/>
          </w:tcPr>
          <w:p>
            <w:pPr>
              <w:spacing w:after="0"/>
              <w:rPr>
                <w:sz w:val="24"/>
                <w:szCs w:val="24"/>
                <w:color w:val="auto"/>
              </w:rPr>
            </w:pPr>
          </w:p>
        </w:tc>
      </w:tr>
      <w:tr>
        <w:trPr>
          <w:trHeight w:val="419"/>
        </w:trPr>
        <w:tc>
          <w:tcPr>
            <w:tcW w:w="4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6"/>
                <w:szCs w:val="16"/>
                <w:b w:val="1"/>
                <w:bCs w:val="1"/>
                <w:color w:val="auto"/>
                <w:w w:val="99"/>
              </w:rPr>
              <w:t>Page</w:t>
            </w:r>
          </w:p>
        </w:tc>
      </w:tr>
      <w:tr>
        <w:trPr>
          <w:trHeight w:val="182"/>
        </w:trPr>
        <w:tc>
          <w:tcPr>
            <w:tcW w:w="10240" w:type="dxa"/>
            <w:vAlign w:val="bottom"/>
            <w:gridSpan w:val="6"/>
          </w:tcPr>
          <w:p>
            <w:pPr>
              <w:spacing w:after="0" w:line="181" w:lineRule="exact"/>
              <w:rPr>
                <w:sz w:val="20"/>
                <w:szCs w:val="20"/>
                <w:color w:val="auto"/>
              </w:rPr>
            </w:pPr>
            <w:r>
              <w:rPr>
                <w:rFonts w:ascii="Arial" w:cs="Arial" w:eastAsia="Arial" w:hAnsi="Arial"/>
                <w:sz w:val="16"/>
                <w:szCs w:val="16"/>
                <w:color w:val="0000FF"/>
              </w:rPr>
              <w:t>Unaudited condensed consolidated statements of financial position as of December 31, 2018 and March 31, 2019</w:t>
            </w:r>
          </w:p>
        </w:tc>
        <w:tc>
          <w:tcPr>
            <w:tcW w:w="900" w:type="dxa"/>
            <w:vAlign w:val="bottom"/>
          </w:tcPr>
          <w:p>
            <w:pPr>
              <w:ind w:left="680"/>
              <w:spacing w:after="0" w:line="181" w:lineRule="exact"/>
              <w:rPr>
                <w:sz w:val="20"/>
                <w:szCs w:val="20"/>
                <w:color w:val="auto"/>
              </w:rPr>
            </w:pPr>
            <w:r>
              <w:rPr>
                <w:rFonts w:ascii="Arial" w:cs="Arial" w:eastAsia="Arial" w:hAnsi="Arial"/>
                <w:sz w:val="16"/>
                <w:szCs w:val="16"/>
                <w:color w:val="auto"/>
                <w:w w:val="83"/>
              </w:rPr>
              <w:t>F-2</w:t>
            </w:r>
          </w:p>
        </w:tc>
      </w:tr>
      <w:tr>
        <w:trPr>
          <w:trHeight w:val="20"/>
        </w:trPr>
        <w:tc>
          <w:tcPr>
            <w:tcW w:w="438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40" w:type="dxa"/>
            <w:vAlign w:val="bottom"/>
            <w:gridSpan w:val="6"/>
          </w:tcPr>
          <w:p>
            <w:pPr>
              <w:spacing w:after="0"/>
              <w:rPr>
                <w:sz w:val="20"/>
                <w:szCs w:val="20"/>
                <w:color w:val="auto"/>
              </w:rPr>
            </w:pPr>
            <w:r>
              <w:rPr>
                <w:rFonts w:ascii="Arial" w:cs="Arial" w:eastAsia="Arial" w:hAnsi="Arial"/>
                <w:sz w:val="16"/>
                <w:szCs w:val="16"/>
                <w:color w:val="0000FF"/>
                <w:w w:val="96"/>
              </w:rPr>
              <w:t>Unaudited condensed consolidated statements of profit or loss and total comprehensive income for the three months ended March 31, 2018 and 2019</w:t>
            </w:r>
          </w:p>
        </w:tc>
        <w:tc>
          <w:tcPr>
            <w:tcW w:w="900" w:type="dxa"/>
            <w:vAlign w:val="bottom"/>
          </w:tcPr>
          <w:p>
            <w:pPr>
              <w:ind w:left="680"/>
              <w:spacing w:after="0"/>
              <w:rPr>
                <w:sz w:val="20"/>
                <w:szCs w:val="20"/>
                <w:color w:val="auto"/>
              </w:rPr>
            </w:pPr>
            <w:r>
              <w:rPr>
                <w:rFonts w:ascii="Arial" w:cs="Arial" w:eastAsia="Arial" w:hAnsi="Arial"/>
                <w:sz w:val="16"/>
                <w:szCs w:val="16"/>
                <w:color w:val="auto"/>
                <w:w w:val="83"/>
              </w:rPr>
              <w:t>F-3</w:t>
            </w:r>
          </w:p>
        </w:tc>
      </w:tr>
      <w:tr>
        <w:trPr>
          <w:trHeight w:val="250"/>
        </w:trPr>
        <w:tc>
          <w:tcPr>
            <w:tcW w:w="90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0"/>
              </w:rPr>
              <w:t>Unaudited condensed consolidated statements of changes in owners’/partners’ equity for the three months ended March 31, 2018 and 2019</w:t>
            </w:r>
          </w:p>
        </w:tc>
        <w:tc>
          <w:tcPr>
            <w:tcW w:w="640" w:type="dxa"/>
            <w:vAlign w:val="bottom"/>
            <w:tcBorders>
              <w:top w:val="single" w:sz="8" w:color="0000FF"/>
            </w:tcBorders>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ind w:left="680"/>
              <w:spacing w:after="0"/>
              <w:rPr>
                <w:sz w:val="20"/>
                <w:szCs w:val="20"/>
                <w:color w:val="auto"/>
              </w:rPr>
            </w:pPr>
            <w:r>
              <w:rPr>
                <w:rFonts w:ascii="Arial" w:cs="Arial" w:eastAsia="Arial" w:hAnsi="Arial"/>
                <w:sz w:val="16"/>
                <w:szCs w:val="16"/>
                <w:color w:val="auto"/>
                <w:w w:val="83"/>
              </w:rPr>
              <w:t>F-4</w:t>
            </w:r>
          </w:p>
        </w:tc>
      </w:tr>
      <w:tr>
        <w:trPr>
          <w:trHeight w:val="250"/>
        </w:trPr>
        <w:tc>
          <w:tcPr>
            <w:tcW w:w="10240" w:type="dxa"/>
            <w:vAlign w:val="bottom"/>
            <w:gridSpan w:val="6"/>
          </w:tcPr>
          <w:p>
            <w:pPr>
              <w:spacing w:after="0"/>
              <w:rPr>
                <w:sz w:val="20"/>
                <w:szCs w:val="20"/>
                <w:color w:val="auto"/>
              </w:rPr>
            </w:pPr>
            <w:r>
              <w:rPr>
                <w:rFonts w:ascii="Arial" w:cs="Arial" w:eastAsia="Arial" w:hAnsi="Arial"/>
                <w:sz w:val="16"/>
                <w:szCs w:val="16"/>
                <w:color w:val="0000FF"/>
              </w:rPr>
              <w:t>Unaudited condensed consolidated statements of cash flows for the three months ended March 31, 2018 and 2019</w:t>
            </w:r>
          </w:p>
        </w:tc>
        <w:tc>
          <w:tcPr>
            <w:tcW w:w="900" w:type="dxa"/>
            <w:vAlign w:val="bottom"/>
          </w:tcPr>
          <w:p>
            <w:pPr>
              <w:ind w:left="680"/>
              <w:spacing w:after="0"/>
              <w:rPr>
                <w:sz w:val="20"/>
                <w:szCs w:val="20"/>
                <w:color w:val="auto"/>
              </w:rPr>
            </w:pPr>
            <w:r>
              <w:rPr>
                <w:rFonts w:ascii="Arial" w:cs="Arial" w:eastAsia="Arial" w:hAnsi="Arial"/>
                <w:sz w:val="16"/>
                <w:szCs w:val="16"/>
                <w:color w:val="auto"/>
                <w:w w:val="83"/>
              </w:rPr>
              <w:t>F-5</w:t>
            </w:r>
          </w:p>
        </w:tc>
      </w:tr>
      <w:tr>
        <w:trPr>
          <w:trHeight w:val="250"/>
        </w:trPr>
        <w:tc>
          <w:tcPr>
            <w:tcW w:w="738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Notes to the unaudited condensed consolidated financial statements</w:t>
            </w:r>
          </w:p>
        </w:tc>
        <w:tc>
          <w:tcPr>
            <w:tcW w:w="2860" w:type="dxa"/>
            <w:vAlign w:val="bottom"/>
            <w:gridSpan w:val="3"/>
          </w:tcPr>
          <w:p>
            <w:pPr>
              <w:spacing w:after="0"/>
              <w:rPr>
                <w:sz w:val="21"/>
                <w:szCs w:val="21"/>
                <w:color w:val="auto"/>
              </w:rPr>
            </w:pPr>
          </w:p>
        </w:tc>
        <w:tc>
          <w:tcPr>
            <w:tcW w:w="900" w:type="dxa"/>
            <w:vAlign w:val="bottom"/>
          </w:tcPr>
          <w:p>
            <w:pPr>
              <w:ind w:left="680"/>
              <w:spacing w:after="0"/>
              <w:rPr>
                <w:sz w:val="20"/>
                <w:szCs w:val="20"/>
                <w:color w:val="auto"/>
              </w:rPr>
            </w:pPr>
            <w:r>
              <w:rPr>
                <w:rFonts w:ascii="Arial" w:cs="Arial" w:eastAsia="Arial" w:hAnsi="Arial"/>
                <w:sz w:val="16"/>
                <w:szCs w:val="16"/>
                <w:color w:val="auto"/>
                <w:w w:val="83"/>
              </w:rPr>
              <w:t>F-6</w:t>
            </w:r>
          </w:p>
        </w:tc>
      </w:tr>
      <w:tr>
        <w:trPr>
          <w:trHeight w:val="20"/>
        </w:trPr>
        <w:tc>
          <w:tcPr>
            <w:tcW w:w="438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342" w:right="5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70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b w:val="1"/>
                <w:bCs w:val="1"/>
                <w:color w:val="auto"/>
              </w:rPr>
              <w:t>As of December 31, 2018 and March 31, 2019</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6"/>
                <w:szCs w:val="16"/>
                <w:b w:val="1"/>
                <w:bCs w:val="1"/>
                <w:color w:val="auto"/>
              </w:rPr>
              <w:t>Note</w:t>
            </w: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9"/>
        </w:trPr>
        <w:tc>
          <w:tcPr>
            <w:tcW w:w="7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44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4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850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5,116</w:t>
            </w:r>
          </w:p>
        </w:tc>
        <w:tc>
          <w:tcPr>
            <w:tcW w:w="1380" w:type="dxa"/>
            <w:vAlign w:val="bottom"/>
          </w:tcPr>
          <w:p>
            <w:pPr>
              <w:jc w:val="right"/>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Vessels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2,315,823</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2,292,183</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Right-of-use assets</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196"/>
        </w:trPr>
        <w:tc>
          <w:tcPr>
            <w:tcW w:w="7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4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2,321,789</w:t>
            </w:r>
          </w:p>
        </w:tc>
        <w:tc>
          <w:tcPr>
            <w:tcW w:w="1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2,296,305</w:t>
            </w:r>
          </w:p>
        </w:tc>
        <w:tc>
          <w:tcPr>
            <w:tcW w:w="0" w:type="dxa"/>
            <w:vAlign w:val="bottom"/>
          </w:tcPr>
          <w:p>
            <w:pPr>
              <w:spacing w:after="0"/>
              <w:rPr>
                <w:sz w:val="1"/>
                <w:szCs w:val="1"/>
                <w:color w:val="auto"/>
              </w:rPr>
            </w:pPr>
          </w:p>
        </w:tc>
      </w:tr>
      <w:tr>
        <w:trPr>
          <w:trHeight w:val="183"/>
        </w:trPr>
        <w:tc>
          <w:tcPr>
            <w:tcW w:w="770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13,484</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8,325</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3,169</w:t>
            </w:r>
          </w:p>
        </w:tc>
        <w:tc>
          <w:tcPr>
            <w:tcW w:w="1380" w:type="dxa"/>
            <w:vAlign w:val="bottom"/>
          </w:tcPr>
          <w:p>
            <w:pPr>
              <w:jc w:val="right"/>
              <w:spacing w:after="0"/>
              <w:rPr>
                <w:sz w:val="20"/>
                <w:szCs w:val="20"/>
                <w:color w:val="auto"/>
              </w:rPr>
            </w:pPr>
            <w:r>
              <w:rPr>
                <w:rFonts w:ascii="Arial" w:cs="Arial" w:eastAsia="Arial" w:hAnsi="Arial"/>
                <w:sz w:val="16"/>
                <w:szCs w:val="16"/>
                <w:color w:val="auto"/>
              </w:rPr>
              <w:t>4,098</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5,281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1,175</w:t>
            </w:r>
          </w:p>
        </w:tc>
        <w:tc>
          <w:tcPr>
            <w:tcW w:w="1380" w:type="dxa"/>
            <w:vAlign w:val="bottom"/>
          </w:tcPr>
          <w:p>
            <w:pPr>
              <w:jc w:val="right"/>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4,615</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3,640</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Short-term investments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10,000</w:t>
            </w:r>
          </w:p>
        </w:tc>
        <w:tc>
          <w:tcPr>
            <w:tcW w:w="138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129,125</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101,353</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44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166,849</w:t>
            </w:r>
          </w:p>
        </w:tc>
        <w:tc>
          <w:tcPr>
            <w:tcW w:w="1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124,938</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44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2,488,638</w:t>
            </w:r>
          </w:p>
        </w:tc>
        <w:tc>
          <w:tcPr>
            <w:tcW w:w="1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2,421,243</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4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w w:val="98"/>
              </w:rPr>
              <w:t>Common unitholders (45,448,993 units issued and outstanding as of December 31, 2018 and March 31, 2019)</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812,863</w:t>
            </w:r>
          </w:p>
        </w:tc>
        <w:tc>
          <w:tcPr>
            <w:tcW w:w="1380" w:type="dxa"/>
            <w:vAlign w:val="bottom"/>
          </w:tcPr>
          <w:p>
            <w:pPr>
              <w:jc w:val="right"/>
              <w:spacing w:after="0"/>
              <w:rPr>
                <w:sz w:val="20"/>
                <w:szCs w:val="20"/>
                <w:color w:val="auto"/>
              </w:rPr>
            </w:pPr>
            <w:r>
              <w:rPr>
                <w:rFonts w:ascii="Arial" w:cs="Arial" w:eastAsia="Arial" w:hAnsi="Arial"/>
                <w:sz w:val="16"/>
                <w:szCs w:val="16"/>
                <w:color w:val="auto"/>
              </w:rPr>
              <w:t>800,681</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(927,532 units issued and outstanding as of December 31, 2018 and March 31, 2019)</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13,289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13,013</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Incentive distribution rights (“IDR”)</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5,176</w:t>
            </w:r>
          </w:p>
        </w:tc>
        <w:tc>
          <w:tcPr>
            <w:tcW w:w="1380" w:type="dxa"/>
            <w:vAlign w:val="bottom"/>
          </w:tcPr>
          <w:p>
            <w:pPr>
              <w:jc w:val="right"/>
              <w:spacing w:after="0"/>
              <w:rPr>
                <w:sz w:val="20"/>
                <w:szCs w:val="20"/>
                <w:color w:val="auto"/>
              </w:rPr>
            </w:pPr>
            <w:r>
              <w:rPr>
                <w:rFonts w:ascii="Arial" w:cs="Arial" w:eastAsia="Arial" w:hAnsi="Arial"/>
                <w:sz w:val="16"/>
                <w:szCs w:val="16"/>
                <w:color w:val="auto"/>
              </w:rPr>
              <w:t>3,783</w:t>
            </w:r>
          </w:p>
        </w:tc>
        <w:tc>
          <w:tcPr>
            <w:tcW w:w="0" w:type="dxa"/>
            <w:vAlign w:val="bottom"/>
          </w:tcPr>
          <w:p>
            <w:pPr>
              <w:spacing w:after="0"/>
              <w:rPr>
                <w:sz w:val="1"/>
                <w:szCs w:val="1"/>
                <w:color w:val="auto"/>
              </w:rPr>
            </w:pPr>
          </w:p>
        </w:tc>
      </w:tr>
      <w:tr>
        <w:trPr>
          <w:trHeight w:val="19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w w:val="95"/>
              </w:rPr>
              <w:t>Preference unitholders (5,750,000 Series A Preference Units, 4,600,000 Series B Preference Units and 4,000,000</w:t>
            </w:r>
          </w:p>
        </w:tc>
        <w:tc>
          <w:tcPr>
            <w:tcW w:w="44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Series C Preference Units issued and outstanding as of December 31, 2018 and March 31, 2019)</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18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348,331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347,839</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44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1,179,659</w:t>
            </w:r>
          </w:p>
        </w:tc>
        <w:tc>
          <w:tcPr>
            <w:tcW w:w="1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1,165,316</w:t>
            </w:r>
          </w:p>
        </w:tc>
        <w:tc>
          <w:tcPr>
            <w:tcW w:w="0" w:type="dxa"/>
            <w:vAlign w:val="bottom"/>
          </w:tcPr>
          <w:p>
            <w:pPr>
              <w:spacing w:after="0"/>
              <w:rPr>
                <w:sz w:val="1"/>
                <w:szCs w:val="1"/>
                <w:color w:val="auto"/>
              </w:rPr>
            </w:pPr>
          </w:p>
        </w:tc>
      </w:tr>
      <w:tr>
        <w:trPr>
          <w:trHeight w:val="183"/>
        </w:trPr>
        <w:tc>
          <w:tcPr>
            <w:tcW w:w="770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44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Trade accounts payable</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7,490</w:t>
            </w:r>
          </w:p>
        </w:tc>
        <w:tc>
          <w:tcPr>
            <w:tcW w:w="1380" w:type="dxa"/>
            <w:vAlign w:val="bottom"/>
          </w:tcPr>
          <w:p>
            <w:pPr>
              <w:jc w:val="right"/>
              <w:spacing w:after="0"/>
              <w:rPr>
                <w:sz w:val="20"/>
                <w:szCs w:val="20"/>
                <w:color w:val="auto"/>
              </w:rPr>
            </w:pPr>
            <w:r>
              <w:rPr>
                <w:rFonts w:ascii="Arial" w:cs="Arial" w:eastAsia="Arial" w:hAnsi="Arial"/>
                <w:sz w:val="16"/>
                <w:szCs w:val="16"/>
                <w:color w:val="auto"/>
              </w:rPr>
              <w:t>10,719</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Due to related parties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2,022</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1,253</w:t>
            </w:r>
          </w:p>
        </w:tc>
        <w:tc>
          <w:tcPr>
            <w:tcW w:w="1380" w:type="dxa"/>
            <w:vAlign w:val="bottom"/>
          </w:tcPr>
          <w:p>
            <w:pPr>
              <w:jc w:val="right"/>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8</w:t>
            </w: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57,774</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28,149</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429,437</w:t>
            </w:r>
          </w:p>
        </w:tc>
        <w:tc>
          <w:tcPr>
            <w:tcW w:w="1380" w:type="dxa"/>
            <w:vAlign w:val="bottom"/>
          </w:tcPr>
          <w:p>
            <w:pPr>
              <w:jc w:val="right"/>
              <w:spacing w:after="0"/>
              <w:rPr>
                <w:sz w:val="20"/>
                <w:szCs w:val="20"/>
                <w:color w:val="auto"/>
              </w:rPr>
            </w:pPr>
            <w:r>
              <w:rPr>
                <w:rFonts w:ascii="Arial" w:cs="Arial" w:eastAsia="Arial" w:hAnsi="Arial"/>
                <w:sz w:val="16"/>
                <w:szCs w:val="16"/>
                <w:color w:val="auto"/>
              </w:rPr>
              <w:t>70,739</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liabilities—current portion</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44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497,976</w:t>
            </w:r>
          </w:p>
        </w:tc>
        <w:tc>
          <w:tcPr>
            <w:tcW w:w="1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111,930</w:t>
            </w:r>
          </w:p>
        </w:tc>
        <w:tc>
          <w:tcPr>
            <w:tcW w:w="0" w:type="dxa"/>
            <w:vAlign w:val="bottom"/>
          </w:tcPr>
          <w:p>
            <w:pPr>
              <w:spacing w:after="0"/>
              <w:rPr>
                <w:sz w:val="1"/>
                <w:szCs w:val="1"/>
                <w:color w:val="auto"/>
              </w:rPr>
            </w:pPr>
          </w:p>
        </w:tc>
      </w:tr>
      <w:tr>
        <w:trPr>
          <w:trHeight w:val="183"/>
        </w:trPr>
        <w:tc>
          <w:tcPr>
            <w:tcW w:w="770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44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3,543</w:t>
            </w:r>
          </w:p>
        </w:tc>
        <w:tc>
          <w:tcPr>
            <w:tcW w:w="1380" w:type="dxa"/>
            <w:vAlign w:val="bottom"/>
          </w:tcPr>
          <w:p>
            <w:pPr>
              <w:jc w:val="right"/>
              <w:spacing w:after="0"/>
              <w:rPr>
                <w:sz w:val="20"/>
                <w:szCs w:val="20"/>
                <w:color w:val="auto"/>
              </w:rPr>
            </w:pPr>
            <w:r>
              <w:rPr>
                <w:rFonts w:ascii="Arial" w:cs="Arial" w:eastAsia="Arial" w:hAnsi="Arial"/>
                <w:sz w:val="16"/>
                <w:szCs w:val="16"/>
                <w:color w:val="auto"/>
              </w:rPr>
              <w:t>4,966</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805,560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1,136,292</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4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1,900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2,065</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44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811,003</w:t>
            </w:r>
          </w:p>
        </w:tc>
        <w:tc>
          <w:tcPr>
            <w:tcW w:w="1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1,143,997</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44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2,488,638</w:t>
            </w:r>
          </w:p>
        </w:tc>
        <w:tc>
          <w:tcPr>
            <w:tcW w:w="1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2,421,243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2" w:right="4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7480" w:type="dxa"/>
            <w:vAlign w:val="bottom"/>
            <w:gridSpan w:val="2"/>
          </w:tcPr>
          <w:p>
            <w:pPr>
              <w:spacing w:after="0"/>
              <w:rPr>
                <w:sz w:val="20"/>
                <w:szCs w:val="20"/>
                <w:color w:val="auto"/>
              </w:rPr>
            </w:pPr>
            <w:r>
              <w:rPr>
                <w:rFonts w:ascii="Arial" w:cs="Arial" w:eastAsia="Arial" w:hAnsi="Arial"/>
                <w:sz w:val="16"/>
                <w:szCs w:val="16"/>
                <w:b w:val="1"/>
                <w:bCs w:val="1"/>
                <w:color w:val="auto"/>
              </w:rPr>
              <w:t>GasLog Partners LP</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1"/>
        </w:trPr>
        <w:tc>
          <w:tcPr>
            <w:tcW w:w="748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profit or loss and total comprehensive income</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7480" w:type="dxa"/>
            <w:vAlign w:val="bottom"/>
            <w:gridSpan w:val="2"/>
          </w:tcPr>
          <w:p>
            <w:pPr>
              <w:spacing w:after="0"/>
              <w:rPr>
                <w:sz w:val="20"/>
                <w:szCs w:val="20"/>
                <w:color w:val="auto"/>
              </w:rPr>
            </w:pPr>
            <w:r>
              <w:rPr>
                <w:rFonts w:ascii="Arial" w:cs="Arial" w:eastAsia="Arial" w:hAnsi="Arial"/>
                <w:sz w:val="16"/>
                <w:szCs w:val="16"/>
                <w:b w:val="1"/>
                <w:bCs w:val="1"/>
                <w:color w:val="auto"/>
              </w:rPr>
              <w:t>For the three months ended March 31, 2018 and 2019</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480" w:type="dxa"/>
            <w:vAlign w:val="bottom"/>
            <w:gridSpan w:val="2"/>
          </w:tcPr>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1"/>
        </w:trPr>
        <w:tc>
          <w:tcPr>
            <w:tcW w:w="3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3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6"/>
                <w:szCs w:val="16"/>
                <w:b w:val="1"/>
                <w:bCs w:val="1"/>
                <w:color w:val="auto"/>
              </w:rPr>
              <w:t>Note</w:t>
            </w:r>
          </w:p>
        </w:tc>
        <w:tc>
          <w:tcPr>
            <w:tcW w:w="16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 2018</w:t>
            </w:r>
          </w:p>
        </w:tc>
        <w:tc>
          <w:tcPr>
            <w:tcW w:w="16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March 31, 2019</w:t>
            </w:r>
          </w:p>
        </w:tc>
      </w:tr>
      <w:tr>
        <w:trPr>
          <w:trHeight w:val="145"/>
        </w:trPr>
        <w:tc>
          <w:tcPr>
            <w:tcW w:w="340" w:type="dxa"/>
            <w:vAlign w:val="bottom"/>
          </w:tcPr>
          <w:p>
            <w:pPr>
              <w:spacing w:after="0"/>
              <w:rPr>
                <w:sz w:val="12"/>
                <w:szCs w:val="12"/>
                <w:color w:val="auto"/>
              </w:rPr>
            </w:pPr>
          </w:p>
        </w:tc>
        <w:tc>
          <w:tcPr>
            <w:tcW w:w="7140" w:type="dxa"/>
            <w:vAlign w:val="bottom"/>
            <w:tcBorders>
              <w:top w:val="single" w:sz="8" w:color="E5FFFF"/>
            </w:tcBorders>
            <w:shd w:val="clear" w:color="auto" w:fill="E5FFFF"/>
          </w:tcPr>
          <w:p>
            <w:pPr>
              <w:spacing w:after="0"/>
              <w:rPr>
                <w:sz w:val="12"/>
                <w:szCs w:val="12"/>
                <w:color w:val="auto"/>
              </w:rPr>
            </w:pPr>
          </w:p>
        </w:tc>
        <w:tc>
          <w:tcPr>
            <w:tcW w:w="460" w:type="dxa"/>
            <w:vAlign w:val="bottom"/>
            <w:tcBorders>
              <w:top w:val="single" w:sz="8" w:color="auto"/>
            </w:tcBorders>
            <w:shd w:val="clear" w:color="auto" w:fill="E5FFFF"/>
          </w:tcPr>
          <w:p>
            <w:pPr>
              <w:spacing w:after="0"/>
              <w:rPr>
                <w:sz w:val="12"/>
                <w:szCs w:val="12"/>
                <w:color w:val="auto"/>
              </w:rPr>
            </w:pPr>
          </w:p>
        </w:tc>
        <w:tc>
          <w:tcPr>
            <w:tcW w:w="140" w:type="dxa"/>
            <w:vAlign w:val="bottom"/>
            <w:tcBorders>
              <w:top w:val="single" w:sz="8" w:color="E5FFFF"/>
            </w:tcBorders>
            <w:shd w:val="clear" w:color="auto" w:fill="E5FFFF"/>
          </w:tcPr>
          <w:p>
            <w:pPr>
              <w:spacing w:after="0"/>
              <w:rPr>
                <w:sz w:val="12"/>
                <w:szCs w:val="12"/>
                <w:color w:val="auto"/>
              </w:rPr>
            </w:pPr>
          </w:p>
        </w:tc>
        <w:tc>
          <w:tcPr>
            <w:tcW w:w="1460" w:type="dxa"/>
            <w:vAlign w:val="bottom"/>
            <w:tcBorders>
              <w:top w:val="single" w:sz="8" w:color="auto"/>
            </w:tcBorders>
            <w:shd w:val="clear" w:color="auto" w:fill="E5FFFF"/>
          </w:tcPr>
          <w:p>
            <w:pPr>
              <w:jc w:val="right"/>
              <w:ind w:right="320"/>
              <w:spacing w:after="0" w:line="145" w:lineRule="exact"/>
              <w:rPr>
                <w:sz w:val="20"/>
                <w:szCs w:val="20"/>
                <w:color w:val="auto"/>
              </w:rPr>
            </w:pPr>
            <w:r>
              <w:rPr>
                <w:rFonts w:ascii="Arial" w:cs="Arial" w:eastAsia="Arial" w:hAnsi="Arial"/>
                <w:sz w:val="14"/>
                <w:szCs w:val="14"/>
                <w:i w:val="1"/>
                <w:iCs w:val="1"/>
                <w:color w:val="auto"/>
              </w:rPr>
              <w:t>(restated)</w:t>
            </w:r>
            <w:r>
              <w:rPr>
                <w:rFonts w:ascii="Arial" w:cs="Arial" w:eastAsia="Arial" w:hAnsi="Arial"/>
                <w:sz w:val="16"/>
                <w:szCs w:val="16"/>
                <w:color w:val="auto"/>
                <w:vertAlign w:val="superscript"/>
              </w:rPr>
              <w:t>(1)</w:t>
            </w:r>
          </w:p>
        </w:tc>
        <w:tc>
          <w:tcPr>
            <w:tcW w:w="140" w:type="dxa"/>
            <w:vAlign w:val="bottom"/>
            <w:tcBorders>
              <w:top w:val="single" w:sz="8" w:color="E5FFFF"/>
            </w:tcBorders>
            <w:shd w:val="clear" w:color="auto" w:fill="E5FFFF"/>
          </w:tcPr>
          <w:p>
            <w:pPr>
              <w:spacing w:after="0"/>
              <w:rPr>
                <w:sz w:val="12"/>
                <w:szCs w:val="12"/>
                <w:color w:val="auto"/>
              </w:rPr>
            </w:pPr>
          </w:p>
        </w:tc>
        <w:tc>
          <w:tcPr>
            <w:tcW w:w="1460" w:type="dxa"/>
            <w:vAlign w:val="bottom"/>
            <w:tcBorders>
              <w:top w:val="single" w:sz="8" w:color="auto"/>
            </w:tcBorders>
            <w:shd w:val="clear" w:color="auto" w:fill="E5FFFF"/>
          </w:tcPr>
          <w:p>
            <w:pPr>
              <w:spacing w:after="0"/>
              <w:rPr>
                <w:sz w:val="12"/>
                <w:szCs w:val="12"/>
                <w:color w:val="auto"/>
              </w:rPr>
            </w:pPr>
          </w:p>
        </w:tc>
        <w:tc>
          <w:tcPr>
            <w:tcW w:w="140" w:type="dxa"/>
            <w:vAlign w:val="bottom"/>
            <w:tcBorders>
              <w:top w:val="single" w:sz="8" w:color="E5FFFF"/>
            </w:tcBorders>
            <w:shd w:val="clear" w:color="auto" w:fill="E5FFFF"/>
          </w:tcPr>
          <w:p>
            <w:pPr>
              <w:spacing w:after="0"/>
              <w:rPr>
                <w:sz w:val="12"/>
                <w:szCs w:val="12"/>
                <w:color w:val="auto"/>
              </w:rPr>
            </w:pPr>
          </w:p>
        </w:tc>
      </w:tr>
      <w:tr>
        <w:trPr>
          <w:trHeight w:val="203"/>
        </w:trPr>
        <w:tc>
          <w:tcPr>
            <w:tcW w:w="34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Revenues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91,776</w:t>
            </w:r>
          </w:p>
        </w:tc>
        <w:tc>
          <w:tcPr>
            <w:tcW w:w="1460" w:type="dxa"/>
            <w:vAlign w:val="bottom"/>
          </w:tcPr>
          <w:p>
            <w:pPr>
              <w:jc w:val="right"/>
              <w:spacing w:after="0"/>
              <w:rPr>
                <w:sz w:val="20"/>
                <w:szCs w:val="20"/>
                <w:color w:val="auto"/>
              </w:rPr>
            </w:pPr>
            <w:r>
              <w:rPr>
                <w:rFonts w:ascii="Arial" w:cs="Arial" w:eastAsia="Arial" w:hAnsi="Arial"/>
                <w:sz w:val="16"/>
                <w:szCs w:val="16"/>
                <w:color w:val="auto"/>
              </w:rPr>
              <w:t>86,325</w:t>
            </w:r>
          </w:p>
        </w:tc>
        <w:tc>
          <w:tcPr>
            <w:tcW w:w="1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40" w:type="dxa"/>
            <w:vAlign w:val="bottom"/>
            <w:shd w:val="clear" w:color="auto" w:fill="E5FFFF"/>
          </w:tcPr>
          <w:p>
            <w:pPr>
              <w:spacing w:after="0"/>
              <w:rPr>
                <w:sz w:val="20"/>
                <w:szCs w:val="20"/>
                <w:color w:val="auto"/>
              </w:rPr>
            </w:pPr>
            <w:r>
              <w:rPr>
                <w:rFonts w:ascii="Arial" w:cs="Arial" w:eastAsia="Arial" w:hAnsi="Arial"/>
                <w:sz w:val="16"/>
                <w:szCs w:val="16"/>
                <w:color w:val="auto"/>
              </w:rPr>
              <w:t>Net pool allocation</w:t>
            </w:r>
          </w:p>
        </w:tc>
        <w:tc>
          <w:tcPr>
            <w:tcW w:w="4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E5FF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(1,239)</w:t>
            </w: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(1,742)</w:t>
            </w:r>
          </w:p>
        </w:tc>
      </w:tr>
      <w:tr>
        <w:trPr>
          <w:trHeight w:val="203"/>
        </w:trPr>
        <w:tc>
          <w:tcPr>
            <w:tcW w:w="340" w:type="dxa"/>
            <w:vAlign w:val="bottom"/>
          </w:tcPr>
          <w:p>
            <w:pPr>
              <w:spacing w:after="0"/>
              <w:rPr>
                <w:sz w:val="17"/>
                <w:szCs w:val="17"/>
                <w:color w:val="auto"/>
              </w:rPr>
            </w:pPr>
          </w:p>
        </w:tc>
        <w:tc>
          <w:tcPr>
            <w:tcW w:w="714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w:t>
            </w:r>
          </w:p>
        </w:tc>
        <w:tc>
          <w:tcPr>
            <w:tcW w:w="14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(18,777)</w:t>
            </w:r>
          </w:p>
        </w:tc>
        <w:tc>
          <w:tcPr>
            <w:tcW w:w="16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(17,118)</w:t>
            </w:r>
          </w:p>
        </w:tc>
      </w:tr>
      <w:tr>
        <w:trPr>
          <w:trHeight w:val="203"/>
        </w:trPr>
        <w:tc>
          <w:tcPr>
            <w:tcW w:w="34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Depreciation</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40" w:type="dxa"/>
            <w:vAlign w:val="bottom"/>
          </w:tcPr>
          <w:p>
            <w:pPr>
              <w:spacing w:after="0"/>
              <w:rPr>
                <w:sz w:val="17"/>
                <w:szCs w:val="17"/>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(20,089)</w:t>
            </w: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(20,380)</w:t>
            </w:r>
          </w:p>
        </w:tc>
      </w:tr>
      <w:tr>
        <w:trPr>
          <w:trHeight w:val="203"/>
        </w:trPr>
        <w:tc>
          <w:tcPr>
            <w:tcW w:w="340" w:type="dxa"/>
            <w:vAlign w:val="bottom"/>
          </w:tcPr>
          <w:p>
            <w:pPr>
              <w:spacing w:after="0"/>
              <w:rPr>
                <w:sz w:val="17"/>
                <w:szCs w:val="17"/>
                <w:color w:val="auto"/>
              </w:rPr>
            </w:pPr>
          </w:p>
        </w:tc>
        <w:tc>
          <w:tcPr>
            <w:tcW w:w="714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10</w:t>
            </w:r>
          </w:p>
        </w:tc>
        <w:tc>
          <w:tcPr>
            <w:tcW w:w="14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(4,792)</w:t>
            </w:r>
          </w:p>
        </w:tc>
        <w:tc>
          <w:tcPr>
            <w:tcW w:w="16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(4,598)</w:t>
            </w:r>
          </w:p>
        </w:tc>
      </w:tr>
      <w:tr>
        <w:trPr>
          <w:trHeight w:val="196"/>
        </w:trPr>
        <w:tc>
          <w:tcPr>
            <w:tcW w:w="340" w:type="dxa"/>
            <w:vAlign w:val="bottom"/>
          </w:tcPr>
          <w:p>
            <w:pPr>
              <w:spacing w:after="0"/>
              <w:rPr>
                <w:sz w:val="17"/>
                <w:szCs w:val="17"/>
                <w:color w:val="auto"/>
              </w:rPr>
            </w:pPr>
          </w:p>
        </w:tc>
        <w:tc>
          <w:tcPr>
            <w:tcW w:w="71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46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46,879</w:t>
            </w:r>
          </w:p>
        </w:tc>
        <w:tc>
          <w:tcPr>
            <w:tcW w:w="1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42,521</w:t>
            </w:r>
          </w:p>
        </w:tc>
        <w:tc>
          <w:tcPr>
            <w:tcW w:w="140" w:type="dxa"/>
            <w:vAlign w:val="bottom"/>
            <w:tcBorders>
              <w:bottom w:val="single" w:sz="8" w:color="E5FFFF"/>
            </w:tcBorders>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1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13</w:t>
            </w:r>
          </w:p>
        </w:tc>
        <w:tc>
          <w:tcPr>
            <w:tcW w:w="14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(16,440)</w:t>
            </w:r>
          </w:p>
        </w:tc>
        <w:tc>
          <w:tcPr>
            <w:tcW w:w="14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(17,902)</w:t>
            </w:r>
          </w:p>
        </w:tc>
        <w:tc>
          <w:tcPr>
            <w:tcW w:w="140" w:type="dxa"/>
            <w:vAlign w:val="bottom"/>
            <w:shd w:val="clear" w:color="auto" w:fill="E5FF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Financial income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526</w:t>
            </w:r>
          </w:p>
        </w:tc>
        <w:tc>
          <w:tcPr>
            <w:tcW w:w="1460" w:type="dxa"/>
            <w:vAlign w:val="bottom"/>
          </w:tcPr>
          <w:p>
            <w:pPr>
              <w:jc w:val="right"/>
              <w:spacing w:after="0"/>
              <w:rPr>
                <w:sz w:val="20"/>
                <w:szCs w:val="20"/>
                <w:color w:val="auto"/>
              </w:rPr>
            </w:pPr>
            <w:r>
              <w:rPr>
                <w:rFonts w:ascii="Arial" w:cs="Arial" w:eastAsia="Arial" w:hAnsi="Arial"/>
                <w:sz w:val="16"/>
                <w:szCs w:val="16"/>
                <w:color w:val="auto"/>
              </w:rPr>
              <w:t>624</w:t>
            </w:r>
          </w:p>
        </w:tc>
        <w:tc>
          <w:tcPr>
            <w:tcW w:w="1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4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13</w:t>
            </w:r>
          </w:p>
        </w:tc>
        <w:tc>
          <w:tcPr>
            <w:tcW w:w="14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6,327</w:t>
            </w:r>
          </w:p>
        </w:tc>
        <w:tc>
          <w:tcPr>
            <w:tcW w:w="16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(4,877)</w:t>
            </w:r>
          </w:p>
        </w:tc>
      </w:tr>
      <w:tr>
        <w:trPr>
          <w:trHeight w:val="196"/>
        </w:trPr>
        <w:tc>
          <w:tcPr>
            <w:tcW w:w="340" w:type="dxa"/>
            <w:vAlign w:val="bottom"/>
          </w:tcPr>
          <w:p>
            <w:pPr>
              <w:spacing w:after="0"/>
              <w:rPr>
                <w:sz w:val="17"/>
                <w:szCs w:val="17"/>
                <w:color w:val="auto"/>
              </w:rPr>
            </w:pPr>
          </w:p>
        </w:tc>
        <w:tc>
          <w:tcPr>
            <w:tcW w:w="71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46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(9,587)</w:t>
            </w:r>
          </w:p>
        </w:tc>
        <w:tc>
          <w:tcPr>
            <w:tcW w:w="1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(22,155)</w:t>
            </w:r>
          </w:p>
        </w:tc>
        <w:tc>
          <w:tcPr>
            <w:tcW w:w="140" w:type="dxa"/>
            <w:vAlign w:val="bottom"/>
            <w:tcBorders>
              <w:bottom w:val="single" w:sz="8" w:color="E5FFFF"/>
            </w:tcBorders>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1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46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37,292</w:t>
            </w:r>
          </w:p>
        </w:tc>
        <w:tc>
          <w:tcPr>
            <w:tcW w:w="140" w:type="dxa"/>
            <w:vAlign w:val="bottom"/>
            <w:tcBorders>
              <w:bottom w:val="single" w:sz="8" w:color="E5FFFF"/>
            </w:tcBorders>
            <w:shd w:val="clear" w:color="auto" w:fill="E5FFFF"/>
          </w:tcPr>
          <w:p>
            <w:pPr>
              <w:spacing w:after="0"/>
              <w:rPr>
                <w:sz w:val="17"/>
                <w:szCs w:val="17"/>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20,366</w:t>
            </w:r>
          </w:p>
        </w:tc>
        <w:tc>
          <w:tcPr>
            <w:tcW w:w="140" w:type="dxa"/>
            <w:vAlign w:val="bottom"/>
            <w:tcBorders>
              <w:bottom w:val="single" w:sz="8" w:color="E5FFFF"/>
            </w:tcBorders>
            <w:shd w:val="clear" w:color="auto" w:fill="E5FFFF"/>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340" w:type="dxa"/>
            <w:vAlign w:val="bottom"/>
          </w:tcPr>
          <w:p>
            <w:pPr>
              <w:spacing w:after="0"/>
              <w:rPr>
                <w:sz w:val="17"/>
                <w:szCs w:val="17"/>
                <w:color w:val="auto"/>
              </w:rPr>
            </w:pPr>
          </w:p>
        </w:tc>
        <w:tc>
          <w:tcPr>
            <w:tcW w:w="71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attributable to the Partnership, basic and diluted:</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16</w:t>
            </w:r>
          </w:p>
        </w:tc>
        <w:tc>
          <w:tcPr>
            <w:tcW w:w="14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Common unit (basic and diluted)</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0.59</w:t>
            </w:r>
          </w:p>
        </w:tc>
        <w:tc>
          <w:tcPr>
            <w:tcW w:w="1460" w:type="dxa"/>
            <w:vAlign w:val="bottom"/>
          </w:tcPr>
          <w:p>
            <w:pPr>
              <w:jc w:val="right"/>
              <w:spacing w:after="0"/>
              <w:rPr>
                <w:sz w:val="20"/>
                <w:szCs w:val="20"/>
                <w:color w:val="auto"/>
              </w:rPr>
            </w:pPr>
            <w:r>
              <w:rPr>
                <w:rFonts w:ascii="Arial" w:cs="Arial" w:eastAsia="Arial" w:hAnsi="Arial"/>
                <w:sz w:val="16"/>
                <w:szCs w:val="16"/>
                <w:color w:val="auto"/>
              </w:rPr>
              <w:t>0.28</w:t>
            </w:r>
          </w:p>
        </w:tc>
        <w:tc>
          <w:tcPr>
            <w:tcW w:w="1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4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w:t>
            </w:r>
          </w:p>
        </w:tc>
        <w:tc>
          <w:tcPr>
            <w:tcW w:w="4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6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0.64</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0.28</w:t>
            </w:r>
          </w:p>
        </w:tc>
        <w:tc>
          <w:tcPr>
            <w:tcW w:w="140" w:type="dxa"/>
            <w:vAlign w:val="bottom"/>
            <w:shd w:val="clear" w:color="auto" w:fill="E5FFFF"/>
          </w:tcPr>
          <w:p>
            <w:pPr>
              <w:spacing w:after="0"/>
              <w:rPr>
                <w:sz w:val="17"/>
                <w:szCs w:val="17"/>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w:t>
      </w:r>
    </w:p>
    <w:p>
      <w:pPr>
        <w:spacing w:after="0" w:line="59" w:lineRule="exact"/>
        <w:rPr>
          <w:sz w:val="20"/>
          <w:szCs w:val="20"/>
          <w:color w:val="auto"/>
        </w:rPr>
      </w:pPr>
    </w:p>
    <w:p>
      <w:pPr>
        <w:ind w:left="660" w:right="240" w:hanging="328"/>
        <w:spacing w:after="0" w:line="215" w:lineRule="auto"/>
        <w:tabs>
          <w:tab w:leader="none" w:pos="657"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GAS-fourteen Ltd. and GAS-twenty seven Ltd. acquired on April 26, 2018 and November 14, 2018, respectively, from GasLog Ltd. (“GasLog”) (Note 1).</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2" w:right="3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ind w:right="5480"/>
        <w:spacing w:after="0" w:line="287" w:lineRule="auto"/>
        <w:rPr>
          <w:sz w:val="20"/>
          <w:szCs w:val="20"/>
          <w:color w:val="auto"/>
        </w:rPr>
      </w:pPr>
      <w:r>
        <w:rPr>
          <w:rFonts w:ascii="Arial" w:cs="Arial" w:eastAsia="Arial" w:hAnsi="Arial"/>
          <w:sz w:val="15"/>
          <w:szCs w:val="15"/>
          <w:b w:val="1"/>
          <w:bCs w:val="1"/>
          <w:color w:val="auto"/>
        </w:rPr>
        <w:t>Unaudited condensed consolidated statements of changes in owners’/partners’ equity For the three months ended March 31, 2018 and 2019</w:t>
      </w: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vMerge w:val="restart"/>
          </w:tcPr>
          <w:p>
            <w:pPr>
              <w:jc w:val="center"/>
              <w:ind w:left="468"/>
              <w:spacing w:after="0"/>
              <w:rPr>
                <w:sz w:val="20"/>
                <w:szCs w:val="20"/>
                <w:color w:val="auto"/>
              </w:rPr>
            </w:pPr>
            <w:r>
              <w:rPr>
                <w:rFonts w:ascii="Arial" w:cs="Arial" w:eastAsia="Arial" w:hAnsi="Arial"/>
                <w:sz w:val="14"/>
                <w:szCs w:val="14"/>
                <w:b w:val="1"/>
                <w:bCs w:val="1"/>
                <w:color w:val="auto"/>
                <w:w w:val="91"/>
              </w:rPr>
              <w:t>Preference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Owners’</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3"/>
              </w:rPr>
              <w:t>General partner</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Common unitholders</w:t>
            </w: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IDR</w:t>
            </w:r>
          </w:p>
        </w:tc>
        <w:tc>
          <w:tcPr>
            <w:tcW w:w="14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Partners’</w:t>
            </w:r>
          </w:p>
        </w:tc>
        <w:tc>
          <w:tcPr>
            <w:tcW w:w="9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4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1"/>
              </w:rPr>
              <w:t>unitholders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equity</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Units</w:t>
            </w:r>
          </w:p>
        </w:tc>
        <w:tc>
          <w:tcPr>
            <w:tcW w:w="180" w:type="dxa"/>
            <w:vAlign w:val="bottom"/>
            <w:tcBorders>
              <w:top w:val="single" w:sz="8" w:color="auto"/>
              <w:bottom w:val="single" w:sz="8" w:color="E5FF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Units</w:t>
            </w:r>
          </w:p>
        </w:tc>
        <w:tc>
          <w:tcPr>
            <w:tcW w:w="180" w:type="dxa"/>
            <w:vAlign w:val="bottom"/>
            <w:tcBorders>
              <w:top w:val="single" w:sz="8" w:color="auto"/>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E5FFFF"/>
            </w:tcBorders>
          </w:tcPr>
          <w:p>
            <w:pPr>
              <w:spacing w:after="0"/>
              <w:rPr>
                <w:sz w:val="12"/>
                <w:szCs w:val="12"/>
                <w:color w:val="auto"/>
              </w:rPr>
            </w:pPr>
          </w:p>
        </w:tc>
        <w:tc>
          <w:tcPr>
            <w:tcW w:w="102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Units</w:t>
            </w:r>
          </w:p>
        </w:tc>
        <w:tc>
          <w:tcPr>
            <w:tcW w:w="180" w:type="dxa"/>
            <w:vAlign w:val="bottom"/>
            <w:tcBorders>
              <w:top w:val="single" w:sz="8" w:color="auto"/>
              <w:bottom w:val="single" w:sz="8" w:color="E5FF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E5FFFF"/>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E5FFFF"/>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20" w:type="dxa"/>
            <w:vAlign w:val="bottom"/>
            <w:shd w:val="clear" w:color="auto" w:fill="E5FFFF"/>
          </w:tcPr>
          <w:p>
            <w:pPr>
              <w:spacing w:after="0" w:line="106" w:lineRule="exact"/>
              <w:rPr>
                <w:sz w:val="20"/>
                <w:szCs w:val="20"/>
                <w:color w:val="auto"/>
              </w:rPr>
            </w:pPr>
            <w:r>
              <w:rPr>
                <w:rFonts w:ascii="Arial" w:cs="Arial" w:eastAsia="Arial" w:hAnsi="Arial"/>
                <w:sz w:val="12"/>
                <w:szCs w:val="12"/>
                <w:b w:val="1"/>
                <w:bCs w:val="1"/>
                <w:color w:val="auto"/>
              </w:rPr>
              <w:t>Balance as of</w:t>
            </w:r>
          </w:p>
        </w:tc>
        <w:tc>
          <w:tcPr>
            <w:tcW w:w="9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836,779</w:t>
            </w:r>
          </w:p>
        </w:tc>
        <w:tc>
          <w:tcPr>
            <w:tcW w:w="420" w:type="dxa"/>
            <w:vAlign w:val="bottom"/>
            <w:shd w:val="clear" w:color="auto" w:fill="E5FFFF"/>
          </w:tcPr>
          <w:p>
            <w:pPr>
              <w:spacing w:after="0"/>
              <w:rPr>
                <w:sz w:val="9"/>
                <w:szCs w:val="9"/>
                <w:color w:val="auto"/>
              </w:rPr>
            </w:pPr>
          </w:p>
        </w:tc>
        <w:tc>
          <w:tcPr>
            <w:tcW w:w="5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w w:val="88"/>
              </w:rPr>
              <w:t>11,781</w:t>
            </w: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41,002,121</w:t>
            </w:r>
          </w:p>
        </w:tc>
        <w:tc>
          <w:tcPr>
            <w:tcW w:w="180" w:type="dxa"/>
            <w:vAlign w:val="bottom"/>
            <w:shd w:val="clear" w:color="auto" w:fill="E5FFFF"/>
          </w:tcPr>
          <w:p>
            <w:pPr>
              <w:spacing w:after="0"/>
              <w:rPr>
                <w:sz w:val="9"/>
                <w:szCs w:val="9"/>
                <w:color w:val="auto"/>
              </w:rPr>
            </w:pP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752,456</w:t>
            </w:r>
          </w:p>
        </w:tc>
        <w:tc>
          <w:tcPr>
            <w:tcW w:w="96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6,596</w:t>
            </w:r>
          </w:p>
        </w:tc>
        <w:tc>
          <w:tcPr>
            <w:tcW w:w="120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5,750,000</w:t>
            </w:r>
          </w:p>
        </w:tc>
        <w:tc>
          <w:tcPr>
            <w:tcW w:w="240" w:type="dxa"/>
            <w:vAlign w:val="bottom"/>
            <w:shd w:val="clear" w:color="auto" w:fill="E5FFFF"/>
          </w:tcPr>
          <w:p>
            <w:pPr>
              <w:spacing w:after="0"/>
              <w:rPr>
                <w:sz w:val="9"/>
                <w:szCs w:val="9"/>
                <w:color w:val="auto"/>
              </w:rPr>
            </w:pPr>
          </w:p>
        </w:tc>
        <w:tc>
          <w:tcPr>
            <w:tcW w:w="70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139,321</w:t>
            </w:r>
          </w:p>
        </w:tc>
        <w:tc>
          <w:tcPr>
            <w:tcW w:w="10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910,154</w:t>
            </w:r>
          </w:p>
        </w:tc>
        <w:tc>
          <w:tcPr>
            <w:tcW w:w="96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155,554</w:t>
            </w: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1,065,708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shd w:val="clear" w:color="auto" w:fill="E5FFFF"/>
          </w:tcPr>
          <w:p>
            <w:pPr>
              <w:ind w:left="160"/>
              <w:spacing w:after="0"/>
              <w:rPr>
                <w:sz w:val="20"/>
                <w:szCs w:val="20"/>
                <w:color w:val="auto"/>
              </w:rPr>
            </w:pPr>
            <w:r>
              <w:rPr>
                <w:rFonts w:ascii="Arial" w:cs="Arial" w:eastAsia="Arial" w:hAnsi="Arial"/>
                <w:sz w:val="14"/>
                <w:szCs w:val="14"/>
                <w:b w:val="1"/>
                <w:bCs w:val="1"/>
                <w:color w:val="auto"/>
              </w:rPr>
              <w:t>January 1, 2018</w:t>
            </w:r>
          </w:p>
        </w:tc>
        <w:tc>
          <w:tcPr>
            <w:tcW w:w="980" w:type="dxa"/>
            <w:vAlign w:val="bottom"/>
            <w:gridSpan w:val="2"/>
            <w:vMerge w:val="continue"/>
            <w:shd w:val="clear" w:color="auto" w:fill="E5FFFF"/>
          </w:tcPr>
          <w:p>
            <w:pPr>
              <w:spacing w:after="0"/>
              <w:rPr>
                <w:sz w:val="14"/>
                <w:szCs w:val="14"/>
                <w:color w:val="auto"/>
              </w:rPr>
            </w:pPr>
          </w:p>
        </w:tc>
        <w:tc>
          <w:tcPr>
            <w:tcW w:w="420" w:type="dxa"/>
            <w:vAlign w:val="bottom"/>
            <w:shd w:val="clear" w:color="auto" w:fill="E5FFFF"/>
          </w:tcPr>
          <w:p>
            <w:pPr>
              <w:spacing w:after="0"/>
              <w:rPr>
                <w:sz w:val="14"/>
                <w:szCs w:val="14"/>
                <w:color w:val="auto"/>
              </w:rPr>
            </w:pPr>
          </w:p>
        </w:tc>
        <w:tc>
          <w:tcPr>
            <w:tcW w:w="580" w:type="dxa"/>
            <w:vAlign w:val="bottom"/>
            <w:gridSpan w:val="2"/>
            <w:vMerge w:val="continue"/>
            <w:shd w:val="clear" w:color="auto" w:fill="E5FFFF"/>
          </w:tcPr>
          <w:p>
            <w:pPr>
              <w:spacing w:after="0"/>
              <w:rPr>
                <w:sz w:val="14"/>
                <w:szCs w:val="14"/>
                <w:color w:val="auto"/>
              </w:rPr>
            </w:pPr>
          </w:p>
        </w:tc>
        <w:tc>
          <w:tcPr>
            <w:tcW w:w="800" w:type="dxa"/>
            <w:vAlign w:val="bottom"/>
            <w:vMerge w:val="continue"/>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1200" w:type="dxa"/>
            <w:vAlign w:val="bottom"/>
            <w:gridSpan w:val="2"/>
            <w:vMerge w:val="continue"/>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700" w:type="dxa"/>
            <w:vAlign w:val="bottom"/>
            <w:gridSpan w:val="2"/>
            <w:vMerge w:val="continue"/>
            <w:shd w:val="clear" w:color="auto" w:fill="E5FFFF"/>
          </w:tcPr>
          <w:p>
            <w:pPr>
              <w:spacing w:after="0"/>
              <w:rPr>
                <w:sz w:val="14"/>
                <w:szCs w:val="14"/>
                <w:color w:val="auto"/>
              </w:rPr>
            </w:pPr>
          </w:p>
        </w:tc>
        <w:tc>
          <w:tcPr>
            <w:tcW w:w="1080" w:type="dxa"/>
            <w:vAlign w:val="bottom"/>
            <w:gridSpan w:val="2"/>
            <w:vMerge w:val="continue"/>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800" w:type="dxa"/>
            <w:vAlign w:val="bottom"/>
            <w:vMerge w:val="continue"/>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line="130" w:lineRule="exact"/>
              <w:rPr>
                <w:sz w:val="20"/>
                <w:szCs w:val="20"/>
                <w:color w:val="auto"/>
              </w:rPr>
            </w:pPr>
            <w:r>
              <w:rPr>
                <w:rFonts w:ascii="Arial" w:cs="Arial" w:eastAsia="Arial" w:hAnsi="Arial"/>
                <w:sz w:val="14"/>
                <w:szCs w:val="14"/>
                <w:color w:val="auto"/>
              </w:rPr>
              <w:t>Profit and total</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comprehensive</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income</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attributable to</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GasLog’s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operations (Note</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40" w:type="dxa"/>
            <w:vAlign w:val="bottom"/>
            <w:gridSpan w:val="2"/>
          </w:tcPr>
          <w:p>
            <w:pPr>
              <w:ind w:left="180"/>
              <w:spacing w:after="0"/>
              <w:rPr>
                <w:sz w:val="20"/>
                <w:szCs w:val="20"/>
                <w:color w:val="auto"/>
              </w:rPr>
            </w:pPr>
            <w:r>
              <w:rPr>
                <w:rFonts w:ascii="Arial" w:cs="Arial" w:eastAsia="Arial" w:hAnsi="Arial"/>
                <w:sz w:val="14"/>
                <w:szCs w:val="14"/>
                <w:color w:val="auto"/>
              </w:rPr>
              <w:t>16)</w:t>
            </w:r>
          </w:p>
        </w:tc>
        <w:tc>
          <w:tcPr>
            <w:tcW w:w="140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5,290</w:t>
            </w:r>
          </w:p>
        </w:tc>
        <w:tc>
          <w:tcPr>
            <w:tcW w:w="800" w:type="dxa"/>
            <w:vAlign w:val="bottom"/>
          </w:tcPr>
          <w:p>
            <w:pPr>
              <w:jc w:val="right"/>
              <w:spacing w:after="0"/>
              <w:rPr>
                <w:sz w:val="20"/>
                <w:szCs w:val="20"/>
                <w:color w:val="auto"/>
              </w:rPr>
            </w:pPr>
            <w:r>
              <w:rPr>
                <w:rFonts w:ascii="Arial" w:cs="Arial" w:eastAsia="Arial" w:hAnsi="Arial"/>
                <w:sz w:val="14"/>
                <w:szCs w:val="14"/>
                <w:color w:val="auto"/>
              </w:rPr>
              <w:t>5,290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Net proceeds from</w:t>
            </w: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public offering of</w:t>
            </w: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common units and</w:t>
            </w: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issuance of</w:t>
            </w: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preference units</w:t>
            </w:r>
          </w:p>
        </w:tc>
        <w:tc>
          <w:tcPr>
            <w:tcW w:w="1400" w:type="dxa"/>
            <w:vAlign w:val="bottom"/>
            <w:gridSpan w:val="3"/>
            <w:shd w:val="clear" w:color="auto" w:fill="E5FFFF"/>
          </w:tcPr>
          <w:p>
            <w:pPr>
              <w:jc w:val="right"/>
              <w:ind w:right="5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42</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4,600,000</w:t>
            </w:r>
          </w:p>
        </w:tc>
        <w:tc>
          <w:tcPr>
            <w:tcW w:w="240" w:type="dxa"/>
            <w:vAlign w:val="bottom"/>
            <w:shd w:val="clear" w:color="auto" w:fill="E5FFFF"/>
          </w:tcPr>
          <w:p>
            <w:pPr>
              <w:spacing w:after="0"/>
              <w:rPr>
                <w:sz w:val="14"/>
                <w:szCs w:val="14"/>
                <w:color w:val="auto"/>
              </w:rPr>
            </w:pPr>
          </w:p>
        </w:tc>
        <w:tc>
          <w:tcPr>
            <w:tcW w:w="7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111,155</w:t>
            </w: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111,197</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111,197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line="130" w:lineRule="exact"/>
              <w:rPr>
                <w:sz w:val="20"/>
                <w:szCs w:val="20"/>
                <w:color w:val="auto"/>
              </w:rPr>
            </w:pPr>
            <w:r>
              <w:rPr>
                <w:rFonts w:ascii="Arial" w:cs="Arial" w:eastAsia="Arial" w:hAnsi="Arial"/>
                <w:sz w:val="14"/>
                <w:szCs w:val="14"/>
                <w:color w:val="auto"/>
              </w:rPr>
              <w:t>Distributions</w:t>
            </w:r>
          </w:p>
        </w:tc>
        <w:tc>
          <w:tcPr>
            <w:tcW w:w="14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Arial" w:cs="Arial" w:eastAsia="Arial" w:hAnsi="Arial"/>
                <w:sz w:val="14"/>
                <w:szCs w:val="14"/>
                <w:color w:val="auto"/>
              </w:rPr>
              <w:t>declared</w:t>
            </w:r>
          </w:p>
        </w:tc>
        <w:tc>
          <w:tcPr>
            <w:tcW w:w="1400" w:type="dxa"/>
            <w:vAlign w:val="bottom"/>
            <w:gridSpan w:val="3"/>
            <w:vMerge w:val="continue"/>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(457)</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(21,465)</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(923)</w:t>
            </w:r>
          </w:p>
        </w:tc>
        <w:tc>
          <w:tcPr>
            <w:tcW w:w="1440" w:type="dxa"/>
            <w:vAlign w:val="bottom"/>
            <w:gridSpan w:val="3"/>
            <w:vMerge w:val="continue"/>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(4,619)</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(27,464)</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(27,464)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Share-based</w:t>
            </w: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compensation, net</w:t>
            </w: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of accrued</w:t>
            </w: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distribution</w:t>
            </w:r>
          </w:p>
        </w:tc>
        <w:tc>
          <w:tcPr>
            <w:tcW w:w="1400" w:type="dxa"/>
            <w:vAlign w:val="bottom"/>
            <w:gridSpan w:val="3"/>
            <w:shd w:val="clear" w:color="auto" w:fill="E5FFFF"/>
          </w:tcPr>
          <w:p>
            <w:pPr>
              <w:jc w:val="right"/>
              <w:ind w:right="5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3</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82</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78</w:t>
            </w:r>
          </w:p>
        </w:tc>
        <w:tc>
          <w:tcPr>
            <w:tcW w:w="1440" w:type="dxa"/>
            <w:vAlign w:val="bottom"/>
            <w:gridSpan w:val="3"/>
            <w:shd w:val="clear" w:color="auto" w:fill="E5FFFF"/>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163</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line="130" w:lineRule="exact"/>
              <w:rPr>
                <w:sz w:val="20"/>
                <w:szCs w:val="20"/>
                <w:color w:val="auto"/>
              </w:rPr>
            </w:pPr>
            <w:r>
              <w:rPr>
                <w:rFonts w:ascii="Arial" w:cs="Arial" w:eastAsia="Arial" w:hAnsi="Arial"/>
                <w:sz w:val="14"/>
                <w:szCs w:val="14"/>
                <w:color w:val="auto"/>
              </w:rPr>
              <w:t>Partnership’s profit</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and total</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comprehensive</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Arial" w:cs="Arial" w:eastAsia="Arial" w:hAnsi="Arial"/>
                <w:sz w:val="14"/>
                <w:szCs w:val="14"/>
                <w:color w:val="auto"/>
              </w:rPr>
              <w:t>income (Note 16)</w:t>
            </w:r>
          </w:p>
        </w:tc>
        <w:tc>
          <w:tcPr>
            <w:tcW w:w="140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539</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24,057</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2,368</w:t>
            </w:r>
          </w:p>
        </w:tc>
        <w:tc>
          <w:tcPr>
            <w:tcW w:w="144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5,038</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32,002</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32,002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20" w:type="dxa"/>
            <w:vAlign w:val="bottom"/>
            <w:tcBorders>
              <w:top w:val="single" w:sz="8" w:color="E5FFFF"/>
            </w:tcBorders>
            <w:shd w:val="clear" w:color="auto" w:fill="E5FFFF"/>
          </w:tcPr>
          <w:p>
            <w:pPr>
              <w:spacing w:after="0" w:line="106" w:lineRule="exact"/>
              <w:rPr>
                <w:sz w:val="20"/>
                <w:szCs w:val="20"/>
                <w:color w:val="auto"/>
              </w:rPr>
            </w:pPr>
            <w:r>
              <w:rPr>
                <w:rFonts w:ascii="Arial" w:cs="Arial" w:eastAsia="Arial" w:hAnsi="Arial"/>
                <w:sz w:val="12"/>
                <w:szCs w:val="12"/>
                <w:b w:val="1"/>
                <w:bCs w:val="1"/>
                <w:color w:val="auto"/>
              </w:rPr>
              <w:t>Balance as of</w:t>
            </w:r>
          </w:p>
        </w:tc>
        <w:tc>
          <w:tcPr>
            <w:tcW w:w="800" w:type="dxa"/>
            <w:vAlign w:val="bottom"/>
            <w:tcBorders>
              <w:top w:val="single" w:sz="8" w:color="auto"/>
            </w:tcBorders>
            <w:shd w:val="clear" w:color="auto" w:fill="E5FFFF"/>
          </w:tcPr>
          <w:p>
            <w:pPr>
              <w:spacing w:after="0"/>
              <w:rPr>
                <w:sz w:val="9"/>
                <w:szCs w:val="9"/>
                <w:color w:val="auto"/>
              </w:rPr>
            </w:pPr>
          </w:p>
        </w:tc>
        <w:tc>
          <w:tcPr>
            <w:tcW w:w="180" w:type="dxa"/>
            <w:vAlign w:val="bottom"/>
            <w:tcBorders>
              <w:top w:val="single" w:sz="8" w:color="E5FFFF"/>
            </w:tcBorders>
            <w:shd w:val="clear" w:color="auto" w:fill="E5FFFF"/>
          </w:tcPr>
          <w:p>
            <w:pPr>
              <w:spacing w:after="0"/>
              <w:rPr>
                <w:sz w:val="9"/>
                <w:szCs w:val="9"/>
                <w:color w:val="auto"/>
              </w:rPr>
            </w:pPr>
          </w:p>
        </w:tc>
        <w:tc>
          <w:tcPr>
            <w:tcW w:w="420" w:type="dxa"/>
            <w:vAlign w:val="bottom"/>
            <w:tcBorders>
              <w:top w:val="single" w:sz="8" w:color="auto"/>
            </w:tcBorders>
            <w:shd w:val="clear" w:color="auto" w:fill="E5FFFF"/>
          </w:tcPr>
          <w:p>
            <w:pPr>
              <w:spacing w:after="0"/>
              <w:rPr>
                <w:sz w:val="9"/>
                <w:szCs w:val="9"/>
                <w:color w:val="auto"/>
              </w:rPr>
            </w:pPr>
          </w:p>
        </w:tc>
        <w:tc>
          <w:tcPr>
            <w:tcW w:w="400" w:type="dxa"/>
            <w:vAlign w:val="bottom"/>
            <w:tcBorders>
              <w:top w:val="single" w:sz="8" w:color="auto"/>
            </w:tcBorders>
            <w:shd w:val="clear" w:color="auto" w:fill="E5FFFF"/>
          </w:tcPr>
          <w:p>
            <w:pPr>
              <w:spacing w:after="0"/>
              <w:rPr>
                <w:sz w:val="9"/>
                <w:szCs w:val="9"/>
                <w:color w:val="auto"/>
              </w:rPr>
            </w:pPr>
          </w:p>
        </w:tc>
        <w:tc>
          <w:tcPr>
            <w:tcW w:w="180" w:type="dxa"/>
            <w:vAlign w:val="bottom"/>
            <w:tcBorders>
              <w:top w:val="single" w:sz="8" w:color="E5FFFF"/>
            </w:tcBorders>
            <w:shd w:val="clear" w:color="auto" w:fill="E5FFFF"/>
          </w:tcPr>
          <w:p>
            <w:pPr>
              <w:spacing w:after="0"/>
              <w:rPr>
                <w:sz w:val="9"/>
                <w:szCs w:val="9"/>
                <w:color w:val="auto"/>
              </w:rPr>
            </w:pPr>
          </w:p>
        </w:tc>
        <w:tc>
          <w:tcPr>
            <w:tcW w:w="800" w:type="dxa"/>
            <w:vAlign w:val="bottom"/>
            <w:tcBorders>
              <w:top w:val="single" w:sz="8" w:color="auto"/>
            </w:tcBorders>
            <w:shd w:val="clear" w:color="auto" w:fill="E5FFFF"/>
          </w:tcPr>
          <w:p>
            <w:pPr>
              <w:spacing w:after="0"/>
              <w:rPr>
                <w:sz w:val="9"/>
                <w:szCs w:val="9"/>
                <w:color w:val="auto"/>
              </w:rPr>
            </w:pPr>
          </w:p>
        </w:tc>
        <w:tc>
          <w:tcPr>
            <w:tcW w:w="180" w:type="dxa"/>
            <w:vAlign w:val="bottom"/>
            <w:tcBorders>
              <w:top w:val="single" w:sz="8" w:color="E5FFFF"/>
            </w:tcBorders>
            <w:shd w:val="clear" w:color="auto" w:fill="E5FFFF"/>
          </w:tcPr>
          <w:p>
            <w:pPr>
              <w:spacing w:after="0"/>
              <w:rPr>
                <w:sz w:val="9"/>
                <w:szCs w:val="9"/>
                <w:color w:val="auto"/>
              </w:rPr>
            </w:pPr>
          </w:p>
        </w:tc>
        <w:tc>
          <w:tcPr>
            <w:tcW w:w="800" w:type="dxa"/>
            <w:vAlign w:val="bottom"/>
            <w:tcBorders>
              <w:top w:val="single" w:sz="8" w:color="auto"/>
            </w:tcBorders>
            <w:shd w:val="clear" w:color="auto" w:fill="E5FFFF"/>
          </w:tcPr>
          <w:p>
            <w:pPr>
              <w:spacing w:after="0"/>
              <w:rPr>
                <w:sz w:val="9"/>
                <w:szCs w:val="9"/>
                <w:color w:val="auto"/>
              </w:rPr>
            </w:pPr>
          </w:p>
        </w:tc>
        <w:tc>
          <w:tcPr>
            <w:tcW w:w="180" w:type="dxa"/>
            <w:vAlign w:val="bottom"/>
            <w:tcBorders>
              <w:top w:val="single" w:sz="8" w:color="E5FFFF"/>
            </w:tcBorders>
            <w:shd w:val="clear" w:color="auto" w:fill="E5FFFF"/>
          </w:tcPr>
          <w:p>
            <w:pPr>
              <w:spacing w:after="0"/>
              <w:rPr>
                <w:sz w:val="9"/>
                <w:szCs w:val="9"/>
                <w:color w:val="auto"/>
              </w:rPr>
            </w:pPr>
          </w:p>
        </w:tc>
        <w:tc>
          <w:tcPr>
            <w:tcW w:w="80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1020" w:type="dxa"/>
            <w:vAlign w:val="bottom"/>
            <w:tcBorders>
              <w:top w:val="single" w:sz="8" w:color="auto"/>
            </w:tcBorders>
            <w:shd w:val="clear" w:color="auto" w:fill="E5FFFF"/>
          </w:tcPr>
          <w:p>
            <w:pPr>
              <w:spacing w:after="0"/>
              <w:rPr>
                <w:sz w:val="9"/>
                <w:szCs w:val="9"/>
                <w:color w:val="auto"/>
              </w:rPr>
            </w:pPr>
          </w:p>
        </w:tc>
        <w:tc>
          <w:tcPr>
            <w:tcW w:w="180" w:type="dxa"/>
            <w:vAlign w:val="bottom"/>
            <w:tcBorders>
              <w:top w:val="single" w:sz="8" w:color="E5FFFF"/>
            </w:tcBorders>
            <w:shd w:val="clear" w:color="auto" w:fill="E5FFFF"/>
          </w:tcPr>
          <w:p>
            <w:pPr>
              <w:spacing w:after="0"/>
              <w:rPr>
                <w:sz w:val="9"/>
                <w:szCs w:val="9"/>
                <w:color w:val="auto"/>
              </w:rPr>
            </w:pPr>
          </w:p>
        </w:tc>
        <w:tc>
          <w:tcPr>
            <w:tcW w:w="240" w:type="dxa"/>
            <w:vAlign w:val="bottom"/>
            <w:tcBorders>
              <w:top w:val="single" w:sz="8" w:color="auto"/>
            </w:tcBorders>
            <w:shd w:val="clear" w:color="auto" w:fill="E5FFFF"/>
          </w:tcPr>
          <w:p>
            <w:pPr>
              <w:spacing w:after="0"/>
              <w:rPr>
                <w:sz w:val="9"/>
                <w:szCs w:val="9"/>
                <w:color w:val="auto"/>
              </w:rPr>
            </w:pPr>
          </w:p>
        </w:tc>
        <w:tc>
          <w:tcPr>
            <w:tcW w:w="54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92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80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800" w:type="dxa"/>
            <w:vAlign w:val="bottom"/>
            <w:tcBorders>
              <w:top w:val="single" w:sz="8" w:color="auto"/>
            </w:tcBorders>
            <w:shd w:val="clear" w:color="auto" w:fill="E5FF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b w:val="1"/>
                <w:bCs w:val="1"/>
                <w:color w:val="auto"/>
              </w:rPr>
              <w:t>March 31, 2018</w:t>
            </w:r>
          </w:p>
        </w:tc>
        <w:tc>
          <w:tcPr>
            <w:tcW w:w="9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836,779</w:t>
            </w:r>
          </w:p>
        </w:tc>
        <w:tc>
          <w:tcPr>
            <w:tcW w:w="420" w:type="dxa"/>
            <w:vAlign w:val="bottom"/>
            <w:shd w:val="clear" w:color="auto" w:fill="E5FFFF"/>
          </w:tcPr>
          <w:p>
            <w:pPr>
              <w:spacing w:after="0"/>
              <w:rPr>
                <w:sz w:val="12"/>
                <w:szCs w:val="12"/>
                <w:color w:val="auto"/>
              </w:rPr>
            </w:pPr>
          </w:p>
        </w:tc>
        <w:tc>
          <w:tcPr>
            <w:tcW w:w="5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w w:val="88"/>
              </w:rPr>
              <w:t>11,866</w:t>
            </w: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41,002,121</w:t>
            </w:r>
          </w:p>
        </w:tc>
        <w:tc>
          <w:tcPr>
            <w:tcW w:w="180" w:type="dxa"/>
            <w:vAlign w:val="bottom"/>
            <w:shd w:val="clear" w:color="auto" w:fill="E5FFFF"/>
          </w:tcPr>
          <w:p>
            <w:pPr>
              <w:spacing w:after="0"/>
              <w:rPr>
                <w:sz w:val="12"/>
                <w:szCs w:val="12"/>
                <w:color w:val="auto"/>
              </w:rPr>
            </w:pP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755,172</w:t>
            </w:r>
          </w:p>
        </w:tc>
        <w:tc>
          <w:tcPr>
            <w:tcW w:w="96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8,119</w:t>
            </w:r>
          </w:p>
        </w:tc>
        <w:tc>
          <w:tcPr>
            <w:tcW w:w="120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10,350,000</w:t>
            </w:r>
          </w:p>
        </w:tc>
        <w:tc>
          <w:tcPr>
            <w:tcW w:w="240" w:type="dxa"/>
            <w:vAlign w:val="bottom"/>
            <w:shd w:val="clear" w:color="auto" w:fill="E5FFFF"/>
          </w:tcPr>
          <w:p>
            <w:pPr>
              <w:spacing w:after="0"/>
              <w:rPr>
                <w:sz w:val="12"/>
                <w:szCs w:val="12"/>
                <w:color w:val="auto"/>
              </w:rPr>
            </w:pPr>
          </w:p>
        </w:tc>
        <w:tc>
          <w:tcPr>
            <w:tcW w:w="70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250,895</w:t>
            </w:r>
          </w:p>
        </w:tc>
        <w:tc>
          <w:tcPr>
            <w:tcW w:w="10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1,026,052</w:t>
            </w:r>
          </w:p>
        </w:tc>
        <w:tc>
          <w:tcPr>
            <w:tcW w:w="96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160,844</w:t>
            </w: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1,186,896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20" w:type="dxa"/>
            <w:vAlign w:val="bottom"/>
            <w:shd w:val="clear" w:color="auto" w:fill="E5FFFF"/>
          </w:tcPr>
          <w:p>
            <w:pPr>
              <w:ind w:left="160"/>
              <w:spacing w:after="0" w:line="158" w:lineRule="exact"/>
              <w:rPr>
                <w:sz w:val="20"/>
                <w:szCs w:val="20"/>
                <w:color w:val="auto"/>
              </w:rPr>
            </w:pPr>
            <w:r>
              <w:rPr>
                <w:rFonts w:ascii="Arial" w:cs="Arial" w:eastAsia="Arial" w:hAnsi="Arial"/>
                <w:sz w:val="14"/>
                <w:szCs w:val="14"/>
                <w:b w:val="1"/>
                <w:bCs w:val="1"/>
                <w:color w:val="auto"/>
              </w:rPr>
              <w:t>(as restated</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w:t>
            </w:r>
          </w:p>
        </w:tc>
        <w:tc>
          <w:tcPr>
            <w:tcW w:w="980" w:type="dxa"/>
            <w:vAlign w:val="bottom"/>
            <w:gridSpan w:val="2"/>
            <w:vMerge w:val="continue"/>
            <w:shd w:val="clear" w:color="auto" w:fill="E5FFFF"/>
          </w:tcPr>
          <w:p>
            <w:pPr>
              <w:spacing w:after="0"/>
              <w:rPr>
                <w:sz w:val="13"/>
                <w:szCs w:val="13"/>
                <w:color w:val="auto"/>
              </w:rPr>
            </w:pPr>
          </w:p>
        </w:tc>
        <w:tc>
          <w:tcPr>
            <w:tcW w:w="420" w:type="dxa"/>
            <w:vAlign w:val="bottom"/>
            <w:shd w:val="clear" w:color="auto" w:fill="E5FFFF"/>
          </w:tcPr>
          <w:p>
            <w:pPr>
              <w:spacing w:after="0"/>
              <w:rPr>
                <w:sz w:val="13"/>
                <w:szCs w:val="13"/>
                <w:color w:val="auto"/>
              </w:rPr>
            </w:pPr>
          </w:p>
        </w:tc>
        <w:tc>
          <w:tcPr>
            <w:tcW w:w="580" w:type="dxa"/>
            <w:vAlign w:val="bottom"/>
            <w:gridSpan w:val="2"/>
            <w:vMerge w:val="continue"/>
            <w:shd w:val="clear" w:color="auto" w:fill="E5FFFF"/>
          </w:tcPr>
          <w:p>
            <w:pPr>
              <w:spacing w:after="0"/>
              <w:rPr>
                <w:sz w:val="13"/>
                <w:szCs w:val="13"/>
                <w:color w:val="auto"/>
              </w:rPr>
            </w:pPr>
          </w:p>
        </w:tc>
        <w:tc>
          <w:tcPr>
            <w:tcW w:w="800" w:type="dxa"/>
            <w:vAlign w:val="bottom"/>
            <w:vMerge w:val="continue"/>
            <w:shd w:val="clear" w:color="auto" w:fill="E5FFFF"/>
          </w:tcPr>
          <w:p>
            <w:pPr>
              <w:spacing w:after="0"/>
              <w:rPr>
                <w:sz w:val="13"/>
                <w:szCs w:val="13"/>
                <w:color w:val="auto"/>
              </w:rPr>
            </w:pPr>
          </w:p>
        </w:tc>
        <w:tc>
          <w:tcPr>
            <w:tcW w:w="180" w:type="dxa"/>
            <w:vAlign w:val="bottom"/>
            <w:shd w:val="clear" w:color="auto" w:fill="E5FFFF"/>
          </w:tcPr>
          <w:p>
            <w:pPr>
              <w:spacing w:after="0"/>
              <w:rPr>
                <w:sz w:val="13"/>
                <w:szCs w:val="13"/>
                <w:color w:val="auto"/>
              </w:rPr>
            </w:pPr>
          </w:p>
        </w:tc>
        <w:tc>
          <w:tcPr>
            <w:tcW w:w="980" w:type="dxa"/>
            <w:vAlign w:val="bottom"/>
            <w:gridSpan w:val="2"/>
            <w:vMerge w:val="continue"/>
            <w:shd w:val="clear" w:color="auto" w:fill="E5FFFF"/>
          </w:tcPr>
          <w:p>
            <w:pPr>
              <w:spacing w:after="0"/>
              <w:rPr>
                <w:sz w:val="13"/>
                <w:szCs w:val="13"/>
                <w:color w:val="auto"/>
              </w:rPr>
            </w:pPr>
          </w:p>
        </w:tc>
        <w:tc>
          <w:tcPr>
            <w:tcW w:w="960" w:type="dxa"/>
            <w:vAlign w:val="bottom"/>
            <w:gridSpan w:val="2"/>
            <w:vMerge w:val="continue"/>
            <w:shd w:val="clear" w:color="auto" w:fill="E5FFFF"/>
          </w:tcPr>
          <w:p>
            <w:pPr>
              <w:spacing w:after="0"/>
              <w:rPr>
                <w:sz w:val="13"/>
                <w:szCs w:val="13"/>
                <w:color w:val="auto"/>
              </w:rPr>
            </w:pPr>
          </w:p>
        </w:tc>
        <w:tc>
          <w:tcPr>
            <w:tcW w:w="1200" w:type="dxa"/>
            <w:vAlign w:val="bottom"/>
            <w:gridSpan w:val="2"/>
            <w:vMerge w:val="continue"/>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700" w:type="dxa"/>
            <w:vAlign w:val="bottom"/>
            <w:gridSpan w:val="2"/>
            <w:vMerge w:val="continue"/>
            <w:shd w:val="clear" w:color="auto" w:fill="E5FFFF"/>
          </w:tcPr>
          <w:p>
            <w:pPr>
              <w:spacing w:after="0"/>
              <w:rPr>
                <w:sz w:val="13"/>
                <w:szCs w:val="13"/>
                <w:color w:val="auto"/>
              </w:rPr>
            </w:pPr>
          </w:p>
        </w:tc>
        <w:tc>
          <w:tcPr>
            <w:tcW w:w="1080" w:type="dxa"/>
            <w:vAlign w:val="bottom"/>
            <w:gridSpan w:val="2"/>
            <w:vMerge w:val="continue"/>
            <w:shd w:val="clear" w:color="auto" w:fill="E5FFFF"/>
          </w:tcPr>
          <w:p>
            <w:pPr>
              <w:spacing w:after="0"/>
              <w:rPr>
                <w:sz w:val="13"/>
                <w:szCs w:val="13"/>
                <w:color w:val="auto"/>
              </w:rPr>
            </w:pPr>
          </w:p>
        </w:tc>
        <w:tc>
          <w:tcPr>
            <w:tcW w:w="960" w:type="dxa"/>
            <w:vAlign w:val="bottom"/>
            <w:gridSpan w:val="2"/>
            <w:vMerge w:val="continue"/>
            <w:shd w:val="clear" w:color="auto" w:fill="E5FFFF"/>
          </w:tcPr>
          <w:p>
            <w:pPr>
              <w:spacing w:after="0"/>
              <w:rPr>
                <w:sz w:val="13"/>
                <w:szCs w:val="13"/>
                <w:color w:val="auto"/>
              </w:rPr>
            </w:pPr>
          </w:p>
        </w:tc>
        <w:tc>
          <w:tcPr>
            <w:tcW w:w="800" w:type="dxa"/>
            <w:vAlign w:val="bottom"/>
            <w:vMerge w:val="continue"/>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420" w:type="dxa"/>
            <w:vAlign w:val="bottom"/>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80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420" w:type="dxa"/>
            <w:vAlign w:val="bottom"/>
            <w:shd w:val="clear" w:color="auto" w:fill="E5FFFF"/>
          </w:tcPr>
          <w:p>
            <w:pPr>
              <w:spacing w:after="0"/>
              <w:rPr>
                <w:sz w:val="10"/>
                <w:szCs w:val="10"/>
                <w:color w:val="auto"/>
              </w:rPr>
            </w:pPr>
          </w:p>
        </w:tc>
        <w:tc>
          <w:tcPr>
            <w:tcW w:w="40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2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5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927,532</w:t>
            </w:r>
          </w:p>
        </w:tc>
        <w:tc>
          <w:tcPr>
            <w:tcW w:w="420" w:type="dxa"/>
            <w:vAlign w:val="bottom"/>
            <w:shd w:val="clear" w:color="auto" w:fill="E5FFFF"/>
          </w:tcPr>
          <w:p>
            <w:pPr>
              <w:spacing w:after="0"/>
              <w:rPr>
                <w:sz w:val="12"/>
                <w:szCs w:val="12"/>
                <w:color w:val="auto"/>
              </w:rPr>
            </w:pPr>
          </w:p>
        </w:tc>
        <w:tc>
          <w:tcPr>
            <w:tcW w:w="5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w w:val="88"/>
              </w:rPr>
              <w:t>13,289</w:t>
            </w: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45,448,993</w:t>
            </w:r>
          </w:p>
        </w:tc>
        <w:tc>
          <w:tcPr>
            <w:tcW w:w="180" w:type="dxa"/>
            <w:vAlign w:val="bottom"/>
            <w:shd w:val="clear" w:color="auto" w:fill="E5FFFF"/>
          </w:tcPr>
          <w:p>
            <w:pPr>
              <w:spacing w:after="0"/>
              <w:rPr>
                <w:sz w:val="12"/>
                <w:szCs w:val="12"/>
                <w:color w:val="auto"/>
              </w:rPr>
            </w:pP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812,863</w:t>
            </w:r>
          </w:p>
        </w:tc>
        <w:tc>
          <w:tcPr>
            <w:tcW w:w="96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5,176</w:t>
            </w:r>
          </w:p>
        </w:tc>
        <w:tc>
          <w:tcPr>
            <w:tcW w:w="120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14,350,000</w:t>
            </w:r>
          </w:p>
        </w:tc>
        <w:tc>
          <w:tcPr>
            <w:tcW w:w="240" w:type="dxa"/>
            <w:vAlign w:val="bottom"/>
            <w:shd w:val="clear" w:color="auto" w:fill="E5FFFF"/>
          </w:tcPr>
          <w:p>
            <w:pPr>
              <w:spacing w:after="0"/>
              <w:rPr>
                <w:sz w:val="12"/>
                <w:szCs w:val="12"/>
                <w:color w:val="auto"/>
              </w:rPr>
            </w:pPr>
          </w:p>
        </w:tc>
        <w:tc>
          <w:tcPr>
            <w:tcW w:w="70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348,331</w:t>
            </w:r>
          </w:p>
        </w:tc>
        <w:tc>
          <w:tcPr>
            <w:tcW w:w="10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1,179,659</w:t>
            </w:r>
          </w:p>
        </w:tc>
        <w:tc>
          <w:tcPr>
            <w:tcW w:w="96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1,179,659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shd w:val="clear" w:color="auto" w:fill="E5FFFF"/>
          </w:tcPr>
          <w:p>
            <w:pPr>
              <w:ind w:left="160"/>
              <w:spacing w:after="0"/>
              <w:rPr>
                <w:sz w:val="20"/>
                <w:szCs w:val="20"/>
                <w:color w:val="auto"/>
              </w:rPr>
            </w:pPr>
            <w:r>
              <w:rPr>
                <w:rFonts w:ascii="Arial" w:cs="Arial" w:eastAsia="Arial" w:hAnsi="Arial"/>
                <w:sz w:val="14"/>
                <w:szCs w:val="14"/>
                <w:b w:val="1"/>
                <w:bCs w:val="1"/>
                <w:color w:val="auto"/>
              </w:rPr>
              <w:t>2018</w:t>
            </w:r>
          </w:p>
        </w:tc>
        <w:tc>
          <w:tcPr>
            <w:tcW w:w="980" w:type="dxa"/>
            <w:vAlign w:val="bottom"/>
            <w:gridSpan w:val="2"/>
            <w:vMerge w:val="continue"/>
            <w:shd w:val="clear" w:color="auto" w:fill="E5FFFF"/>
          </w:tcPr>
          <w:p>
            <w:pPr>
              <w:spacing w:after="0"/>
              <w:rPr>
                <w:sz w:val="14"/>
                <w:szCs w:val="14"/>
                <w:color w:val="auto"/>
              </w:rPr>
            </w:pPr>
          </w:p>
        </w:tc>
        <w:tc>
          <w:tcPr>
            <w:tcW w:w="420" w:type="dxa"/>
            <w:vAlign w:val="bottom"/>
            <w:shd w:val="clear" w:color="auto" w:fill="E5FFFF"/>
          </w:tcPr>
          <w:p>
            <w:pPr>
              <w:spacing w:after="0"/>
              <w:rPr>
                <w:sz w:val="14"/>
                <w:szCs w:val="14"/>
                <w:color w:val="auto"/>
              </w:rPr>
            </w:pPr>
          </w:p>
        </w:tc>
        <w:tc>
          <w:tcPr>
            <w:tcW w:w="580" w:type="dxa"/>
            <w:vAlign w:val="bottom"/>
            <w:gridSpan w:val="2"/>
            <w:vMerge w:val="continue"/>
            <w:shd w:val="clear" w:color="auto" w:fill="E5FFFF"/>
          </w:tcPr>
          <w:p>
            <w:pPr>
              <w:spacing w:after="0"/>
              <w:rPr>
                <w:sz w:val="14"/>
                <w:szCs w:val="14"/>
                <w:color w:val="auto"/>
              </w:rPr>
            </w:pPr>
          </w:p>
        </w:tc>
        <w:tc>
          <w:tcPr>
            <w:tcW w:w="800" w:type="dxa"/>
            <w:vAlign w:val="bottom"/>
            <w:vMerge w:val="continue"/>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1200" w:type="dxa"/>
            <w:vAlign w:val="bottom"/>
            <w:gridSpan w:val="2"/>
            <w:vMerge w:val="continue"/>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700" w:type="dxa"/>
            <w:vAlign w:val="bottom"/>
            <w:gridSpan w:val="2"/>
            <w:vMerge w:val="continue"/>
            <w:shd w:val="clear" w:color="auto" w:fill="E5FFFF"/>
          </w:tcPr>
          <w:p>
            <w:pPr>
              <w:spacing w:after="0"/>
              <w:rPr>
                <w:sz w:val="14"/>
                <w:szCs w:val="14"/>
                <w:color w:val="auto"/>
              </w:rPr>
            </w:pPr>
          </w:p>
        </w:tc>
        <w:tc>
          <w:tcPr>
            <w:tcW w:w="1080" w:type="dxa"/>
            <w:vAlign w:val="bottom"/>
            <w:gridSpan w:val="2"/>
            <w:vMerge w:val="continue"/>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800" w:type="dxa"/>
            <w:vAlign w:val="bottom"/>
            <w:vMerge w:val="continue"/>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IFRS 16 adjustment</w:t>
            </w:r>
          </w:p>
        </w:tc>
        <w:tc>
          <w:tcPr>
            <w:tcW w:w="14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20" w:type="dxa"/>
            <w:vAlign w:val="bottom"/>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at</w:t>
            </w:r>
          </w:p>
        </w:tc>
        <w:tc>
          <w:tcPr>
            <w:tcW w:w="80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420" w:type="dxa"/>
            <w:vAlign w:val="bottom"/>
            <w:shd w:val="clear" w:color="auto" w:fill="E5FFFF"/>
          </w:tcPr>
          <w:p>
            <w:pPr>
              <w:spacing w:after="0"/>
              <w:rPr>
                <w:sz w:val="10"/>
                <w:szCs w:val="10"/>
                <w:color w:val="auto"/>
              </w:rPr>
            </w:pPr>
          </w:p>
        </w:tc>
        <w:tc>
          <w:tcPr>
            <w:tcW w:w="40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2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5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92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0" w:type="dxa"/>
            <w:vAlign w:val="bottom"/>
            <w:shd w:val="clear" w:color="auto" w:fill="E5FF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b w:val="1"/>
                <w:bCs w:val="1"/>
                <w:color w:val="auto"/>
              </w:rPr>
              <w:t>January 1, 2019</w:t>
            </w:r>
          </w:p>
        </w:tc>
        <w:tc>
          <w:tcPr>
            <w:tcW w:w="9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927,532</w:t>
            </w:r>
          </w:p>
        </w:tc>
        <w:tc>
          <w:tcPr>
            <w:tcW w:w="420" w:type="dxa"/>
            <w:vAlign w:val="bottom"/>
            <w:shd w:val="clear" w:color="auto" w:fill="E5FFFF"/>
          </w:tcPr>
          <w:p>
            <w:pPr>
              <w:spacing w:after="0"/>
              <w:rPr>
                <w:sz w:val="12"/>
                <w:szCs w:val="12"/>
                <w:color w:val="auto"/>
              </w:rPr>
            </w:pPr>
          </w:p>
        </w:tc>
        <w:tc>
          <w:tcPr>
            <w:tcW w:w="5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w w:val="88"/>
              </w:rPr>
              <w:t>13,293</w:t>
            </w: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45,448,993</w:t>
            </w:r>
          </w:p>
        </w:tc>
        <w:tc>
          <w:tcPr>
            <w:tcW w:w="180" w:type="dxa"/>
            <w:vAlign w:val="bottom"/>
            <w:shd w:val="clear" w:color="auto" w:fill="E5FFFF"/>
          </w:tcPr>
          <w:p>
            <w:pPr>
              <w:spacing w:after="0"/>
              <w:rPr>
                <w:sz w:val="12"/>
                <w:szCs w:val="12"/>
                <w:color w:val="auto"/>
              </w:rPr>
            </w:pPr>
          </w:p>
        </w:tc>
        <w:tc>
          <w:tcPr>
            <w:tcW w:w="9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813,036</w:t>
            </w:r>
          </w:p>
        </w:tc>
        <w:tc>
          <w:tcPr>
            <w:tcW w:w="96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5,176</w:t>
            </w:r>
          </w:p>
        </w:tc>
        <w:tc>
          <w:tcPr>
            <w:tcW w:w="120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4"/>
                <w:szCs w:val="14"/>
                <w:b w:val="1"/>
                <w:bCs w:val="1"/>
                <w:color w:val="auto"/>
              </w:rPr>
              <w:t>14,350,000</w:t>
            </w:r>
          </w:p>
        </w:tc>
        <w:tc>
          <w:tcPr>
            <w:tcW w:w="240" w:type="dxa"/>
            <w:vAlign w:val="bottom"/>
            <w:shd w:val="clear" w:color="auto" w:fill="E5FFFF"/>
          </w:tcPr>
          <w:p>
            <w:pPr>
              <w:spacing w:after="0"/>
              <w:rPr>
                <w:sz w:val="12"/>
                <w:szCs w:val="12"/>
                <w:color w:val="auto"/>
              </w:rPr>
            </w:pPr>
          </w:p>
        </w:tc>
        <w:tc>
          <w:tcPr>
            <w:tcW w:w="70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348,331</w:t>
            </w:r>
          </w:p>
        </w:tc>
        <w:tc>
          <w:tcPr>
            <w:tcW w:w="10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1,179,836</w:t>
            </w:r>
          </w:p>
        </w:tc>
        <w:tc>
          <w:tcPr>
            <w:tcW w:w="96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1,179,836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shd w:val="clear" w:color="auto" w:fill="E5FFFF"/>
          </w:tcPr>
          <w:p>
            <w:pPr>
              <w:ind w:left="160"/>
              <w:spacing w:after="0" w:line="172" w:lineRule="exact"/>
              <w:rPr>
                <w:sz w:val="20"/>
                <w:szCs w:val="20"/>
                <w:color w:val="auto"/>
              </w:rPr>
            </w:pPr>
            <w:r>
              <w:rPr>
                <w:rFonts w:ascii="Arial" w:cs="Arial" w:eastAsia="Arial" w:hAnsi="Arial"/>
                <w:sz w:val="14"/>
                <w:szCs w:val="14"/>
                <w:b w:val="1"/>
                <w:bCs w:val="1"/>
                <w:color w:val="auto"/>
              </w:rPr>
              <w:t>(as restated</w:t>
            </w:r>
            <w:r>
              <w:rPr>
                <w:rFonts w:ascii="Arial" w:cs="Arial" w:eastAsia="Arial" w:hAnsi="Arial"/>
                <w:sz w:val="17"/>
                <w:szCs w:val="17"/>
                <w:b w:val="1"/>
                <w:bCs w:val="1"/>
                <w:color w:val="auto"/>
                <w:vertAlign w:val="superscript"/>
              </w:rPr>
              <w:t>(2)</w:t>
            </w:r>
            <w:r>
              <w:rPr>
                <w:rFonts w:ascii="Arial" w:cs="Arial" w:eastAsia="Arial" w:hAnsi="Arial"/>
                <w:sz w:val="14"/>
                <w:szCs w:val="14"/>
                <w:b w:val="1"/>
                <w:bCs w:val="1"/>
                <w:color w:val="auto"/>
              </w:rPr>
              <w:t>)</w:t>
            </w:r>
          </w:p>
        </w:tc>
        <w:tc>
          <w:tcPr>
            <w:tcW w:w="980" w:type="dxa"/>
            <w:vAlign w:val="bottom"/>
            <w:gridSpan w:val="2"/>
            <w:vMerge w:val="continue"/>
            <w:shd w:val="clear" w:color="auto" w:fill="E5FFFF"/>
          </w:tcPr>
          <w:p>
            <w:pPr>
              <w:spacing w:after="0"/>
              <w:rPr>
                <w:sz w:val="14"/>
                <w:szCs w:val="14"/>
                <w:color w:val="auto"/>
              </w:rPr>
            </w:pPr>
          </w:p>
        </w:tc>
        <w:tc>
          <w:tcPr>
            <w:tcW w:w="420" w:type="dxa"/>
            <w:vAlign w:val="bottom"/>
            <w:shd w:val="clear" w:color="auto" w:fill="E5FFFF"/>
          </w:tcPr>
          <w:p>
            <w:pPr>
              <w:spacing w:after="0"/>
              <w:rPr>
                <w:sz w:val="14"/>
                <w:szCs w:val="14"/>
                <w:color w:val="auto"/>
              </w:rPr>
            </w:pPr>
          </w:p>
        </w:tc>
        <w:tc>
          <w:tcPr>
            <w:tcW w:w="580" w:type="dxa"/>
            <w:vAlign w:val="bottom"/>
            <w:gridSpan w:val="2"/>
            <w:vMerge w:val="continue"/>
            <w:shd w:val="clear" w:color="auto" w:fill="E5FFFF"/>
          </w:tcPr>
          <w:p>
            <w:pPr>
              <w:spacing w:after="0"/>
              <w:rPr>
                <w:sz w:val="14"/>
                <w:szCs w:val="14"/>
                <w:color w:val="auto"/>
              </w:rPr>
            </w:pPr>
          </w:p>
        </w:tc>
        <w:tc>
          <w:tcPr>
            <w:tcW w:w="800" w:type="dxa"/>
            <w:vAlign w:val="bottom"/>
            <w:vMerge w:val="continue"/>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1200" w:type="dxa"/>
            <w:vAlign w:val="bottom"/>
            <w:gridSpan w:val="2"/>
            <w:vMerge w:val="continue"/>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700" w:type="dxa"/>
            <w:vAlign w:val="bottom"/>
            <w:gridSpan w:val="2"/>
            <w:vMerge w:val="continue"/>
            <w:shd w:val="clear" w:color="auto" w:fill="E5FFFF"/>
          </w:tcPr>
          <w:p>
            <w:pPr>
              <w:spacing w:after="0"/>
              <w:rPr>
                <w:sz w:val="14"/>
                <w:szCs w:val="14"/>
                <w:color w:val="auto"/>
              </w:rPr>
            </w:pPr>
          </w:p>
        </w:tc>
        <w:tc>
          <w:tcPr>
            <w:tcW w:w="1080" w:type="dxa"/>
            <w:vAlign w:val="bottom"/>
            <w:gridSpan w:val="2"/>
            <w:vMerge w:val="continue"/>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800" w:type="dxa"/>
            <w:vAlign w:val="bottom"/>
            <w:vMerge w:val="continue"/>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Equity offering costs</w:t>
            </w:r>
          </w:p>
        </w:tc>
        <w:tc>
          <w:tcPr>
            <w:tcW w:w="14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1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Distributions</w:t>
            </w: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declared (Note</w:t>
            </w:r>
          </w:p>
        </w:tc>
        <w:tc>
          <w:tcPr>
            <w:tcW w:w="1400" w:type="dxa"/>
            <w:vAlign w:val="bottom"/>
            <w:gridSpan w:val="3"/>
            <w:vMerge w:val="restart"/>
            <w:shd w:val="clear" w:color="auto" w:fill="E5FFFF"/>
          </w:tcPr>
          <w:p>
            <w:pPr>
              <w:jc w:val="right"/>
              <w:ind w:right="5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40" w:type="dxa"/>
            <w:vAlign w:val="bottom"/>
            <w:gridSpan w:val="3"/>
            <w:vMerge w:val="restart"/>
            <w:shd w:val="clear" w:color="auto" w:fill="E5FFFF"/>
          </w:tcPr>
          <w:p>
            <w:pPr>
              <w:jc w:val="right"/>
              <w:ind w:right="42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15)</w:t>
            </w:r>
          </w:p>
        </w:tc>
        <w:tc>
          <w:tcPr>
            <w:tcW w:w="1400" w:type="dxa"/>
            <w:vAlign w:val="bottom"/>
            <w:gridSpan w:val="3"/>
            <w:vMerge w:val="continue"/>
            <w:shd w:val="clear" w:color="auto" w:fill="E5FFFF"/>
          </w:tcPr>
          <w:p>
            <w:pPr>
              <w:spacing w:after="0"/>
              <w:rPr>
                <w:sz w:val="14"/>
                <w:szCs w:val="14"/>
                <w:color w:val="auto"/>
              </w:rPr>
            </w:pPr>
          </w:p>
        </w:tc>
        <w:tc>
          <w:tcPr>
            <w:tcW w:w="58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(539)</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(24,997)</w:t>
            </w:r>
          </w:p>
        </w:tc>
        <w:tc>
          <w:tcPr>
            <w:tcW w:w="96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(1,393)</w:t>
            </w:r>
          </w:p>
        </w:tc>
        <w:tc>
          <w:tcPr>
            <w:tcW w:w="1440" w:type="dxa"/>
            <w:vAlign w:val="bottom"/>
            <w:gridSpan w:val="3"/>
            <w:vMerge w:val="continue"/>
            <w:shd w:val="clear" w:color="auto" w:fill="E5FFFF"/>
          </w:tcPr>
          <w:p>
            <w:pPr>
              <w:spacing w:after="0"/>
              <w:rPr>
                <w:sz w:val="14"/>
                <w:szCs w:val="14"/>
                <w:color w:val="auto"/>
              </w:rPr>
            </w:pPr>
          </w:p>
        </w:tc>
        <w:tc>
          <w:tcPr>
            <w:tcW w:w="7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(8,290)</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(35,219)</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4"/>
                <w:szCs w:val="14"/>
                <w:color w:val="auto"/>
              </w:rPr>
              <w:t>(35,219)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line="130" w:lineRule="exact"/>
              <w:rPr>
                <w:sz w:val="20"/>
                <w:szCs w:val="20"/>
                <w:color w:val="auto"/>
              </w:rPr>
            </w:pPr>
            <w:r>
              <w:rPr>
                <w:rFonts w:ascii="Arial" w:cs="Arial" w:eastAsia="Arial" w:hAnsi="Arial"/>
                <w:sz w:val="14"/>
                <w:szCs w:val="14"/>
                <w:color w:val="auto"/>
              </w:rPr>
              <w:t>Share-based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compensation, net</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of accrued</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Arial" w:cs="Arial" w:eastAsia="Arial" w:hAnsi="Arial"/>
                <w:sz w:val="14"/>
                <w:szCs w:val="14"/>
                <w:color w:val="auto"/>
              </w:rPr>
              <w:t>distribution</w:t>
            </w:r>
          </w:p>
        </w:tc>
        <w:tc>
          <w:tcPr>
            <w:tcW w:w="140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4</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176</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180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Partnership’s profit</w:t>
            </w: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and total</w:t>
            </w: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comprehensive</w:t>
            </w: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income (Note 16)</w:t>
            </w:r>
          </w:p>
        </w:tc>
        <w:tc>
          <w:tcPr>
            <w:tcW w:w="1400" w:type="dxa"/>
            <w:vAlign w:val="bottom"/>
            <w:gridSpan w:val="3"/>
            <w:shd w:val="clear" w:color="auto" w:fill="E5FFFF"/>
          </w:tcPr>
          <w:p>
            <w:pPr>
              <w:jc w:val="right"/>
              <w:ind w:right="5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255</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12,529</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E5FFFF"/>
          </w:tcPr>
          <w:p>
            <w:pPr>
              <w:jc w:val="right"/>
              <w:ind w:right="4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7,582</w:t>
            </w: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20,366</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20,366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vMerge w:val="restart"/>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927,532</w:t>
            </w:r>
          </w:p>
        </w:tc>
        <w:tc>
          <w:tcPr>
            <w:tcW w:w="420" w:type="dxa"/>
            <w:vAlign w:val="bottom"/>
          </w:tcPr>
          <w:p>
            <w:pPr>
              <w:spacing w:after="0"/>
              <w:rPr>
                <w:sz w:val="9"/>
                <w:szCs w:val="9"/>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13,013</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45,448,993</w:t>
            </w:r>
          </w:p>
        </w:tc>
        <w:tc>
          <w:tcPr>
            <w:tcW w:w="180" w:type="dxa"/>
            <w:vAlign w:val="bottom"/>
          </w:tcPr>
          <w:p>
            <w:pPr>
              <w:spacing w:after="0"/>
              <w:rPr>
                <w:sz w:val="9"/>
                <w:szCs w:val="9"/>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800,681</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3,783</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14,350,000</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347,839</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1,165,316</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1,165,316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2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March 31, 2019</w:t>
            </w:r>
          </w:p>
        </w:tc>
        <w:tc>
          <w:tcPr>
            <w:tcW w:w="9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right="160" w:hanging="332"/>
        <w:spacing w:after="0" w:line="198" w:lineRule="auto"/>
        <w:tabs>
          <w:tab w:leader="none" w:pos="337"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GAS-fourteen Ltd. and GAS-twenty seven Ltd. acquired on April 26, 2018 and November 14, 2018, respectively, from GasLog (Note 1).</w:t>
      </w:r>
    </w:p>
    <w:p>
      <w:pPr>
        <w:ind w:left="320" w:hanging="312"/>
        <w:spacing w:after="0" w:line="197" w:lineRule="auto"/>
        <w:tabs>
          <w:tab w:leader="none" w:pos="3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 xml:space="preserve">Restated so as to reflect an adjustment introduced due to the adoption of International Financial Reporting Standard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 (Note 2).</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0"/>
        </w:trPr>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GasLog Partners LP</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For the three months ended March 31, 2018 and 2019</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March 31,</w:t>
            </w:r>
          </w:p>
        </w:tc>
        <w:tc>
          <w:tcPr>
            <w:tcW w:w="14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500" w:type="dxa"/>
            <w:vAlign w:val="bottom"/>
          </w:tcPr>
          <w:p>
            <w:pPr>
              <w:spacing w:after="0"/>
              <w:rPr>
                <w:sz w:val="18"/>
                <w:szCs w:val="18"/>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20" w:type="dxa"/>
            <w:vAlign w:val="bottom"/>
            <w:tcBorders>
              <w:top w:val="single" w:sz="8" w:color="E5FFFF"/>
            </w:tcBorders>
            <w:shd w:val="clear" w:color="auto" w:fill="E5FFFF"/>
          </w:tcPr>
          <w:p>
            <w:pPr>
              <w:spacing w:after="0"/>
              <w:rPr>
                <w:sz w:val="13"/>
                <w:szCs w:val="13"/>
                <w:color w:val="auto"/>
              </w:rPr>
            </w:pPr>
          </w:p>
        </w:tc>
        <w:tc>
          <w:tcPr>
            <w:tcW w:w="640" w:type="dxa"/>
            <w:vAlign w:val="bottom"/>
            <w:tcBorders>
              <w:top w:val="single" w:sz="8" w:color="auto"/>
            </w:tcBorders>
            <w:shd w:val="clear" w:color="auto" w:fill="E5FFFF"/>
          </w:tcPr>
          <w:p>
            <w:pPr>
              <w:spacing w:after="0"/>
              <w:rPr>
                <w:sz w:val="13"/>
                <w:szCs w:val="13"/>
                <w:color w:val="auto"/>
              </w:rPr>
            </w:pPr>
          </w:p>
        </w:tc>
        <w:tc>
          <w:tcPr>
            <w:tcW w:w="300" w:type="dxa"/>
            <w:vAlign w:val="bottom"/>
            <w:tcBorders>
              <w:top w:val="single" w:sz="8" w:color="E5FFFF"/>
            </w:tcBorders>
            <w:shd w:val="clear" w:color="auto" w:fill="E5FFFF"/>
          </w:tcPr>
          <w:p>
            <w:pPr>
              <w:spacing w:after="0"/>
              <w:rPr>
                <w:sz w:val="13"/>
                <w:szCs w:val="13"/>
                <w:color w:val="auto"/>
              </w:rPr>
            </w:pPr>
          </w:p>
        </w:tc>
        <w:tc>
          <w:tcPr>
            <w:tcW w:w="1360" w:type="dxa"/>
            <w:vAlign w:val="bottom"/>
            <w:tcBorders>
              <w:top w:val="single" w:sz="8" w:color="auto"/>
            </w:tcBorders>
            <w:shd w:val="clear" w:color="auto" w:fill="E5FFFF"/>
          </w:tcPr>
          <w:p>
            <w:pPr>
              <w:jc w:val="center"/>
              <w:spacing w:after="0" w:line="159" w:lineRule="exact"/>
              <w:rPr>
                <w:sz w:val="20"/>
                <w:szCs w:val="20"/>
                <w:color w:val="auto"/>
              </w:rPr>
            </w:pPr>
            <w:r>
              <w:rPr>
                <w:rFonts w:ascii="Arial" w:cs="Arial" w:eastAsia="Arial" w:hAnsi="Arial"/>
                <w:sz w:val="14"/>
                <w:szCs w:val="14"/>
                <w:i w:val="1"/>
                <w:iCs w:val="1"/>
                <w:color w:val="auto"/>
                <w:w w:val="89"/>
              </w:rPr>
              <w:t>(restated)</w:t>
            </w:r>
            <w:r>
              <w:rPr>
                <w:rFonts w:ascii="Arial" w:cs="Arial" w:eastAsia="Arial" w:hAnsi="Arial"/>
                <w:sz w:val="17"/>
                <w:szCs w:val="17"/>
                <w:color w:val="auto"/>
                <w:w w:val="89"/>
                <w:vertAlign w:val="superscript"/>
              </w:rPr>
              <w:t>(1)</w:t>
            </w:r>
          </w:p>
        </w:tc>
        <w:tc>
          <w:tcPr>
            <w:tcW w:w="500" w:type="dxa"/>
            <w:vAlign w:val="bottom"/>
            <w:tcBorders>
              <w:top w:val="single" w:sz="8" w:color="E5FFFF"/>
            </w:tcBorders>
            <w:shd w:val="clear" w:color="auto" w:fill="E5FFFF"/>
          </w:tcPr>
          <w:p>
            <w:pPr>
              <w:spacing w:after="0"/>
              <w:rPr>
                <w:sz w:val="13"/>
                <w:szCs w:val="13"/>
                <w:color w:val="auto"/>
              </w:rPr>
            </w:pPr>
          </w:p>
        </w:tc>
        <w:tc>
          <w:tcPr>
            <w:tcW w:w="1380" w:type="dxa"/>
            <w:vAlign w:val="bottom"/>
            <w:tcBorders>
              <w:top w:val="single" w:sz="8" w:color="auto"/>
            </w:tcBorders>
            <w:shd w:val="clear" w:color="auto" w:fill="E5FFFF"/>
          </w:tcPr>
          <w:p>
            <w:pPr>
              <w:spacing w:after="0"/>
              <w:rPr>
                <w:sz w:val="13"/>
                <w:szCs w:val="13"/>
                <w:color w:val="auto"/>
              </w:rPr>
            </w:pPr>
          </w:p>
        </w:tc>
        <w:tc>
          <w:tcPr>
            <w:tcW w:w="100" w:type="dxa"/>
            <w:vAlign w:val="bottom"/>
            <w:tcBorders>
              <w:top w:val="single" w:sz="8" w:color="E5FFFF"/>
            </w:tcBorders>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37,292</w:t>
            </w:r>
          </w:p>
        </w:tc>
        <w:tc>
          <w:tcPr>
            <w:tcW w:w="5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20,366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Adjustments for:</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20,089</w:t>
            </w:r>
          </w:p>
        </w:tc>
        <w:tc>
          <w:tcPr>
            <w:tcW w:w="5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20,380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Financial costs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16,440</w:t>
            </w:r>
          </w:p>
        </w:tc>
        <w:tc>
          <w:tcPr>
            <w:tcW w:w="5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17,902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color w:val="auto"/>
              </w:rPr>
              <w:t>(526)</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Unrealized (gain)/loss on derivatives held for trading</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6"/>
                <w:szCs w:val="16"/>
                <w:color w:val="auto"/>
              </w:rPr>
              <w:t>(6,370)</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5,607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235</w:t>
            </w:r>
          </w:p>
        </w:tc>
        <w:tc>
          <w:tcPr>
            <w:tcW w:w="5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67,160</w:t>
            </w:r>
          </w:p>
        </w:tc>
        <w:tc>
          <w:tcPr>
            <w:tcW w:w="5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color w:val="auto"/>
              </w:rPr>
              <w:t>(15,169)</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(12,262)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64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51,991</w:t>
            </w:r>
          </w:p>
        </w:tc>
        <w:tc>
          <w:tcPr>
            <w:tcW w:w="50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51,631</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(17,550)</w:t>
            </w:r>
          </w:p>
        </w:tc>
        <w:tc>
          <w:tcPr>
            <w:tcW w:w="50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(20,622)</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64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34,441</w:t>
            </w:r>
          </w:p>
        </w:tc>
        <w:tc>
          <w:tcPr>
            <w:tcW w:w="5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31,009</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2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50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Payments for vessels’ additions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6"/>
                <w:szCs w:val="16"/>
                <w:color w:val="auto"/>
              </w:rPr>
              <w:t>(8,241)</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 (Note 4)</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5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424</w:t>
            </w:r>
          </w:p>
        </w:tc>
        <w:tc>
          <w:tcPr>
            <w:tcW w:w="5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5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6"/>
                <w:szCs w:val="16"/>
                <w:color w:val="auto"/>
              </w:rPr>
              <w:t>(5,000)</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in)/provided by investing activities</w:t>
            </w:r>
          </w:p>
        </w:tc>
        <w:tc>
          <w:tcPr>
            <w:tcW w:w="64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(12,817)</w:t>
            </w:r>
          </w:p>
        </w:tc>
        <w:tc>
          <w:tcPr>
            <w:tcW w:w="5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7,339</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2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Borrowings drawdowns</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5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360,000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Borrowings repayments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6"/>
                <w:szCs w:val="16"/>
                <w:color w:val="auto"/>
              </w:rPr>
              <w:t>(105,694)</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(385,319)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5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Proceeds from public offering of preference units (net of underwriting discounts and commissions)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111,544</w:t>
            </w:r>
          </w:p>
        </w:tc>
        <w:tc>
          <w:tcPr>
            <w:tcW w:w="5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color w:val="auto"/>
              </w:rPr>
              <w:t>(315)</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Distributions paid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6"/>
                <w:szCs w:val="16"/>
                <w:color w:val="auto"/>
              </w:rPr>
              <w:t>(27,464)</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(35,219)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liabilities</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60" w:type="dxa"/>
            <w:vAlign w:val="bottom"/>
            <w:gridSpan w:val="2"/>
            <w:shd w:val="clear" w:color="auto" w:fill="E5FFFF"/>
          </w:tcPr>
          <w:p>
            <w:pPr>
              <w:jc w:val="right"/>
              <w:ind w:right="5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64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(21,929)</w:t>
            </w:r>
          </w:p>
        </w:tc>
        <w:tc>
          <w:tcPr>
            <w:tcW w:w="50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(66,120)</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(305)</w:t>
            </w:r>
          </w:p>
        </w:tc>
        <w:tc>
          <w:tcPr>
            <w:tcW w:w="50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(27,772)</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64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149,455</w:t>
            </w:r>
          </w:p>
        </w:tc>
        <w:tc>
          <w:tcPr>
            <w:tcW w:w="5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129,125</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64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149,150</w:t>
            </w:r>
          </w:p>
        </w:tc>
        <w:tc>
          <w:tcPr>
            <w:tcW w:w="50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101,353</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64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14</w:t>
            </w: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Capital expenditures paid through related parties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6"/>
                <w:szCs w:val="16"/>
                <w:color w:val="auto"/>
              </w:rPr>
              <w:t>11</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777</w:t>
            </w:r>
          </w:p>
        </w:tc>
        <w:tc>
          <w:tcPr>
            <w:tcW w:w="5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Financing costs included in liabilities at the end of the period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E5FFFF"/>
          </w:tcPr>
          <w:p>
            <w:pPr>
              <w:spacing w:after="0"/>
              <w:rPr>
                <w:sz w:val="20"/>
                <w:szCs w:val="20"/>
                <w:color w:val="auto"/>
              </w:rPr>
            </w:pPr>
            <w:r>
              <w:rPr>
                <w:rFonts w:ascii="Arial" w:cs="Arial" w:eastAsia="Arial" w:hAnsi="Arial"/>
                <w:sz w:val="16"/>
                <w:szCs w:val="16"/>
                <w:color w:val="auto"/>
              </w:rPr>
              <w:t>Offering costs included in liabilities at the end of the period</w:t>
            </w: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396</w:t>
            </w:r>
          </w:p>
        </w:tc>
        <w:tc>
          <w:tcPr>
            <w:tcW w:w="5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340" w:right="220" w:hanging="332"/>
        <w:spacing w:after="0" w:line="245" w:lineRule="auto"/>
        <w:tabs>
          <w:tab w:leader="none" w:pos="337" w:val="left"/>
        </w:tabs>
        <w:numPr>
          <w:ilvl w:val="0"/>
          <w:numId w:val="17"/>
        </w:numPr>
        <w:rPr>
          <w:rFonts w:ascii="Arial" w:cs="Arial" w:eastAsia="Arial" w:hAnsi="Arial"/>
          <w:sz w:val="9"/>
          <w:szCs w:val="9"/>
          <w:color w:val="auto"/>
        </w:rPr>
      </w:pPr>
      <w:r>
        <w:rPr>
          <w:rFonts w:ascii="Arial" w:cs="Arial" w:eastAsia="Arial" w:hAnsi="Arial"/>
          <w:sz w:val="14"/>
          <w:szCs w:val="14"/>
          <w:color w:val="auto"/>
        </w:rPr>
        <w:t>Restated so as to reflect the historical financial statements of GAS-fourteen Ltd. and GAS-twenty seven Ltd. acquired on April 26, 2018 and November 14, 2018, respectively, from GasLog (Note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117" w:lineRule="exact"/>
        <w:rPr>
          <w:sz w:val="20"/>
          <w:szCs w:val="20"/>
          <w:color w:val="auto"/>
        </w:rPr>
      </w:pPr>
    </w:p>
    <w:p>
      <w:pPr>
        <w:ind w:right="420" w:firstLine="396"/>
        <w:spacing w:after="0" w:line="278"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63" w:lineRule="exact"/>
        <w:rPr>
          <w:sz w:val="20"/>
          <w:szCs w:val="20"/>
          <w:color w:val="auto"/>
        </w:rPr>
      </w:pPr>
    </w:p>
    <w:p>
      <w:pPr>
        <w:ind w:right="320" w:firstLine="396"/>
        <w:spacing w:after="0" w:line="278" w:lineRule="auto"/>
        <w:rPr>
          <w:sz w:val="20"/>
          <w:szCs w:val="20"/>
          <w:color w:val="auto"/>
        </w:rPr>
      </w:pPr>
      <w:r>
        <w:rPr>
          <w:rFonts w:ascii="Arial" w:cs="Arial" w:eastAsia="Arial" w:hAnsi="Arial"/>
          <w:sz w:val="16"/>
          <w:szCs w:val="16"/>
          <w:color w:val="auto"/>
        </w:rPr>
        <w:t xml:space="preserve">On April 26, 2018, GasLog Partners acquired 100% of the ownership interests in GAS-fourteen Ltd., the entity that owns a 174,000 cbm LNG carrier,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Gibraltar</w:t>
      </w:r>
      <w:r>
        <w:rPr>
          <w:rFonts w:ascii="Arial" w:cs="Arial" w:eastAsia="Arial" w:hAnsi="Arial"/>
          <w:sz w:val="16"/>
          <w:szCs w:val="16"/>
          <w:color w:val="auto"/>
        </w:rPr>
        <w:t>, for an aggregate purchase price of $207,000. On November 14, 2018, GasLog Partners acquired 100% of the ownership interests in GAS-twenty seven Ltd.,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entity that owns a 170,000 cbm LNG carrier, the </w:t>
      </w:r>
      <w:r>
        <w:rPr>
          <w:rFonts w:ascii="Arial" w:cs="Arial" w:eastAsia="Arial" w:hAnsi="Arial"/>
          <w:sz w:val="16"/>
          <w:szCs w:val="16"/>
          <w:i w:val="1"/>
          <w:iCs w:val="1"/>
          <w:color w:val="auto"/>
        </w:rPr>
        <w:t>Methane Becki Anne</w:t>
      </w:r>
      <w:r>
        <w:rPr>
          <w:rFonts w:ascii="Arial" w:cs="Arial" w:eastAsia="Arial" w:hAnsi="Arial"/>
          <w:sz w:val="16"/>
          <w:szCs w:val="16"/>
          <w:color w:val="auto"/>
        </w:rPr>
        <w:t>, for an aggregate purchase price of $207,400.</w:t>
      </w:r>
    </w:p>
    <w:p>
      <w:pPr>
        <w:spacing w:after="0" w:line="63" w:lineRule="exact"/>
        <w:rPr>
          <w:sz w:val="20"/>
          <w:szCs w:val="20"/>
          <w:color w:val="auto"/>
        </w:rPr>
      </w:pPr>
    </w:p>
    <w:p>
      <w:pPr>
        <w:jc w:val="both"/>
        <w:ind w:right="140" w:firstLine="383"/>
        <w:spacing w:after="0" w:line="278" w:lineRule="auto"/>
        <w:rPr>
          <w:sz w:val="20"/>
          <w:szCs w:val="20"/>
          <w:color w:val="auto"/>
        </w:rPr>
      </w:pPr>
      <w:r>
        <w:rPr>
          <w:rFonts w:ascii="Arial" w:cs="Arial" w:eastAsia="Arial" w:hAnsi="Arial"/>
          <w:sz w:val="16"/>
          <w:szCs w:val="16"/>
          <w:color w:val="auto"/>
        </w:rPr>
        <w:t>The above acquisitions were accounted for as reorganizations of companies under common control.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63" w:lineRule="exact"/>
        <w:rPr>
          <w:sz w:val="20"/>
          <w:szCs w:val="20"/>
          <w:color w:val="auto"/>
        </w:rPr>
      </w:pPr>
    </w:p>
    <w:p>
      <w:pPr>
        <w:jc w:val="both"/>
        <w:ind w:right="160" w:firstLine="383"/>
        <w:spacing w:after="0" w:line="278" w:lineRule="auto"/>
        <w:rPr>
          <w:sz w:val="20"/>
          <w:szCs w:val="20"/>
          <w:color w:val="auto"/>
        </w:rPr>
      </w:pPr>
      <w:r>
        <w:rPr>
          <w:rFonts w:ascii="Arial" w:cs="Arial" w:eastAsia="Arial" w:hAnsi="Arial"/>
          <w:sz w:val="16"/>
          <w:szCs w:val="16"/>
          <w:color w:val="auto"/>
        </w:rPr>
        <w:t>As of March 31, 2019, GasLog holds a 27.5%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63" w:lineRule="exact"/>
        <w:rPr>
          <w:sz w:val="20"/>
          <w:szCs w:val="20"/>
          <w:color w:val="auto"/>
        </w:rPr>
      </w:pPr>
    </w:p>
    <w:p>
      <w:pPr>
        <w:ind w:firstLine="405"/>
        <w:spacing w:after="0" w:line="278" w:lineRule="auto"/>
        <w:rPr>
          <w:sz w:val="20"/>
          <w:szCs w:val="20"/>
          <w:color w:val="auto"/>
        </w:rPr>
      </w:pPr>
      <w:r>
        <w:rPr>
          <w:rFonts w:ascii="Arial" w:cs="Arial" w:eastAsia="Arial" w:hAnsi="Arial"/>
          <w:sz w:val="16"/>
          <w:szCs w:val="16"/>
          <w:color w:val="auto"/>
        </w:rPr>
        <w:t>The Partnership’s principal business is the acquisition and operation of vessels in the LNG market, providing LNG transportation services on a worldwide basis primarily under multi-year charters. GasLog LNG Services Ltd. (“GasLog LNG Services” or the “Manager”), a related party and a wholly owned subsidiary of GasLog, incorporated under the laws of the Bermuda, provides technical services to the Partnership.</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March 31, 2019, the companies listed below were 100% held by the Partnership: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Place of</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1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Principal activities</w:t>
            </w:r>
          </w:p>
        </w:tc>
        <w:tc>
          <w:tcPr>
            <w:tcW w:w="1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Vessel</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Cargo Capacity</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171"/>
        </w:trPr>
        <w:tc>
          <w:tcPr>
            <w:tcW w:w="250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incorporation</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incorporation</w:t>
            </w:r>
          </w:p>
        </w:tc>
        <w:tc>
          <w:tcPr>
            <w:tcW w:w="184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(cbm)</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GAS-three Ltd.</w:t>
            </w:r>
          </w:p>
        </w:tc>
        <w:tc>
          <w:tcPr>
            <w:tcW w:w="140" w:type="dxa"/>
            <w:vAlign w:val="bottom"/>
            <w:tcBorders>
              <w:top w:val="single" w:sz="8" w:color="E5FFFF"/>
            </w:tcBorders>
            <w:shd w:val="clear" w:color="auto" w:fill="E5FFFF"/>
          </w:tcPr>
          <w:p>
            <w:pPr>
              <w:spacing w:after="0"/>
              <w:rPr>
                <w:sz w:val="12"/>
                <w:szCs w:val="12"/>
                <w:color w:val="auto"/>
              </w:rPr>
            </w:pPr>
          </w:p>
        </w:tc>
        <w:tc>
          <w:tcPr>
            <w:tcW w:w="112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1"/>
              </w:rPr>
              <w:t>Bermuda</w:t>
            </w:r>
          </w:p>
        </w:tc>
        <w:tc>
          <w:tcPr>
            <w:tcW w:w="120" w:type="dxa"/>
            <w:vAlign w:val="bottom"/>
            <w:tcBorders>
              <w:top w:val="single" w:sz="8" w:color="E5FFFF"/>
            </w:tcBorders>
            <w:shd w:val="clear" w:color="auto" w:fill="E5FFFF"/>
          </w:tcPr>
          <w:p>
            <w:pPr>
              <w:spacing w:after="0"/>
              <w:rPr>
                <w:sz w:val="12"/>
                <w:szCs w:val="12"/>
                <w:color w:val="auto"/>
              </w:rPr>
            </w:pPr>
          </w:p>
        </w:tc>
        <w:tc>
          <w:tcPr>
            <w:tcW w:w="110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8"/>
              </w:rPr>
              <w:t>April 2010</w:t>
            </w:r>
          </w:p>
        </w:tc>
        <w:tc>
          <w:tcPr>
            <w:tcW w:w="140" w:type="dxa"/>
            <w:vAlign w:val="bottom"/>
            <w:tcBorders>
              <w:top w:val="single" w:sz="8" w:color="E5FFFF"/>
            </w:tcBorders>
            <w:shd w:val="clear" w:color="auto" w:fill="E5FFFF"/>
          </w:tcPr>
          <w:p>
            <w:pPr>
              <w:spacing w:after="0"/>
              <w:rPr>
                <w:sz w:val="12"/>
                <w:szCs w:val="12"/>
                <w:color w:val="auto"/>
              </w:rPr>
            </w:pPr>
          </w:p>
        </w:tc>
        <w:tc>
          <w:tcPr>
            <w:tcW w:w="170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3"/>
              </w:rPr>
              <w:t>Vessel-owning company</w:t>
            </w:r>
          </w:p>
        </w:tc>
        <w:tc>
          <w:tcPr>
            <w:tcW w:w="140" w:type="dxa"/>
            <w:vAlign w:val="bottom"/>
            <w:tcBorders>
              <w:top w:val="single" w:sz="8" w:color="E5FFFF"/>
            </w:tcBorders>
            <w:shd w:val="clear" w:color="auto" w:fill="E5FFFF"/>
          </w:tcPr>
          <w:p>
            <w:pPr>
              <w:spacing w:after="0"/>
              <w:rPr>
                <w:sz w:val="12"/>
                <w:szCs w:val="12"/>
                <w:color w:val="auto"/>
              </w:rPr>
            </w:pPr>
          </w:p>
        </w:tc>
        <w:tc>
          <w:tcPr>
            <w:tcW w:w="180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i w:val="1"/>
                <w:iCs w:val="1"/>
                <w:color w:val="auto"/>
                <w:w w:val="92"/>
              </w:rPr>
              <w:t>GasLog Shanghai</w:t>
            </w:r>
          </w:p>
        </w:tc>
        <w:tc>
          <w:tcPr>
            <w:tcW w:w="120" w:type="dxa"/>
            <w:vAlign w:val="bottom"/>
            <w:tcBorders>
              <w:top w:val="single" w:sz="8" w:color="E5FFFF"/>
            </w:tcBorders>
            <w:shd w:val="clear" w:color="auto" w:fill="E5FFFF"/>
          </w:tcPr>
          <w:p>
            <w:pPr>
              <w:spacing w:after="0"/>
              <w:rPr>
                <w:sz w:val="12"/>
                <w:szCs w:val="12"/>
                <w:color w:val="auto"/>
              </w:rPr>
            </w:pPr>
          </w:p>
        </w:tc>
        <w:tc>
          <w:tcPr>
            <w:tcW w:w="12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4"/>
              </w:rPr>
              <w:t>155,000</w:t>
            </w:r>
          </w:p>
        </w:tc>
        <w:tc>
          <w:tcPr>
            <w:tcW w:w="160" w:type="dxa"/>
            <w:vAlign w:val="bottom"/>
            <w:tcBorders>
              <w:top w:val="single" w:sz="8" w:color="E5FFFF"/>
            </w:tcBorders>
            <w:shd w:val="clear" w:color="auto" w:fill="E5FFFF"/>
          </w:tcPr>
          <w:p>
            <w:pPr>
              <w:spacing w:after="0"/>
              <w:rPr>
                <w:sz w:val="12"/>
                <w:szCs w:val="12"/>
                <w:color w:val="auto"/>
              </w:rPr>
            </w:pPr>
          </w:p>
        </w:tc>
        <w:tc>
          <w:tcPr>
            <w:tcW w:w="128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89"/>
              </w:rPr>
              <w:t>January 2013</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April 2010</w:t>
            </w: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2013</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GAS-five Ltd.</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2"/>
              </w:rPr>
              <w:t>February 2011</w:t>
            </w:r>
          </w:p>
        </w:tc>
        <w:tc>
          <w:tcPr>
            <w:tcW w:w="18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60" w:type="dxa"/>
            <w:vAlign w:val="bottom"/>
            <w:shd w:val="clear" w:color="auto" w:fill="E5FFFF"/>
          </w:tcPr>
          <w:p>
            <w:pPr>
              <w:spacing w:after="0"/>
              <w:rPr>
                <w:sz w:val="12"/>
                <w:szCs w:val="12"/>
                <w:color w:val="auto"/>
              </w:rPr>
            </w:pPr>
          </w:p>
        </w:tc>
        <w:tc>
          <w:tcPr>
            <w:tcW w:w="12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7"/>
              </w:rPr>
              <w:t>May 2013</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March 2011</w:t>
            </w: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Seattle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2013</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GAS-eight Ltd.</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4"/>
              </w:rPr>
              <w:t>March 2011</w:t>
            </w:r>
          </w:p>
        </w:tc>
        <w:tc>
          <w:tcPr>
            <w:tcW w:w="18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i w:val="1"/>
                <w:iCs w:val="1"/>
                <w:color w:val="auto"/>
                <w:w w:val="98"/>
              </w:rPr>
              <w:t>Solaris</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60" w:type="dxa"/>
            <w:vAlign w:val="bottom"/>
            <w:shd w:val="clear" w:color="auto" w:fill="E5FFFF"/>
          </w:tcPr>
          <w:p>
            <w:pPr>
              <w:spacing w:after="0"/>
              <w:rPr>
                <w:sz w:val="12"/>
                <w:szCs w:val="12"/>
                <w:color w:val="auto"/>
              </w:rPr>
            </w:pPr>
          </w:p>
        </w:tc>
        <w:tc>
          <w:tcPr>
            <w:tcW w:w="12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GAS-eleven Ltd.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December 2012</w:t>
            </w: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2016</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GAS-thirteen Ltd.</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3"/>
              </w:rPr>
              <w:t>July 2013</w:t>
            </w:r>
          </w:p>
        </w:tc>
        <w:tc>
          <w:tcPr>
            <w:tcW w:w="18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i w:val="1"/>
                <w:iCs w:val="1"/>
                <w:color w:val="auto"/>
                <w:w w:val="92"/>
              </w:rPr>
              <w:t>GasLog Geneva</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60" w:type="dxa"/>
            <w:vAlign w:val="bottom"/>
            <w:shd w:val="clear" w:color="auto" w:fill="E5FFFF"/>
          </w:tcPr>
          <w:p>
            <w:pPr>
              <w:spacing w:after="0"/>
              <w:rPr>
                <w:sz w:val="12"/>
                <w:szCs w:val="12"/>
                <w:color w:val="auto"/>
              </w:rPr>
            </w:pPr>
          </w:p>
        </w:tc>
        <w:tc>
          <w:tcPr>
            <w:tcW w:w="12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September 2016</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GAS-fourteen Ltd.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July 2013</w:t>
            </w: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7"/>
              </w:rPr>
              <w:t>GasLog Gibraltar</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4"/>
              </w:rPr>
              <w:t>October 2016</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GAS-sixteen Ltd.</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89"/>
              </w:rPr>
              <w:t>January 2014</w:t>
            </w:r>
          </w:p>
        </w:tc>
        <w:tc>
          <w:tcPr>
            <w:tcW w:w="18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i w:val="1"/>
                <w:iCs w:val="1"/>
                <w:color w:val="auto"/>
                <w:w w:val="92"/>
              </w:rPr>
              <w:t>Methane Rita Andrea</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60" w:type="dxa"/>
            <w:vAlign w:val="bottom"/>
            <w:shd w:val="clear" w:color="auto" w:fill="E5FFFF"/>
          </w:tcPr>
          <w:p>
            <w:pPr>
              <w:spacing w:after="0"/>
              <w:rPr>
                <w:sz w:val="12"/>
                <w:szCs w:val="12"/>
                <w:color w:val="auto"/>
              </w:rPr>
            </w:pPr>
          </w:p>
        </w:tc>
        <w:tc>
          <w:tcPr>
            <w:tcW w:w="12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GAS-seventeen Ltd.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January 2014</w:t>
            </w: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1"/>
              </w:rPr>
              <w:t>Methane Jane Elizabeth</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GAS-nineteen Ltd.</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8"/>
              </w:rPr>
              <w:t>April 2014</w:t>
            </w:r>
          </w:p>
        </w:tc>
        <w:tc>
          <w:tcPr>
            <w:tcW w:w="18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Methane Alison Victoria</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60" w:type="dxa"/>
            <w:vAlign w:val="bottom"/>
            <w:shd w:val="clear" w:color="auto" w:fill="E5FFFF"/>
          </w:tcPr>
          <w:p>
            <w:pPr>
              <w:spacing w:after="0"/>
              <w:rPr>
                <w:sz w:val="12"/>
                <w:szCs w:val="12"/>
                <w:color w:val="auto"/>
              </w:rPr>
            </w:pPr>
          </w:p>
        </w:tc>
        <w:tc>
          <w:tcPr>
            <w:tcW w:w="12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GAS-twenty Ltd.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April 2014</w:t>
            </w: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4"/>
              </w:rPr>
              <w:t>Methane Shirley Elisabeth</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one Ltd.</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8"/>
              </w:rPr>
              <w:t>April 2014</w:t>
            </w:r>
          </w:p>
        </w:tc>
        <w:tc>
          <w:tcPr>
            <w:tcW w:w="18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i w:val="1"/>
                <w:iCs w:val="1"/>
                <w:color w:val="auto"/>
                <w:w w:val="94"/>
              </w:rPr>
              <w:t>Methane Heather Sally</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145,000</w:t>
            </w:r>
          </w:p>
        </w:tc>
        <w:tc>
          <w:tcPr>
            <w:tcW w:w="160" w:type="dxa"/>
            <w:vAlign w:val="bottom"/>
            <w:shd w:val="clear" w:color="auto" w:fill="E5FFFF"/>
          </w:tcPr>
          <w:p>
            <w:pPr>
              <w:spacing w:after="0"/>
              <w:rPr>
                <w:sz w:val="12"/>
                <w:szCs w:val="12"/>
                <w:color w:val="auto"/>
              </w:rPr>
            </w:pPr>
          </w:p>
        </w:tc>
        <w:tc>
          <w:tcPr>
            <w:tcW w:w="12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GAS-twenty seven Ltd.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Bermuda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January 2015</w:t>
            </w: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Vessel-owning company</w:t>
            </w:r>
          </w:p>
        </w:tc>
        <w:tc>
          <w:tcPr>
            <w:tcW w:w="192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1"/>
              </w:rPr>
              <w:t>Methane Becki Anne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170,000</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2015</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Partners Holdings LLC</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Marshall Islands</w:t>
            </w:r>
          </w:p>
        </w:tc>
        <w:tc>
          <w:tcPr>
            <w:tcW w:w="12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8"/>
              </w:rPr>
              <w:t>April 2014</w:t>
            </w:r>
          </w:p>
        </w:tc>
        <w:tc>
          <w:tcPr>
            <w:tcW w:w="184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4"/>
              </w:rPr>
              <w:t>Holding company</w:t>
            </w:r>
          </w:p>
        </w:tc>
        <w:tc>
          <w:tcPr>
            <w:tcW w:w="1920" w:type="dxa"/>
            <w:vAlign w:val="bottom"/>
            <w:gridSpan w:val="2"/>
            <w:shd w:val="clear" w:color="auto" w:fill="E5FF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1400" w:type="dxa"/>
            <w:vAlign w:val="bottom"/>
            <w:gridSpan w:val="2"/>
            <w:shd w:val="clear" w:color="auto" w:fill="E5FFFF"/>
          </w:tcPr>
          <w:p>
            <w:pPr>
              <w:jc w:val="center"/>
              <w:ind w:right="16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17" w:lineRule="exact"/>
        <w:rPr>
          <w:sz w:val="20"/>
          <w:szCs w:val="20"/>
          <w:color w:val="auto"/>
        </w:rPr>
      </w:pPr>
    </w:p>
    <w:p>
      <w:pPr>
        <w:ind w:right="60" w:firstLine="396"/>
        <w:spacing w:after="0" w:line="271"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IFRS for a complete set of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have been omitted, and therefore, these unaudited condensed consolidated financial statements should be read in conjunction with the Partnership’s annual consolidated financial statements for the year ended December 31, 2018, filed on an Annual Report on Form 20-F with the Securities Exchange Commission on February 26, 2019.</w:t>
      </w:r>
    </w:p>
    <w:p>
      <w:pPr>
        <w:spacing w:after="0" w:line="69" w:lineRule="exact"/>
        <w:rPr>
          <w:sz w:val="20"/>
          <w:szCs w:val="20"/>
          <w:color w:val="auto"/>
        </w:rPr>
      </w:pPr>
    </w:p>
    <w:p>
      <w:pPr>
        <w:ind w:right="860" w:firstLine="396"/>
        <w:spacing w:after="0" w:line="293" w:lineRule="auto"/>
        <w:rPr>
          <w:sz w:val="20"/>
          <w:szCs w:val="20"/>
          <w:color w:val="auto"/>
        </w:rPr>
      </w:pPr>
      <w:r>
        <w:rPr>
          <w:rFonts w:ascii="Arial" w:cs="Arial" w:eastAsia="Arial" w:hAnsi="Arial"/>
          <w:sz w:val="16"/>
          <w:szCs w:val="16"/>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50" w:lineRule="exact"/>
        <w:rPr>
          <w:sz w:val="20"/>
          <w:szCs w:val="20"/>
          <w:color w:val="auto"/>
        </w:rPr>
      </w:pPr>
    </w:p>
    <w:p>
      <w:pPr>
        <w:ind w:right="160" w:firstLine="396"/>
        <w:spacing w:after="0" w:line="273" w:lineRule="auto"/>
        <w:rPr>
          <w:sz w:val="20"/>
          <w:szCs w:val="20"/>
          <w:color w:val="auto"/>
        </w:rPr>
      </w:pPr>
      <w:r>
        <w:rPr>
          <w:rFonts w:ascii="Arial" w:cs="Arial" w:eastAsia="Arial" w:hAnsi="Arial"/>
          <w:sz w:val="16"/>
          <w:szCs w:val="16"/>
          <w:color w:val="auto"/>
        </w:rPr>
        <w:t xml:space="preserve">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2018, except for the changes resulting from the adoption of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 discussed below). On April 25, 2019, the Partnership’s board of directors authorized the unaudited condensed consolidated financial statements for issuance.</w:t>
      </w:r>
    </w:p>
    <w:p>
      <w:pPr>
        <w:spacing w:after="0" w:line="68" w:lineRule="exact"/>
        <w:rPr>
          <w:sz w:val="20"/>
          <w:szCs w:val="20"/>
          <w:color w:val="auto"/>
        </w:rPr>
      </w:pPr>
    </w:p>
    <w:p>
      <w:pPr>
        <w:ind w:right="320" w:firstLine="396"/>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Partnership’s annual consolidated financial statements for the year ended December 31, 2018 and remain unchanged.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 w:name="page31"/>
    <w:bookmarkEnd w:id="30"/>
    <w:p>
      <w:pPr>
        <w:jc w:val="both"/>
        <w:ind w:right="60" w:firstLine="39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63" w:lineRule="exact"/>
        <w:rPr>
          <w:sz w:val="20"/>
          <w:szCs w:val="20"/>
          <w:color w:val="auto"/>
        </w:rPr>
      </w:pPr>
    </w:p>
    <w:p>
      <w:pPr>
        <w:ind w:right="100" w:firstLine="396"/>
        <w:spacing w:after="0" w:line="297" w:lineRule="auto"/>
        <w:rPr>
          <w:sz w:val="20"/>
          <w:szCs w:val="20"/>
          <w:color w:val="auto"/>
        </w:rPr>
      </w:pPr>
      <w:r>
        <w:rPr>
          <w:rFonts w:ascii="Arial" w:cs="Arial" w:eastAsia="Arial" w:hAnsi="Arial"/>
          <w:sz w:val="15"/>
          <w:szCs w:val="15"/>
          <w:color w:val="auto"/>
        </w:rPr>
        <w:t>Management anticipates that the Partnership’s primary sources of funds will be available cash, cash from operations, borrowings under existing debt and future debt and equity financings, if any.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acceptable terms.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standards and amendments relevant to the Partnership were effective in the current period:</w:t>
      </w:r>
    </w:p>
    <w:p>
      <w:pPr>
        <w:spacing w:after="0" w:line="235" w:lineRule="exact"/>
        <w:rPr>
          <w:sz w:val="20"/>
          <w:szCs w:val="20"/>
          <w:color w:val="auto"/>
        </w:rPr>
      </w:pPr>
    </w:p>
    <w:p>
      <w:pPr>
        <w:ind w:right="80" w:firstLine="324"/>
        <w:spacing w:after="0" w:line="291" w:lineRule="auto"/>
        <w:rPr>
          <w:sz w:val="20"/>
          <w:szCs w:val="20"/>
          <w:color w:val="auto"/>
        </w:rPr>
      </w:pPr>
      <w:r>
        <w:rPr>
          <w:rFonts w:ascii="Arial" w:cs="Arial" w:eastAsia="Arial" w:hAnsi="Arial"/>
          <w:sz w:val="15"/>
          <w:szCs w:val="15"/>
          <w:color w:val="auto"/>
        </w:rPr>
        <w:t xml:space="preserve">In January 2016, the IASB issued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recognize: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supersedes the previous leases Standard, IAS 17 </w:t>
      </w:r>
      <w:r>
        <w:rPr>
          <w:rFonts w:ascii="Arial" w:cs="Arial" w:eastAsia="Arial" w:hAnsi="Arial"/>
          <w:sz w:val="15"/>
          <w:szCs w:val="15"/>
          <w:i w:val="1"/>
          <w:iCs w:val="1"/>
          <w:color w:val="auto"/>
        </w:rPr>
        <w:t>Leases</w:t>
      </w:r>
      <w:r>
        <w:rPr>
          <w:rFonts w:ascii="Arial" w:cs="Arial" w:eastAsia="Arial" w:hAnsi="Arial"/>
          <w:sz w:val="15"/>
          <w:szCs w:val="15"/>
          <w:color w:val="auto"/>
        </w:rPr>
        <w:t>, and related Interpretations. The standard is effective from January 1, 2019.</w:t>
      </w:r>
    </w:p>
    <w:p>
      <w:pPr>
        <w:spacing w:after="0" w:line="177" w:lineRule="exact"/>
        <w:rPr>
          <w:sz w:val="20"/>
          <w:szCs w:val="20"/>
          <w:color w:val="auto"/>
        </w:rPr>
      </w:pPr>
    </w:p>
    <w:p>
      <w:pPr>
        <w:ind w:right="140" w:firstLine="324"/>
        <w:spacing w:after="0" w:line="293" w:lineRule="auto"/>
        <w:rPr>
          <w:sz w:val="20"/>
          <w:szCs w:val="20"/>
          <w:color w:val="auto"/>
        </w:rPr>
      </w:pPr>
      <w:r>
        <w:rPr>
          <w:rFonts w:ascii="Arial" w:cs="Arial" w:eastAsia="Arial" w:hAnsi="Arial"/>
          <w:sz w:val="15"/>
          <w:szCs w:val="15"/>
          <w:color w:val="auto"/>
        </w:rPr>
        <w:t>The Partnership leases various types of vessels’ equipment. Rental contracts are typically made for fixed periods but may have extension options. Lease terms are negotiated on an individual basis and contain a wide range of different terms and conditions. Following the implementation of IFRS 16, a lease is recognized as a right-of-use asset and a corresponding liability on the date when the leased asset is available for use by the Partnership. Each lease payment is allocated between the liability and finance cost. The finance cost is charged to profit or loss over the lease period to produce a constant periodic rate of interest on the remaining balance of the liability for each period. The right-of-use asset is depreciated over the shorter of the asset’s useful life and the lease term on a straight-line basis.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Assets and liabilities arising from a lease are initially measured on a present value basis. Lease liabilities include the net present value of the following lease payments:</w:t>
      </w:r>
    </w:p>
    <w:p>
      <w:pPr>
        <w:spacing w:after="0" w:line="34"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fixed payments (including in-substance fixed payments), less any lease incentives receivable, (b) variable lease payments that are based on an index or a rate (if any),</w:t>
      </w:r>
    </w:p>
    <w:p>
      <w:pPr>
        <w:spacing w:after="0" w:line="30" w:lineRule="exact"/>
        <w:rPr>
          <w:rFonts w:ascii="Arial" w:cs="Arial" w:eastAsia="Arial" w:hAnsi="Arial"/>
          <w:sz w:val="15"/>
          <w:szCs w:val="15"/>
          <w:color w:val="auto"/>
        </w:rPr>
      </w:pPr>
    </w:p>
    <w:p>
      <w:pPr>
        <w:ind w:right="60" w:firstLine="8"/>
        <w:spacing w:after="0" w:line="301"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Partnership’s incremental borrowing rate. Right-of-use assets are measured at cost comprising the following: (a) the amount of the initial measurement of lease liability, (b) any lease payments made at or before the commencement date less any lease incentives received,</w:t>
      </w:r>
    </w:p>
    <w:p>
      <w:pPr>
        <w:spacing w:after="0" w:line="2" w:lineRule="exact"/>
        <w:rPr>
          <w:rFonts w:ascii="Arial" w:cs="Arial" w:eastAsia="Arial" w:hAnsi="Arial"/>
          <w:sz w:val="14"/>
          <w:szCs w:val="14"/>
          <w:color w:val="auto"/>
        </w:rPr>
      </w:pPr>
    </w:p>
    <w:p>
      <w:pPr>
        <w:ind w:right="120" w:firstLine="8"/>
        <w:spacing w:after="0" w:line="288" w:lineRule="auto"/>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initial direct costs, and (d) any restoration costs. Payments associated with short-term leases and leases of low-value assets are recognized on a straight-line basis as an expense in profit or loss. Short-term leases are leases with a lease term of 12 months or less.</w:t>
      </w:r>
    </w:p>
    <w:p>
      <w:pPr>
        <w:spacing w:after="0" w:line="176" w:lineRule="exact"/>
        <w:rPr>
          <w:sz w:val="20"/>
          <w:szCs w:val="20"/>
          <w:color w:val="auto"/>
        </w:rPr>
      </w:pPr>
    </w:p>
    <w:p>
      <w:pPr>
        <w:ind w:right="140" w:firstLine="324"/>
        <w:spacing w:after="0" w:line="278" w:lineRule="auto"/>
        <w:rPr>
          <w:sz w:val="20"/>
          <w:szCs w:val="20"/>
          <w:color w:val="auto"/>
        </w:rPr>
      </w:pPr>
      <w:r>
        <w:rPr>
          <w:rFonts w:ascii="Arial" w:cs="Arial" w:eastAsia="Arial" w:hAnsi="Arial"/>
          <w:sz w:val="16"/>
          <w:szCs w:val="16"/>
          <w:color w:val="auto"/>
        </w:rPr>
        <w:t xml:space="preserve">For leases where the Partnership is the lessee, the Partnership has elected to apply the simplified approach, by which comparative information is not restated and any adjustment is recognized at the date of initial application of IFRS 16 </w:t>
      </w:r>
      <w:r>
        <w:rPr>
          <w:rFonts w:ascii="Arial" w:cs="Arial" w:eastAsia="Arial" w:hAnsi="Arial"/>
          <w:sz w:val="16"/>
          <w:szCs w:val="16"/>
          <w:i w:val="1"/>
          <w:iCs w:val="1"/>
          <w:color w:val="auto"/>
        </w:rPr>
        <w:t>Leases</w:t>
      </w:r>
      <w:r>
        <w:rPr>
          <w:rFonts w:ascii="Arial" w:cs="Arial" w:eastAsia="Arial" w:hAnsi="Arial"/>
          <w:sz w:val="16"/>
          <w:szCs w:val="16"/>
          <w:color w:val="auto"/>
        </w:rPr>
        <w:t>. The adoption of the standard on January 1, 2019, resulted in an increase in total assets of $1,419, an increase in retained earnings of $177 and an increase in total liabilities of $1,242.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260" w:firstLine="356"/>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IFRS standards and amendments issued but not yet adopted with an expected material effect on the Partnership’s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Related party transactions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Partnership has the following balances with related parties, which have been included in the unaudited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spacing w:after="0"/>
              <w:rPr>
                <w:sz w:val="20"/>
                <w:szCs w:val="20"/>
                <w:color w:val="auto"/>
              </w:rPr>
            </w:pPr>
            <w:r>
              <w:rPr>
                <w:rFonts w:ascii="Arial" w:cs="Arial" w:eastAsia="Arial" w:hAnsi="Arial"/>
                <w:sz w:val="16"/>
                <w:szCs w:val="16"/>
                <w:b w:val="1"/>
                <w:bCs w:val="1"/>
                <w:i w:val="1"/>
                <w:iCs w:val="1"/>
                <w:color w:val="auto"/>
              </w:rPr>
              <w:t>Amounts due from related parties</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19"/>
        </w:trPr>
        <w:tc>
          <w:tcPr>
            <w:tcW w:w="762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2018</w:t>
            </w:r>
          </w:p>
        </w:tc>
        <w:tc>
          <w:tcPr>
            <w:tcW w:w="18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 2019</w:t>
            </w:r>
          </w:p>
        </w:tc>
      </w:tr>
      <w:tr>
        <w:trPr>
          <w:trHeight w:val="202"/>
        </w:trPr>
        <w:tc>
          <w:tcPr>
            <w:tcW w:w="7620" w:type="dxa"/>
            <w:vAlign w:val="bottom"/>
            <w:tcBorders>
              <w:top w:val="single" w:sz="8" w:color="E5FFFF"/>
            </w:tcBorders>
            <w:shd w:val="clear" w:color="auto" w:fill="E5FFFF"/>
          </w:tcPr>
          <w:p>
            <w:pPr>
              <w:spacing w:after="0" w:line="202" w:lineRule="exact"/>
              <w:rPr>
                <w:sz w:val="20"/>
                <w:szCs w:val="20"/>
                <w:color w:val="auto"/>
              </w:rPr>
            </w:pPr>
            <w:r>
              <w:rPr>
                <w:rFonts w:ascii="Arial" w:cs="Arial" w:eastAsia="Arial" w:hAnsi="Arial"/>
                <w:sz w:val="16"/>
                <w:szCs w:val="16"/>
                <w:color w:val="auto"/>
              </w:rPr>
              <w:t xml:space="preserve">Due from GasLog LNG Services </w:t>
            </w:r>
            <w:r>
              <w:rPr>
                <w:rFonts w:ascii="Arial" w:cs="Arial" w:eastAsia="Arial" w:hAnsi="Arial"/>
                <w:sz w:val="21"/>
                <w:szCs w:val="21"/>
                <w:color w:val="auto"/>
                <w:vertAlign w:val="superscript"/>
              </w:rPr>
              <w:t>(a)</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152</w:t>
            </w:r>
          </w:p>
        </w:tc>
      </w:tr>
      <w:tr>
        <w:trPr>
          <w:trHeight w:val="203"/>
        </w:trPr>
        <w:tc>
          <w:tcPr>
            <w:tcW w:w="7620" w:type="dxa"/>
            <w:vAlign w:val="bottom"/>
          </w:tcPr>
          <w:p>
            <w:pPr>
              <w:spacing w:after="0" w:line="203" w:lineRule="exact"/>
              <w:rPr>
                <w:sz w:val="20"/>
                <w:szCs w:val="20"/>
                <w:color w:val="auto"/>
              </w:rPr>
            </w:pPr>
            <w:r>
              <w:rPr>
                <w:rFonts w:ascii="Arial" w:cs="Arial" w:eastAsia="Arial" w:hAnsi="Arial"/>
                <w:sz w:val="16"/>
                <w:szCs w:val="16"/>
                <w:color w:val="auto"/>
              </w:rPr>
              <w:t xml:space="preserve">Due from the Cool Pool </w:t>
            </w:r>
            <w:r>
              <w:rPr>
                <w:rFonts w:ascii="Arial" w:cs="Arial" w:eastAsia="Arial" w:hAnsi="Arial"/>
                <w:sz w:val="21"/>
                <w:szCs w:val="21"/>
                <w:color w:val="auto"/>
                <w:vertAlign w:val="superscript"/>
              </w:rPr>
              <w:t>(b)</w:t>
            </w: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5,281</w:t>
            </w:r>
          </w:p>
        </w:tc>
        <w:tc>
          <w:tcPr>
            <w:tcW w:w="1820" w:type="dxa"/>
            <w:vAlign w:val="bottom"/>
          </w:tcPr>
          <w:p>
            <w:pPr>
              <w:jc w:val="right"/>
              <w:spacing w:after="0"/>
              <w:rPr>
                <w:sz w:val="20"/>
                <w:szCs w:val="20"/>
                <w:color w:val="auto"/>
              </w:rPr>
            </w:pPr>
            <w:r>
              <w:rPr>
                <w:rFonts w:ascii="Arial" w:cs="Arial" w:eastAsia="Arial" w:hAnsi="Arial"/>
                <w:sz w:val="16"/>
                <w:szCs w:val="16"/>
                <w:color w:val="auto"/>
              </w:rPr>
              <w:t>738</w:t>
            </w:r>
          </w:p>
        </w:tc>
      </w:tr>
      <w:tr>
        <w:trPr>
          <w:trHeight w:val="196"/>
        </w:trPr>
        <w:tc>
          <w:tcPr>
            <w:tcW w:w="76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5,281</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890</w:t>
            </w:r>
          </w:p>
        </w:tc>
      </w:tr>
      <w:tr>
        <w:trPr>
          <w:trHeight w:val="20"/>
        </w:trPr>
        <w:tc>
          <w:tcPr>
            <w:tcW w:w="7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6"/>
        </w:trPr>
        <w:tc>
          <w:tcPr>
            <w:tcW w:w="7620" w:type="dxa"/>
            <w:vAlign w:val="bottom"/>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19"/>
        </w:trPr>
        <w:tc>
          <w:tcPr>
            <w:tcW w:w="762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2018</w:t>
            </w:r>
          </w:p>
        </w:tc>
        <w:tc>
          <w:tcPr>
            <w:tcW w:w="18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 2019</w:t>
            </w:r>
          </w:p>
        </w:tc>
      </w:tr>
      <w:tr>
        <w:trPr>
          <w:trHeight w:val="202"/>
        </w:trPr>
        <w:tc>
          <w:tcPr>
            <w:tcW w:w="7620" w:type="dxa"/>
            <w:vAlign w:val="bottom"/>
            <w:tcBorders>
              <w:top w:val="single" w:sz="8" w:color="E5FFFF"/>
            </w:tcBorders>
            <w:shd w:val="clear" w:color="auto" w:fill="E5FFFF"/>
          </w:tcPr>
          <w:p>
            <w:pPr>
              <w:spacing w:after="0" w:line="202" w:lineRule="exact"/>
              <w:rPr>
                <w:sz w:val="20"/>
                <w:szCs w:val="20"/>
                <w:color w:val="auto"/>
              </w:rPr>
            </w:pPr>
            <w:r>
              <w:rPr>
                <w:rFonts w:ascii="Arial" w:cs="Arial" w:eastAsia="Arial" w:hAnsi="Arial"/>
                <w:sz w:val="16"/>
                <w:szCs w:val="16"/>
                <w:color w:val="auto"/>
              </w:rPr>
              <w:t xml:space="preserve">Due to GasLog LNG Services </w:t>
            </w:r>
            <w:r>
              <w:rPr>
                <w:rFonts w:ascii="Arial" w:cs="Arial" w:eastAsia="Arial" w:hAnsi="Arial"/>
                <w:sz w:val="21"/>
                <w:szCs w:val="21"/>
                <w:color w:val="auto"/>
                <w:vertAlign w:val="superscript"/>
              </w:rPr>
              <w:t>(a)</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1,368</w:t>
            </w:r>
          </w:p>
        </w:tc>
        <w:tc>
          <w:tcPr>
            <w:tcW w:w="28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620" w:type="dxa"/>
            <w:vAlign w:val="bottom"/>
          </w:tcPr>
          <w:p>
            <w:pPr>
              <w:spacing w:after="0" w:line="203" w:lineRule="exact"/>
              <w:rPr>
                <w:sz w:val="20"/>
                <w:szCs w:val="20"/>
                <w:color w:val="auto"/>
              </w:rPr>
            </w:pPr>
            <w:r>
              <w:rPr>
                <w:rFonts w:ascii="Arial" w:cs="Arial" w:eastAsia="Arial" w:hAnsi="Arial"/>
                <w:sz w:val="16"/>
                <w:szCs w:val="16"/>
                <w:color w:val="auto"/>
              </w:rPr>
              <w:t xml:space="preserve">Due to GasLog </w:t>
            </w:r>
            <w:r>
              <w:rPr>
                <w:rFonts w:ascii="Arial" w:cs="Arial" w:eastAsia="Arial" w:hAnsi="Arial"/>
                <w:sz w:val="21"/>
                <w:szCs w:val="21"/>
                <w:color w:val="auto"/>
                <w:vertAlign w:val="superscript"/>
              </w:rPr>
              <w:t>(c)</w:t>
            </w: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654</w:t>
            </w:r>
          </w:p>
        </w:tc>
        <w:tc>
          <w:tcPr>
            <w:tcW w:w="182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196"/>
        </w:trPr>
        <w:tc>
          <w:tcPr>
            <w:tcW w:w="76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210</w:t>
            </w:r>
          </w:p>
        </w:tc>
      </w:tr>
      <w:tr>
        <w:trPr>
          <w:trHeight w:val="20"/>
        </w:trPr>
        <w:tc>
          <w:tcPr>
            <w:tcW w:w="7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right="200" w:hanging="328"/>
        <w:spacing w:after="0" w:line="189" w:lineRule="auto"/>
        <w:tabs>
          <w:tab w:leader="none" w:pos="655"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The balance as of March 31, 2019 represents mainly net amounts advanced to the Manager to cover future operating expenses of the Partnership. The balance as of December 31, 2018 represents mainly payments made by the Manager on behalf of the Partnership.</w:t>
      </w:r>
    </w:p>
    <w:p>
      <w:pPr>
        <w:spacing w:after="0" w:line="1" w:lineRule="exact"/>
        <w:rPr>
          <w:rFonts w:ascii="Arial" w:cs="Arial" w:eastAsia="Arial" w:hAnsi="Arial"/>
          <w:sz w:val="21"/>
          <w:szCs w:val="21"/>
          <w:color w:val="auto"/>
          <w:vertAlign w:val="superscript"/>
        </w:rPr>
      </w:pPr>
    </w:p>
    <w:p>
      <w:pPr>
        <w:ind w:left="660" w:right="180" w:hanging="328"/>
        <w:spacing w:after="0" w:line="182" w:lineRule="auto"/>
        <w:tabs>
          <w:tab w:leader="none" w:pos="648"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 xml:space="preserve">In May 2018, the Partnership, through the </w:t>
      </w:r>
      <w:r>
        <w:rPr>
          <w:rFonts w:ascii="Arial" w:cs="Arial" w:eastAsia="Arial" w:hAnsi="Arial"/>
          <w:sz w:val="13"/>
          <w:szCs w:val="13"/>
          <w:i w:val="1"/>
          <w:iCs w:val="1"/>
          <w:color w:val="auto"/>
        </w:rPr>
        <w:t>GasLog Shanghai</w:t>
      </w:r>
      <w:r>
        <w:rPr>
          <w:rFonts w:ascii="Arial" w:cs="Arial" w:eastAsia="Arial" w:hAnsi="Arial"/>
          <w:sz w:val="13"/>
          <w:szCs w:val="13"/>
          <w:color w:val="auto"/>
        </w:rPr>
        <w:t>, entered the Cool Pool, an LNG carrier pooling arrangement operated by GasLog and Golar LNG Ltd. (the “Cool Pool”) to market their vessels operating in the LNG shipping spot market. The receivable balances as of December 31, 2018 and March 31, 2019 comprise outstanding pool distributions.</w:t>
      </w:r>
    </w:p>
    <w:p>
      <w:pPr>
        <w:ind w:left="660" w:hanging="328"/>
        <w:spacing w:after="0" w:line="187" w:lineRule="auto"/>
        <w:tabs>
          <w:tab w:leader="none" w:pos="660" w:val="left"/>
        </w:tabs>
        <w:numPr>
          <w:ilvl w:val="0"/>
          <w:numId w:val="21"/>
        </w:numPr>
        <w:rPr>
          <w:rFonts w:ascii="Arial" w:cs="Arial" w:eastAsia="Arial" w:hAnsi="Arial"/>
          <w:sz w:val="19"/>
          <w:szCs w:val="19"/>
          <w:color w:val="auto"/>
          <w:vertAlign w:val="superscript"/>
        </w:rPr>
      </w:pPr>
      <w:r>
        <w:rPr>
          <w:rFonts w:ascii="Arial" w:cs="Arial" w:eastAsia="Arial" w:hAnsi="Arial"/>
          <w:sz w:val="12"/>
          <w:szCs w:val="12"/>
          <w:color w:val="auto"/>
        </w:rPr>
        <w:t>The balances represent mainly payments made by GasLog on behalf of the Partnership.</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due to related parties</w:t>
      </w:r>
    </w:p>
    <w:p>
      <w:pPr>
        <w:spacing w:after="0" w:line="235" w:lineRule="exact"/>
        <w:rPr>
          <w:sz w:val="20"/>
          <w:szCs w:val="20"/>
          <w:color w:val="auto"/>
        </w:rPr>
      </w:pPr>
    </w:p>
    <w:p>
      <w:pPr>
        <w:ind w:right="660" w:firstLine="405"/>
        <w:spacing w:after="0" w:line="293" w:lineRule="auto"/>
        <w:rPr>
          <w:sz w:val="20"/>
          <w:szCs w:val="20"/>
          <w:color w:val="auto"/>
        </w:rPr>
      </w:pPr>
      <w:r>
        <w:rPr>
          <w:rFonts w:ascii="Arial" w:cs="Arial" w:eastAsia="Arial" w:hAnsi="Arial"/>
          <w:sz w:val="16"/>
          <w:szCs w:val="16"/>
          <w:color w:val="auto"/>
        </w:rPr>
        <w:t>The main terms of the revolving credit facility of $30,000 with GasLog (the “Sponsor Credit Facility”) have been disclosed in the annual consolidated financial statements for the year ended December 31, 2018. Refer to Note 6 “Borrowings”.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and March 31, 2019, the amount outstanding under the Sponsor Credit Facility was nil.</w:t>
      </w:r>
    </w:p>
    <w:p>
      <w:pPr>
        <w:spacing w:after="0" w:line="23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Partnership had the following transactions with related parties, which have been included in the unaudited condensed consolidated statements of profit or loss for the three months ended March 31, 2018 and 2019:</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4"/>
          </w:tcPr>
          <w:p>
            <w:pPr>
              <w:ind w:left="560"/>
              <w:spacing w:after="0"/>
              <w:rPr>
                <w:sz w:val="20"/>
                <w:szCs w:val="20"/>
                <w:color w:val="auto"/>
              </w:rPr>
            </w:pPr>
            <w:r>
              <w:rPr>
                <w:rFonts w:ascii="Arial" w:cs="Arial" w:eastAsia="Arial" w:hAnsi="Arial"/>
                <w:sz w:val="14"/>
                <w:szCs w:val="14"/>
                <w:b w:val="1"/>
                <w:bCs w:val="1"/>
                <w:color w:val="auto"/>
              </w:rPr>
              <w:t>For the three months ended</w:t>
            </w:r>
          </w:p>
        </w:tc>
      </w:tr>
      <w:tr>
        <w:trPr>
          <w:trHeight w:val="174"/>
        </w:trPr>
        <w:tc>
          <w:tcPr>
            <w:tcW w:w="1980" w:type="dxa"/>
            <w:vAlign w:val="bottom"/>
            <w:gridSpan w:val="2"/>
          </w:tcPr>
          <w:p>
            <w:pPr>
              <w:ind w:left="580"/>
              <w:spacing w:after="0"/>
              <w:rPr>
                <w:sz w:val="20"/>
                <w:szCs w:val="20"/>
                <w:color w:val="auto"/>
              </w:rPr>
            </w:pPr>
            <w:r>
              <w:rPr>
                <w:rFonts w:ascii="Arial" w:cs="Arial" w:eastAsia="Arial" w:hAnsi="Arial"/>
                <w:sz w:val="14"/>
                <w:szCs w:val="14"/>
                <w:b w:val="1"/>
                <w:bCs w:val="1"/>
                <w:color w:val="auto"/>
              </w:rPr>
              <w:t>Company</w:t>
            </w:r>
          </w:p>
        </w:tc>
        <w:tc>
          <w:tcPr>
            <w:tcW w:w="2560" w:type="dxa"/>
            <w:vAlign w:val="bottom"/>
          </w:tcPr>
          <w:p>
            <w:pPr>
              <w:ind w:left="1060"/>
              <w:spacing w:after="0"/>
              <w:rPr>
                <w:sz w:val="20"/>
                <w:szCs w:val="20"/>
                <w:color w:val="auto"/>
              </w:rPr>
            </w:pPr>
            <w:r>
              <w:rPr>
                <w:rFonts w:ascii="Arial" w:cs="Arial" w:eastAsia="Arial" w:hAnsi="Arial"/>
                <w:sz w:val="14"/>
                <w:szCs w:val="14"/>
                <w:b w:val="1"/>
                <w:bCs w:val="1"/>
                <w:color w:val="auto"/>
              </w:rPr>
              <w:t>Details</w:t>
            </w:r>
          </w:p>
        </w:tc>
        <w:tc>
          <w:tcPr>
            <w:tcW w:w="200" w:type="dxa"/>
            <w:vAlign w:val="bottom"/>
          </w:tcPr>
          <w:p>
            <w:pPr>
              <w:spacing w:after="0"/>
              <w:rPr>
                <w:sz w:val="15"/>
                <w:szCs w:val="15"/>
                <w:color w:val="auto"/>
              </w:rPr>
            </w:pPr>
          </w:p>
        </w:tc>
        <w:tc>
          <w:tcPr>
            <w:tcW w:w="2140" w:type="dxa"/>
            <w:vAlign w:val="bottom"/>
            <w:gridSpan w:val="2"/>
          </w:tcPr>
          <w:p>
            <w:pPr>
              <w:ind w:left="720"/>
              <w:spacing w:after="0"/>
              <w:rPr>
                <w:sz w:val="20"/>
                <w:szCs w:val="20"/>
                <w:color w:val="auto"/>
              </w:rPr>
            </w:pPr>
            <w:r>
              <w:rPr>
                <w:rFonts w:ascii="Arial" w:cs="Arial" w:eastAsia="Arial" w:hAnsi="Arial"/>
                <w:sz w:val="14"/>
                <w:szCs w:val="14"/>
                <w:b w:val="1"/>
                <w:bCs w:val="1"/>
                <w:color w:val="auto"/>
              </w:rPr>
              <w:t>Account</w:t>
            </w: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r>
      <w:tr>
        <w:trPr>
          <w:trHeight w:val="123"/>
        </w:trPr>
        <w:tc>
          <w:tcPr>
            <w:tcW w:w="1780" w:type="dxa"/>
            <w:vAlign w:val="bottom"/>
            <w:tcBorders>
              <w:top w:val="single" w:sz="8" w:color="auto"/>
            </w:tcBorders>
            <w:shd w:val="clear" w:color="auto" w:fill="E5FFFF"/>
          </w:tcPr>
          <w:p>
            <w:pPr>
              <w:spacing w:after="0" w:line="123" w:lineRule="exact"/>
              <w:rPr>
                <w:sz w:val="20"/>
                <w:szCs w:val="20"/>
                <w:color w:val="auto"/>
              </w:rPr>
            </w:pPr>
            <w:r>
              <w:rPr>
                <w:rFonts w:ascii="Arial" w:cs="Arial" w:eastAsia="Arial" w:hAnsi="Arial"/>
                <w:sz w:val="14"/>
                <w:szCs w:val="14"/>
                <w:color w:val="auto"/>
              </w:rPr>
              <w:t>GasLog</w:t>
            </w:r>
          </w:p>
        </w:tc>
        <w:tc>
          <w:tcPr>
            <w:tcW w:w="200" w:type="dxa"/>
            <w:vAlign w:val="bottom"/>
            <w:tcBorders>
              <w:top w:val="single" w:sz="8" w:color="E5FFFF"/>
            </w:tcBorders>
            <w:shd w:val="clear" w:color="auto" w:fill="E5FFFF"/>
          </w:tcPr>
          <w:p>
            <w:pPr>
              <w:spacing w:after="0"/>
              <w:rPr>
                <w:sz w:val="10"/>
                <w:szCs w:val="10"/>
                <w:color w:val="auto"/>
              </w:rPr>
            </w:pPr>
          </w:p>
        </w:tc>
        <w:tc>
          <w:tcPr>
            <w:tcW w:w="2560" w:type="dxa"/>
            <w:vAlign w:val="bottom"/>
            <w:tcBorders>
              <w:top w:val="single" w:sz="8" w:color="auto"/>
            </w:tcBorders>
            <w:shd w:val="clear" w:color="auto" w:fill="E5FFFF"/>
          </w:tcPr>
          <w:p>
            <w:pPr>
              <w:spacing w:after="0" w:line="123" w:lineRule="exact"/>
              <w:rPr>
                <w:sz w:val="20"/>
                <w:szCs w:val="20"/>
                <w:color w:val="auto"/>
              </w:rPr>
            </w:pPr>
            <w:r>
              <w:rPr>
                <w:rFonts w:ascii="Arial" w:cs="Arial" w:eastAsia="Arial" w:hAnsi="Arial"/>
                <w:sz w:val="12"/>
                <w:szCs w:val="12"/>
                <w:color w:val="auto"/>
              </w:rPr>
              <w:t>Commercial management fee</w:t>
            </w:r>
            <w:r>
              <w:rPr>
                <w:rFonts w:ascii="Arial" w:cs="Arial" w:eastAsia="Arial" w:hAnsi="Arial"/>
                <w:sz w:val="14"/>
                <w:szCs w:val="14"/>
                <w:color w:val="auto"/>
                <w:vertAlign w:val="superscript"/>
              </w:rPr>
              <w:t>(i)</w:t>
            </w:r>
          </w:p>
        </w:tc>
        <w:tc>
          <w:tcPr>
            <w:tcW w:w="200" w:type="dxa"/>
            <w:vAlign w:val="bottom"/>
            <w:tcBorders>
              <w:top w:val="single" w:sz="8" w:color="E5FFFF"/>
            </w:tcBorders>
            <w:shd w:val="clear" w:color="auto" w:fill="E5FFFF"/>
          </w:tcPr>
          <w:p>
            <w:pPr>
              <w:spacing w:after="0"/>
              <w:rPr>
                <w:sz w:val="10"/>
                <w:szCs w:val="10"/>
                <w:color w:val="auto"/>
              </w:rPr>
            </w:pPr>
          </w:p>
        </w:tc>
        <w:tc>
          <w:tcPr>
            <w:tcW w:w="1960" w:type="dxa"/>
            <w:vAlign w:val="bottom"/>
            <w:tcBorders>
              <w:top w:val="single" w:sz="8" w:color="auto"/>
            </w:tcBorders>
            <w:shd w:val="clear" w:color="auto" w:fill="E5FFFF"/>
          </w:tcPr>
          <w:p>
            <w:pPr>
              <w:spacing w:after="0" w:line="123" w:lineRule="exact"/>
              <w:rPr>
                <w:sz w:val="20"/>
                <w:szCs w:val="20"/>
                <w:color w:val="auto"/>
              </w:rPr>
            </w:pPr>
            <w:r>
              <w:rPr>
                <w:rFonts w:ascii="Arial" w:cs="Arial" w:eastAsia="Arial" w:hAnsi="Arial"/>
                <w:sz w:val="14"/>
                <w:szCs w:val="14"/>
                <w:color w:val="auto"/>
              </w:rPr>
              <w:t>General and administrative</w:t>
            </w:r>
          </w:p>
        </w:tc>
        <w:tc>
          <w:tcPr>
            <w:tcW w:w="180" w:type="dxa"/>
            <w:vAlign w:val="bottom"/>
            <w:tcBorders>
              <w:top w:val="single" w:sz="8" w:color="E5FFFF"/>
            </w:tcBorders>
            <w:shd w:val="clear" w:color="auto" w:fill="E5FFFF"/>
          </w:tcPr>
          <w:p>
            <w:pPr>
              <w:spacing w:after="0"/>
              <w:rPr>
                <w:sz w:val="10"/>
                <w:szCs w:val="10"/>
                <w:color w:val="auto"/>
              </w:rPr>
            </w:pPr>
          </w:p>
        </w:tc>
        <w:tc>
          <w:tcPr>
            <w:tcW w:w="1280" w:type="dxa"/>
            <w:vAlign w:val="bottom"/>
            <w:tcBorders>
              <w:top w:val="single" w:sz="8" w:color="auto"/>
            </w:tcBorders>
            <w:shd w:val="clear" w:color="auto" w:fill="E5FFFF"/>
          </w:tcPr>
          <w:p>
            <w:pPr>
              <w:spacing w:after="0"/>
              <w:rPr>
                <w:sz w:val="10"/>
                <w:szCs w:val="10"/>
                <w:color w:val="auto"/>
              </w:rPr>
            </w:pPr>
          </w:p>
        </w:tc>
        <w:tc>
          <w:tcPr>
            <w:tcW w:w="180" w:type="dxa"/>
            <w:vAlign w:val="bottom"/>
            <w:tcBorders>
              <w:top w:val="single" w:sz="8" w:color="E5FFFF"/>
            </w:tcBorders>
            <w:shd w:val="clear" w:color="auto" w:fill="E5FFFF"/>
          </w:tcPr>
          <w:p>
            <w:pPr>
              <w:spacing w:after="0"/>
              <w:rPr>
                <w:sz w:val="10"/>
                <w:szCs w:val="10"/>
                <w:color w:val="auto"/>
              </w:rPr>
            </w:pPr>
          </w:p>
        </w:tc>
        <w:tc>
          <w:tcPr>
            <w:tcW w:w="1360" w:type="dxa"/>
            <w:vAlign w:val="bottom"/>
            <w:tcBorders>
              <w:top w:val="single" w:sz="8" w:color="auto"/>
            </w:tcBorders>
            <w:shd w:val="clear" w:color="auto" w:fill="E5FFFF"/>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178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2560" w:type="dxa"/>
            <w:vAlign w:val="bottom"/>
            <w:shd w:val="clear" w:color="auto" w:fill="E5FFFF"/>
          </w:tcPr>
          <w:p>
            <w:pPr>
              <w:spacing w:after="0"/>
              <w:rPr>
                <w:sz w:val="14"/>
                <w:szCs w:val="14"/>
                <w:color w:val="auto"/>
              </w:rPr>
            </w:pPr>
          </w:p>
        </w:tc>
        <w:tc>
          <w:tcPr>
            <w:tcW w:w="2340" w:type="dxa"/>
            <w:vAlign w:val="bottom"/>
            <w:gridSpan w:val="3"/>
            <w:shd w:val="clear" w:color="auto" w:fill="E5FFFF"/>
          </w:tcPr>
          <w:p>
            <w:pPr>
              <w:ind w:left="200"/>
              <w:spacing w:after="0"/>
              <w:rPr>
                <w:sz w:val="20"/>
                <w:szCs w:val="20"/>
                <w:color w:val="auto"/>
              </w:rPr>
            </w:pPr>
            <w:r>
              <w:rPr>
                <w:rFonts w:ascii="Arial" w:cs="Arial" w:eastAsia="Arial" w:hAnsi="Arial"/>
                <w:sz w:val="14"/>
                <w:szCs w:val="14"/>
                <w:color w:val="auto"/>
              </w:rPr>
              <w:t>expenses</w:t>
            </w:r>
          </w:p>
        </w:tc>
        <w:tc>
          <w:tcPr>
            <w:tcW w:w="14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1,260</w:t>
            </w:r>
          </w:p>
        </w:tc>
        <w:tc>
          <w:tcPr>
            <w:tcW w:w="13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1,260</w:t>
            </w:r>
          </w:p>
        </w:tc>
        <w:tc>
          <w:tcPr>
            <w:tcW w:w="40" w:type="dxa"/>
            <w:vAlign w:val="bottom"/>
          </w:tcPr>
          <w:p>
            <w:pPr>
              <w:spacing w:after="0"/>
              <w:rPr>
                <w:sz w:val="14"/>
                <w:szCs w:val="14"/>
                <w:color w:val="auto"/>
              </w:rPr>
            </w:pPr>
          </w:p>
        </w:tc>
      </w:tr>
      <w:tr>
        <w:trPr>
          <w:trHeight w:val="130"/>
        </w:trPr>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2560" w:type="dxa"/>
            <w:vAlign w:val="bottom"/>
          </w:tcPr>
          <w:p>
            <w:pPr>
              <w:spacing w:after="0" w:line="130" w:lineRule="exact"/>
              <w:rPr>
                <w:sz w:val="20"/>
                <w:szCs w:val="20"/>
                <w:color w:val="auto"/>
              </w:rPr>
            </w:pPr>
            <w:r>
              <w:rPr>
                <w:rFonts w:ascii="Arial" w:cs="Arial" w:eastAsia="Arial" w:hAnsi="Arial"/>
                <w:sz w:val="13"/>
                <w:szCs w:val="13"/>
                <w:color w:val="auto"/>
              </w:rPr>
              <w:t>Administrative services fee</w:t>
            </w:r>
            <w:r>
              <w:rPr>
                <w:rFonts w:ascii="Arial" w:cs="Arial" w:eastAsia="Arial" w:hAnsi="Arial"/>
                <w:sz w:val="15"/>
                <w:szCs w:val="15"/>
                <w:color w:val="auto"/>
                <w:vertAlign w:val="superscript"/>
              </w:rPr>
              <w:t>(ii)</w:t>
            </w:r>
          </w:p>
        </w:tc>
        <w:tc>
          <w:tcPr>
            <w:tcW w:w="23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General and administrative</w:t>
            </w: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340" w:type="dxa"/>
            <w:vAlign w:val="bottom"/>
            <w:gridSpan w:val="3"/>
          </w:tcPr>
          <w:p>
            <w:pPr>
              <w:ind w:left="200"/>
              <w:spacing w:after="0"/>
              <w:rPr>
                <w:sz w:val="20"/>
                <w:szCs w:val="20"/>
                <w:color w:val="auto"/>
              </w:rPr>
            </w:pPr>
            <w:r>
              <w:rPr>
                <w:rFonts w:ascii="Arial" w:cs="Arial" w:eastAsia="Arial" w:hAnsi="Arial"/>
                <w:sz w:val="14"/>
                <w:szCs w:val="14"/>
                <w:color w:val="auto"/>
              </w:rPr>
              <w:t>expenses</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2,435</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2,127</w:t>
            </w:r>
          </w:p>
        </w:tc>
      </w:tr>
      <w:tr>
        <w:trPr>
          <w:trHeight w:val="149"/>
        </w:trPr>
        <w:tc>
          <w:tcPr>
            <w:tcW w:w="19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LNG Services</w:t>
            </w:r>
          </w:p>
        </w:tc>
        <w:tc>
          <w:tcPr>
            <w:tcW w:w="25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7"/>
                <w:szCs w:val="17"/>
                <w:color w:val="auto"/>
                <w:vertAlign w:val="superscript"/>
              </w:rPr>
              <w:t>(iii)</w:t>
            </w:r>
          </w:p>
        </w:tc>
        <w:tc>
          <w:tcPr>
            <w:tcW w:w="2340" w:type="dxa"/>
            <w:vAlign w:val="bottom"/>
            <w:gridSpan w:val="3"/>
            <w:shd w:val="clear" w:color="auto" w:fill="E5FFFF"/>
          </w:tcPr>
          <w:p>
            <w:pPr>
              <w:ind w:left="200"/>
              <w:spacing w:after="0" w:line="149" w:lineRule="exact"/>
              <w:rPr>
                <w:sz w:val="20"/>
                <w:szCs w:val="20"/>
                <w:color w:val="auto"/>
              </w:rPr>
            </w:pPr>
            <w:r>
              <w:rPr>
                <w:rFonts w:ascii="Arial" w:cs="Arial" w:eastAsia="Arial" w:hAnsi="Arial"/>
                <w:sz w:val="14"/>
                <w:szCs w:val="14"/>
                <w:color w:val="auto"/>
              </w:rPr>
              <w:t>Vessel operating costs</w:t>
            </w:r>
          </w:p>
        </w:tc>
        <w:tc>
          <w:tcPr>
            <w:tcW w:w="14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1,794</w:t>
            </w:r>
          </w:p>
        </w:tc>
        <w:tc>
          <w:tcPr>
            <w:tcW w:w="13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1,794</w:t>
            </w:r>
          </w:p>
        </w:tc>
        <w:tc>
          <w:tcPr>
            <w:tcW w:w="40" w:type="dxa"/>
            <w:vAlign w:val="bottom"/>
          </w:tcPr>
          <w:p>
            <w:pPr>
              <w:spacing w:after="0"/>
              <w:rPr>
                <w:sz w:val="12"/>
                <w:szCs w:val="12"/>
                <w:color w:val="auto"/>
              </w:rPr>
            </w:pPr>
          </w:p>
        </w:tc>
      </w:tr>
      <w:tr>
        <w:trPr>
          <w:trHeight w:val="149"/>
        </w:trPr>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GasLog LNG Services</w:t>
            </w: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Other vessel operating costs</w:t>
            </w:r>
          </w:p>
        </w:tc>
        <w:tc>
          <w:tcPr>
            <w:tcW w:w="23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Vessel operating costs</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r>
      <w:tr>
        <w:trPr>
          <w:trHeight w:val="130"/>
        </w:trPr>
        <w:tc>
          <w:tcPr>
            <w:tcW w:w="198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56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Interest expense under Sponsor Credit</w:t>
            </w:r>
          </w:p>
        </w:tc>
        <w:tc>
          <w:tcPr>
            <w:tcW w:w="2340" w:type="dxa"/>
            <w:vAlign w:val="bottom"/>
            <w:gridSpan w:val="3"/>
            <w:shd w:val="clear" w:color="auto" w:fill="E5FFFF"/>
          </w:tcPr>
          <w:p>
            <w:pPr>
              <w:ind w:left="200"/>
              <w:spacing w:after="0" w:line="130" w:lineRule="exact"/>
              <w:rPr>
                <w:sz w:val="20"/>
                <w:szCs w:val="20"/>
                <w:color w:val="auto"/>
              </w:rPr>
            </w:pPr>
            <w:r>
              <w:rPr>
                <w:rFonts w:ascii="Arial" w:cs="Arial" w:eastAsia="Arial" w:hAnsi="Arial"/>
                <w:sz w:val="14"/>
                <w:szCs w:val="14"/>
                <w:color w:val="auto"/>
              </w:rPr>
              <w:t>Financial costs</w:t>
            </w:r>
          </w:p>
        </w:tc>
        <w:tc>
          <w:tcPr>
            <w:tcW w:w="12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36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78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2560" w:type="dxa"/>
            <w:vAlign w:val="bottom"/>
            <w:shd w:val="clear" w:color="auto" w:fill="E5FFFF"/>
          </w:tcPr>
          <w:p>
            <w:pPr>
              <w:spacing w:after="0"/>
              <w:rPr>
                <w:sz w:val="20"/>
                <w:szCs w:val="20"/>
                <w:color w:val="auto"/>
              </w:rPr>
            </w:pPr>
            <w:r>
              <w:rPr>
                <w:rFonts w:ascii="Arial" w:cs="Arial" w:eastAsia="Arial" w:hAnsi="Arial"/>
                <w:sz w:val="14"/>
                <w:szCs w:val="14"/>
                <w:color w:val="auto"/>
              </w:rPr>
              <w:t>Facility</w:t>
            </w:r>
          </w:p>
        </w:tc>
        <w:tc>
          <w:tcPr>
            <w:tcW w:w="200" w:type="dxa"/>
            <w:vAlign w:val="bottom"/>
            <w:shd w:val="clear" w:color="auto" w:fill="E5FFFF"/>
          </w:tcPr>
          <w:p>
            <w:pPr>
              <w:spacing w:after="0"/>
              <w:rPr>
                <w:sz w:val="14"/>
                <w:szCs w:val="14"/>
                <w:color w:val="auto"/>
              </w:rPr>
            </w:pPr>
          </w:p>
        </w:tc>
        <w:tc>
          <w:tcPr>
            <w:tcW w:w="19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935</w:t>
            </w:r>
          </w:p>
        </w:tc>
        <w:tc>
          <w:tcPr>
            <w:tcW w:w="180" w:type="dxa"/>
            <w:vAlign w:val="bottom"/>
            <w:shd w:val="clear" w:color="auto" w:fill="E5FFFF"/>
          </w:tcPr>
          <w:p>
            <w:pPr>
              <w:spacing w:after="0"/>
              <w:rPr>
                <w:sz w:val="14"/>
                <w:szCs w:val="14"/>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30"/>
        </w:trPr>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2560" w:type="dxa"/>
            <w:vAlign w:val="bottom"/>
          </w:tcPr>
          <w:p>
            <w:pPr>
              <w:spacing w:after="0" w:line="130" w:lineRule="exact"/>
              <w:rPr>
                <w:sz w:val="20"/>
                <w:szCs w:val="20"/>
                <w:color w:val="auto"/>
              </w:rPr>
            </w:pPr>
            <w:r>
              <w:rPr>
                <w:rFonts w:ascii="Arial" w:cs="Arial" w:eastAsia="Arial" w:hAnsi="Arial"/>
                <w:sz w:val="14"/>
                <w:szCs w:val="14"/>
                <w:color w:val="auto"/>
              </w:rPr>
              <w:t>Commitment fee under Sponsor Credit</w:t>
            </w:r>
          </w:p>
        </w:tc>
        <w:tc>
          <w:tcPr>
            <w:tcW w:w="23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Financial costs</w:t>
            </w: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4"/>
                <w:szCs w:val="14"/>
                <w:color w:val="auto"/>
              </w:rPr>
              <w:t>Facility</w:t>
            </w:r>
          </w:p>
        </w:tc>
        <w:tc>
          <w:tcPr>
            <w:tcW w:w="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75</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75</w:t>
            </w:r>
          </w:p>
        </w:tc>
        <w:tc>
          <w:tcPr>
            <w:tcW w:w="40" w:type="dxa"/>
            <w:vAlign w:val="bottom"/>
          </w:tcPr>
          <w:p>
            <w:pPr>
              <w:spacing w:after="0"/>
              <w:rPr>
                <w:sz w:val="14"/>
                <w:szCs w:val="14"/>
                <w:color w:val="auto"/>
              </w:rPr>
            </w:pPr>
          </w:p>
        </w:tc>
      </w:tr>
      <w:tr>
        <w:trPr>
          <w:trHeight w:val="130"/>
        </w:trPr>
        <w:tc>
          <w:tcPr>
            <w:tcW w:w="198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56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w w:val="96"/>
              </w:rPr>
              <w:t>Realized loss/(gain) on interest rate swaps</w:t>
            </w:r>
          </w:p>
        </w:tc>
        <w:tc>
          <w:tcPr>
            <w:tcW w:w="2340" w:type="dxa"/>
            <w:vAlign w:val="bottom"/>
            <w:gridSpan w:val="3"/>
            <w:shd w:val="clear" w:color="auto" w:fill="E5FFFF"/>
          </w:tcPr>
          <w:p>
            <w:pPr>
              <w:ind w:left="200"/>
              <w:spacing w:after="0" w:line="130" w:lineRule="exact"/>
              <w:rPr>
                <w:sz w:val="20"/>
                <w:szCs w:val="20"/>
                <w:color w:val="auto"/>
              </w:rPr>
            </w:pPr>
            <w:r>
              <w:rPr>
                <w:rFonts w:ascii="Arial" w:cs="Arial" w:eastAsia="Arial" w:hAnsi="Arial"/>
                <w:sz w:val="14"/>
                <w:szCs w:val="14"/>
                <w:color w:val="auto"/>
              </w:rPr>
              <w:t>Gain/(loss) on derivatives</w:t>
            </w:r>
          </w:p>
        </w:tc>
        <w:tc>
          <w:tcPr>
            <w:tcW w:w="12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36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78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2560" w:type="dxa"/>
            <w:vAlign w:val="bottom"/>
            <w:shd w:val="clear" w:color="auto" w:fill="E5FFFF"/>
          </w:tcPr>
          <w:p>
            <w:pPr>
              <w:spacing w:after="0"/>
              <w:rPr>
                <w:sz w:val="20"/>
                <w:szCs w:val="20"/>
                <w:color w:val="auto"/>
              </w:rPr>
            </w:pPr>
            <w:r>
              <w:rPr>
                <w:rFonts w:ascii="Arial" w:cs="Arial" w:eastAsia="Arial" w:hAnsi="Arial"/>
                <w:sz w:val="14"/>
                <w:szCs w:val="14"/>
                <w:color w:val="auto"/>
              </w:rPr>
              <w:t>(Note 13)</w:t>
            </w:r>
          </w:p>
        </w:tc>
        <w:tc>
          <w:tcPr>
            <w:tcW w:w="200" w:type="dxa"/>
            <w:vAlign w:val="bottom"/>
            <w:shd w:val="clear" w:color="auto" w:fill="E5FFFF"/>
          </w:tcPr>
          <w:p>
            <w:pPr>
              <w:spacing w:after="0"/>
              <w:rPr>
                <w:sz w:val="14"/>
                <w:szCs w:val="14"/>
                <w:color w:val="auto"/>
              </w:rPr>
            </w:pPr>
          </w:p>
        </w:tc>
        <w:tc>
          <w:tcPr>
            <w:tcW w:w="19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43</w:t>
            </w:r>
          </w:p>
        </w:tc>
        <w:tc>
          <w:tcPr>
            <w:tcW w:w="180" w:type="dxa"/>
            <w:vAlign w:val="bottom"/>
            <w:shd w:val="clear" w:color="auto" w:fill="E5FFFF"/>
          </w:tcPr>
          <w:p>
            <w:pPr>
              <w:spacing w:after="0"/>
              <w:rPr>
                <w:sz w:val="14"/>
                <w:szCs w:val="14"/>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(1,097)</w:t>
            </w:r>
          </w:p>
        </w:tc>
        <w:tc>
          <w:tcPr>
            <w:tcW w:w="40" w:type="dxa"/>
            <w:vAlign w:val="bottom"/>
          </w:tcPr>
          <w:p>
            <w:pPr>
              <w:spacing w:after="0"/>
              <w:rPr>
                <w:sz w:val="14"/>
                <w:szCs w:val="14"/>
                <w:color w:val="auto"/>
              </w:rPr>
            </w:pPr>
          </w:p>
        </w:tc>
      </w:tr>
      <w:tr>
        <w:trPr>
          <w:trHeight w:val="130"/>
        </w:trPr>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2560" w:type="dxa"/>
            <w:vAlign w:val="bottom"/>
          </w:tcPr>
          <w:p>
            <w:pPr>
              <w:spacing w:after="0" w:line="130" w:lineRule="exact"/>
              <w:rPr>
                <w:sz w:val="20"/>
                <w:szCs w:val="20"/>
                <w:color w:val="auto"/>
              </w:rPr>
            </w:pPr>
            <w:r>
              <w:rPr>
                <w:rFonts w:ascii="Arial" w:cs="Arial" w:eastAsia="Arial" w:hAnsi="Arial"/>
                <w:sz w:val="14"/>
                <w:szCs w:val="14"/>
                <w:color w:val="auto"/>
                <w:w w:val="95"/>
              </w:rPr>
              <w:t>Realized loss on forward foreign exchange</w:t>
            </w:r>
          </w:p>
        </w:tc>
        <w:tc>
          <w:tcPr>
            <w:tcW w:w="23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Gain/(loss) on derivatives</w:t>
            </w: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4"/>
                <w:szCs w:val="14"/>
                <w:color w:val="auto"/>
              </w:rPr>
              <w:t>contracts held for trading (Note 13)</w:t>
            </w:r>
          </w:p>
        </w:tc>
        <w:tc>
          <w:tcPr>
            <w:tcW w:w="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367</w:t>
            </w:r>
          </w:p>
        </w:tc>
        <w:tc>
          <w:tcPr>
            <w:tcW w:w="40" w:type="dxa"/>
            <w:vAlign w:val="bottom"/>
          </w:tcPr>
          <w:p>
            <w:pPr>
              <w:spacing w:after="0"/>
              <w:rPr>
                <w:sz w:val="14"/>
                <w:szCs w:val="14"/>
                <w:color w:val="auto"/>
              </w:rPr>
            </w:pPr>
          </w:p>
        </w:tc>
      </w:tr>
      <w:tr>
        <w:trPr>
          <w:trHeight w:val="149"/>
        </w:trPr>
        <w:tc>
          <w:tcPr>
            <w:tcW w:w="19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Cool Pool</w:t>
            </w:r>
          </w:p>
        </w:tc>
        <w:tc>
          <w:tcPr>
            <w:tcW w:w="25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Adjustment for net pool allocation</w:t>
            </w:r>
          </w:p>
        </w:tc>
        <w:tc>
          <w:tcPr>
            <w:tcW w:w="2340" w:type="dxa"/>
            <w:vAlign w:val="bottom"/>
            <w:gridSpan w:val="3"/>
            <w:shd w:val="clear" w:color="auto" w:fill="E5FFFF"/>
          </w:tcPr>
          <w:p>
            <w:pPr>
              <w:ind w:left="200"/>
              <w:spacing w:after="0" w:line="149" w:lineRule="exact"/>
              <w:rPr>
                <w:sz w:val="20"/>
                <w:szCs w:val="20"/>
                <w:color w:val="auto"/>
              </w:rPr>
            </w:pPr>
            <w:r>
              <w:rPr>
                <w:rFonts w:ascii="Arial" w:cs="Arial" w:eastAsia="Arial" w:hAnsi="Arial"/>
                <w:sz w:val="14"/>
                <w:szCs w:val="14"/>
                <w:color w:val="auto"/>
              </w:rPr>
              <w:t>Net pool allocation</w:t>
            </w:r>
          </w:p>
        </w:tc>
        <w:tc>
          <w:tcPr>
            <w:tcW w:w="14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(34)</w:t>
            </w:r>
          </w:p>
        </w:tc>
        <w:tc>
          <w:tcPr>
            <w:tcW w:w="40" w:type="dxa"/>
            <w:vAlign w:val="bottom"/>
          </w:tcPr>
          <w:p>
            <w:pPr>
              <w:spacing w:after="0"/>
              <w:rPr>
                <w:sz w:val="12"/>
                <w:szCs w:val="12"/>
                <w:color w:val="auto"/>
              </w:rPr>
            </w:pPr>
          </w:p>
        </w:tc>
      </w:tr>
    </w:tbl>
    <w:p>
      <w:pPr>
        <w:spacing w:after="0" w:line="78" w:lineRule="exact"/>
        <w:rPr>
          <w:sz w:val="20"/>
          <w:szCs w:val="20"/>
          <w:color w:val="auto"/>
        </w:rPr>
      </w:pPr>
    </w:p>
    <w:p>
      <w:pPr>
        <w:ind w:left="340" w:hanging="202"/>
        <w:spacing w:after="0"/>
        <w:tabs>
          <w:tab w:leader="none" w:pos="3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Commercial Management Agreements</w:t>
      </w:r>
    </w:p>
    <w:p>
      <w:pPr>
        <w:spacing w:after="0" w:line="60" w:lineRule="exact"/>
        <w:rPr>
          <w:rFonts w:ascii="Arial" w:cs="Arial" w:eastAsia="Arial" w:hAnsi="Arial"/>
          <w:sz w:val="18"/>
          <w:szCs w:val="18"/>
          <w:color w:val="auto"/>
          <w:vertAlign w:val="superscript"/>
        </w:rPr>
      </w:pPr>
    </w:p>
    <w:p>
      <w:pPr>
        <w:ind w:left="340" w:right="140"/>
        <w:spacing w:after="0" w:line="229" w:lineRule="auto"/>
        <w:rPr>
          <w:rFonts w:ascii="Arial" w:cs="Arial" w:eastAsia="Arial" w:hAnsi="Arial"/>
          <w:sz w:val="18"/>
          <w:szCs w:val="18"/>
          <w:color w:val="auto"/>
          <w:vertAlign w:val="superscript"/>
        </w:rPr>
      </w:pPr>
      <w:r>
        <w:rPr>
          <w:rFonts w:ascii="Arial" w:cs="Arial" w:eastAsia="Arial" w:hAnsi="Arial"/>
          <w:sz w:val="14"/>
          <w:szCs w:val="14"/>
          <w:color w:val="auto"/>
        </w:rPr>
        <w:t>Upon completion of the IPO on May 12, 2014, GAS-three Ltd., GAS-four Ltd. and GAS-five Ltd.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64" w:lineRule="exact"/>
        <w:rPr>
          <w:rFonts w:ascii="Arial" w:cs="Arial" w:eastAsia="Arial" w:hAnsi="Arial"/>
          <w:sz w:val="18"/>
          <w:szCs w:val="18"/>
          <w:color w:val="auto"/>
          <w:vertAlign w:val="superscript"/>
        </w:rPr>
      </w:pPr>
    </w:p>
    <w:p>
      <w:pPr>
        <w:ind w:left="340" w:right="220"/>
        <w:spacing w:after="0" w:line="251" w:lineRule="auto"/>
        <w:rPr>
          <w:rFonts w:ascii="Arial" w:cs="Arial" w:eastAsia="Arial" w:hAnsi="Arial"/>
          <w:sz w:val="18"/>
          <w:szCs w:val="18"/>
          <w:color w:val="auto"/>
          <w:vertAlign w:val="superscript"/>
        </w:rPr>
      </w:pPr>
      <w:r>
        <w:rPr>
          <w:rFonts w:ascii="Arial" w:cs="Arial" w:eastAsia="Arial" w:hAnsi="Arial"/>
          <w:sz w:val="13"/>
          <w:szCs w:val="13"/>
          <w:color w:val="auto"/>
        </w:rPr>
        <w:t xml:space="preserve">The same provisions are included in the commercial management agreements that GAS-eleven Ltd., GAS-thirteen Ltd., GAS-fourteen Ltd., GAS-sixteen Ltd., GAS-seventeen Ltd., GAS-nineteen Ltd., GAS-twenty Ltd., GAS-twenty one Ltd. and GAS-twenty seven Ltd. entered into with GasLog upon the deliveries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Gibraltar</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Rita Andrea</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Jane Elizabeth</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Alison Victoria</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Shirley Elisabeth</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Heather Sally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Methane Becki Anne</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into GasLog’s fleet in March 2016, September 2016, October 2016, April 2014, June 2014 and March 2015 (together with the Amended Commercial Management Agreements and the commercial management agreements entered into by GAS-seven Ltd. and GAS-eight Ltd. with GasLog, the “Commercial Management Agreements”).</w:t>
      </w:r>
    </w:p>
    <w:p>
      <w:pPr>
        <w:spacing w:after="0" w:line="30" w:lineRule="exact"/>
        <w:rPr>
          <w:rFonts w:ascii="Arial" w:cs="Arial" w:eastAsia="Arial" w:hAnsi="Arial"/>
          <w:sz w:val="18"/>
          <w:szCs w:val="18"/>
          <w:color w:val="auto"/>
          <w:vertAlign w:val="superscript"/>
        </w:rPr>
      </w:pPr>
    </w:p>
    <w:p>
      <w:pPr>
        <w:ind w:left="300" w:hanging="162"/>
        <w:spacing w:after="0"/>
        <w:tabs>
          <w:tab w:leader="none" w:pos="30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Administrative Services Agreement</w:t>
      </w:r>
    </w:p>
    <w:p>
      <w:pPr>
        <w:spacing w:after="0" w:line="61" w:lineRule="exact"/>
        <w:rPr>
          <w:sz w:val="20"/>
          <w:szCs w:val="20"/>
          <w:color w:val="auto"/>
        </w:rPr>
      </w:pPr>
    </w:p>
    <w:p>
      <w:pPr>
        <w:ind w:left="340" w:right="80"/>
        <w:spacing w:after="0" w:line="249" w:lineRule="auto"/>
        <w:rPr>
          <w:sz w:val="20"/>
          <w:szCs w:val="20"/>
          <w:color w:val="auto"/>
        </w:rPr>
      </w:pPr>
      <w:r>
        <w:rPr>
          <w:rFonts w:ascii="Arial" w:cs="Arial" w:eastAsia="Arial" w:hAnsi="Arial"/>
          <w:sz w:val="13"/>
          <w:szCs w:val="13"/>
          <w:color w:val="auto"/>
        </w:rPr>
        <w:t xml:space="preserve">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w:t>
      </w:r>
      <w:r>
        <w:rPr>
          <w:rFonts w:ascii="Arial" w:cs="Arial" w:eastAsia="Arial" w:hAnsi="Arial"/>
          <w:sz w:val="13"/>
          <w:szCs w:val="13"/>
          <w:i w:val="1"/>
          <w:iCs w:val="1"/>
          <w:color w:val="auto"/>
        </w:rPr>
        <w:t>Agreement</w:t>
      </w:r>
      <w:r>
        <w:rPr>
          <w:rFonts w:ascii="Arial" w:cs="Arial" w:eastAsia="Arial" w:hAnsi="Arial"/>
          <w:sz w:val="13"/>
          <w:szCs w:val="13"/>
          <w:color w:val="auto"/>
        </w:rPr>
        <w:t xml:space="preserve">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Until December 31, 2016, GasLog received a service fee of $588 per vessel per year in connection with providing services under this agreement. For the years ended December 31, 2017 and December 31, 2018, the annual service fee was $632 and $812 per vessel per year, respectively. With effect from January 1, 2019, the service fee was amended to $608 per vessel per year.</w:t>
      </w:r>
    </w:p>
    <w:p>
      <w:pPr>
        <w:spacing w:after="0" w:line="31" w:lineRule="exact"/>
        <w:rPr>
          <w:sz w:val="20"/>
          <w:szCs w:val="20"/>
          <w:color w:val="auto"/>
        </w:rPr>
      </w:pPr>
    </w:p>
    <w:p>
      <w:pPr>
        <w:ind w:left="320" w:hanging="182"/>
        <w:spacing w:after="0"/>
        <w:tabs>
          <w:tab w:leader="none" w:pos="3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Ship Management Agreements</w:t>
      </w:r>
    </w:p>
    <w:p>
      <w:pPr>
        <w:spacing w:after="0" w:line="60" w:lineRule="exact"/>
        <w:rPr>
          <w:rFonts w:ascii="Arial" w:cs="Arial" w:eastAsia="Arial" w:hAnsi="Arial"/>
          <w:sz w:val="18"/>
          <w:szCs w:val="18"/>
          <w:color w:val="auto"/>
          <w:vertAlign w:val="superscript"/>
        </w:rPr>
      </w:pPr>
    </w:p>
    <w:p>
      <w:pPr>
        <w:ind w:left="340" w:right="80"/>
        <w:spacing w:after="0" w:line="249" w:lineRule="auto"/>
        <w:rPr>
          <w:rFonts w:ascii="Arial" w:cs="Arial" w:eastAsia="Arial" w:hAnsi="Arial"/>
          <w:sz w:val="18"/>
          <w:szCs w:val="18"/>
          <w:color w:val="auto"/>
          <w:vertAlign w:val="superscript"/>
        </w:rPr>
      </w:pPr>
      <w:r>
        <w:rPr>
          <w:rFonts w:ascii="Arial" w:cs="Arial" w:eastAsia="Arial" w:hAnsi="Arial"/>
          <w:sz w:val="13"/>
          <w:szCs w:val="13"/>
          <w:color w:val="auto"/>
        </w:rPr>
        <w:t>Upon completion of the IPO on May 12, 2014, GAS-three Ltd., GAS-four Ltd. and GAS-five Ltd.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2" w:name="page33"/>
    <w:bookmarkEnd w:id="32"/>
    <w:p>
      <w:pPr>
        <w:ind w:left="340"/>
        <w:spacing w:after="0" w:line="246" w:lineRule="auto"/>
        <w:rPr>
          <w:sz w:val="20"/>
          <w:szCs w:val="20"/>
          <w:color w:val="auto"/>
        </w:rPr>
      </w:pPr>
      <w:r>
        <w:rPr>
          <w:rFonts w:ascii="Arial" w:cs="Arial" w:eastAsia="Arial" w:hAnsi="Arial"/>
          <w:sz w:val="13"/>
          <w:szCs w:val="13"/>
          <w:color w:val="auto"/>
        </w:rPr>
        <w:t xml:space="preserve">are included in the ship management agreements that GAS-sixteen Ltd., GAS-seventeen Ltd., GAS-nineteen Ltd., GAS-twenty Ltd., GAS-twenty one Ltd. and GAS-twenty seven Ltd. entered into with the Manager upon the deliveries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respectively, into GasLog’s fleet in April 2014, June 2014 and March 2015 (together with the Amended Ship Management Agreements and the ship management agreement that 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GAS-thirteen Ltd. and GAS-fourteen Ltd. had entered into with GasLog upon the deliveries of the </w:t>
      </w:r>
      <w:r>
        <w:rPr>
          <w:rFonts w:ascii="Arial" w:cs="Arial" w:eastAsia="Arial" w:hAnsi="Arial"/>
          <w:sz w:val="13"/>
          <w:szCs w:val="13"/>
          <w:i w:val="1"/>
          <w:iCs w:val="1"/>
          <w:color w:val="auto"/>
        </w:rPr>
        <w:t xml:space="preserve">GasLog Greece </w:t>
      </w:r>
      <w:r>
        <w:rPr>
          <w:rFonts w:ascii="Arial" w:cs="Arial" w:eastAsia="Arial" w:hAnsi="Arial"/>
          <w:sz w:val="13"/>
          <w:szCs w:val="13"/>
          <w:color w:val="auto"/>
        </w:rPr>
        <w:t>in March 2016, the</w:t>
      </w:r>
      <w:r>
        <w:rPr>
          <w:rFonts w:ascii="Arial" w:cs="Arial" w:eastAsia="Arial" w:hAnsi="Arial"/>
          <w:sz w:val="13"/>
          <w:szCs w:val="13"/>
          <w:i w:val="1"/>
          <w:iCs w:val="1"/>
          <w:color w:val="auto"/>
        </w:rPr>
        <w:t xml:space="preserve"> GasLog Geneva </w:t>
      </w:r>
      <w:r>
        <w:rPr>
          <w:rFonts w:ascii="Arial" w:cs="Arial" w:eastAsia="Arial" w:hAnsi="Arial"/>
          <w:sz w:val="13"/>
          <w:szCs w:val="13"/>
          <w:color w:val="auto"/>
        </w:rPr>
        <w:t>in September 2016 and the</w:t>
      </w:r>
      <w:r>
        <w:rPr>
          <w:rFonts w:ascii="Arial" w:cs="Arial" w:eastAsia="Arial" w:hAnsi="Arial"/>
          <w:sz w:val="13"/>
          <w:szCs w:val="13"/>
          <w:i w:val="1"/>
          <w:iCs w:val="1"/>
          <w:color w:val="auto"/>
        </w:rPr>
        <w:t xml:space="preserve"> GasLog Gibraltar </w:t>
      </w:r>
      <w:r>
        <w:rPr>
          <w:rFonts w:ascii="Arial" w:cs="Arial" w:eastAsia="Arial" w:hAnsi="Arial"/>
          <w:sz w:val="13"/>
          <w:szCs w:val="13"/>
          <w:color w:val="auto"/>
        </w:rPr>
        <w:t>in October 2016, respectively (with a fixed monthly charge of $46).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Vessels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40" w:type="dxa"/>
            <w:vAlign w:val="bottom"/>
          </w:tcPr>
          <w:p>
            <w:pPr>
              <w:ind w:left="80"/>
              <w:spacing w:after="0"/>
              <w:rPr>
                <w:sz w:val="20"/>
                <w:szCs w:val="20"/>
                <w:color w:val="auto"/>
              </w:rPr>
            </w:pPr>
            <w:r>
              <w:rPr>
                <w:rFonts w:ascii="Arial" w:cs="Arial" w:eastAsia="Arial" w:hAnsi="Arial"/>
                <w:sz w:val="16"/>
                <w:szCs w:val="16"/>
                <w:color w:val="auto"/>
              </w:rPr>
              <w:t>The movement in vessels is reported in the following table:</w:t>
            </w: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760" w:type="dxa"/>
            <w:vAlign w:val="bottom"/>
            <w:gridSpan w:val="2"/>
          </w:tcPr>
          <w:p>
            <w:pPr>
              <w:ind w:left="600"/>
              <w:spacing w:after="0"/>
              <w:rPr>
                <w:sz w:val="20"/>
                <w:szCs w:val="20"/>
                <w:color w:val="auto"/>
              </w:rPr>
            </w:pPr>
            <w:r>
              <w:rPr>
                <w:rFonts w:ascii="Arial" w:cs="Arial" w:eastAsia="Arial" w:hAnsi="Arial"/>
                <w:sz w:val="16"/>
                <w:szCs w:val="16"/>
                <w:b w:val="1"/>
                <w:bCs w:val="1"/>
                <w:color w:val="auto"/>
              </w:rPr>
              <w:t>Vessels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540" w:type="dxa"/>
            <w:vAlign w:val="bottom"/>
            <w:tcBorders>
              <w:top w:val="single" w:sz="8" w:color="E5FFFF"/>
            </w:tcBorders>
            <w:gridSpan w:val="2"/>
            <w:shd w:val="clear" w:color="auto" w:fill="E5FFFF"/>
          </w:tcPr>
          <w:p>
            <w:pPr>
              <w:spacing w:after="0" w:line="148" w:lineRule="exact"/>
              <w:rPr>
                <w:sz w:val="20"/>
                <w:szCs w:val="20"/>
                <w:color w:val="auto"/>
              </w:rPr>
            </w:pPr>
            <w:r>
              <w:rPr>
                <w:rFonts w:ascii="Arial" w:cs="Arial" w:eastAsia="Arial" w:hAnsi="Arial"/>
                <w:sz w:val="16"/>
                <w:szCs w:val="16"/>
                <w:b w:val="1"/>
                <w:bCs w:val="1"/>
                <w:color w:val="auto"/>
              </w:rPr>
              <w:t>Cost</w:t>
            </w:r>
          </w:p>
        </w:tc>
        <w:tc>
          <w:tcPr>
            <w:tcW w:w="1700" w:type="dxa"/>
            <w:vAlign w:val="bottom"/>
            <w:tcBorders>
              <w:top w:val="single" w:sz="8" w:color="auto"/>
            </w:tcBorders>
            <w:shd w:val="clear" w:color="auto" w:fill="E5FF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9240" w:type="dxa"/>
            <w:vAlign w:val="bottom"/>
            <w:tcBorders>
              <w:top w:val="single" w:sz="8" w:color="E5FFFF"/>
            </w:tcBorders>
            <w:shd w:val="clear" w:color="auto" w:fill="E5FFFF"/>
          </w:tcPr>
          <w:p>
            <w:pPr>
              <w:spacing w:after="0" w:line="20" w:lineRule="exact"/>
              <w:rPr>
                <w:sz w:val="1"/>
                <w:szCs w:val="1"/>
                <w:color w:val="auto"/>
              </w:rPr>
            </w:pPr>
          </w:p>
        </w:tc>
        <w:tc>
          <w:tcPr>
            <w:tcW w:w="1700" w:type="dxa"/>
            <w:vAlign w:val="bottom"/>
            <w:tcBorders>
              <w:top w:val="single" w:sz="8" w:color="E5FFFF"/>
            </w:tcBorders>
            <w:shd w:val="clear" w:color="auto" w:fill="E5FF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540" w:type="dxa"/>
            <w:vAlign w:val="bottom"/>
            <w:gridSpan w:val="2"/>
          </w:tcPr>
          <w:p>
            <w:pPr>
              <w:spacing w:after="0"/>
              <w:rPr>
                <w:sz w:val="20"/>
                <w:szCs w:val="20"/>
                <w:color w:val="auto"/>
              </w:rPr>
            </w:pPr>
            <w:r>
              <w:rPr>
                <w:rFonts w:ascii="Arial" w:cs="Arial" w:eastAsia="Arial" w:hAnsi="Arial"/>
                <w:sz w:val="16"/>
                <w:szCs w:val="16"/>
                <w:color w:val="auto"/>
              </w:rPr>
              <w:t>As of January 1, 2019</w:t>
            </w:r>
          </w:p>
        </w:tc>
        <w:tc>
          <w:tcPr>
            <w:tcW w:w="1700" w:type="dxa"/>
            <w:vAlign w:val="bottom"/>
          </w:tcPr>
          <w:p>
            <w:pPr>
              <w:jc w:val="right"/>
              <w:spacing w:after="0"/>
              <w:rPr>
                <w:sz w:val="20"/>
                <w:szCs w:val="20"/>
                <w:color w:val="auto"/>
              </w:rPr>
            </w:pPr>
            <w:r>
              <w:rPr>
                <w:rFonts w:ascii="Arial" w:cs="Arial" w:eastAsia="Arial" w:hAnsi="Arial"/>
                <w:sz w:val="16"/>
                <w:szCs w:val="16"/>
                <w:color w:val="auto"/>
              </w:rPr>
              <w:t>2,650,845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Additions</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Return of capital expenditures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As of March 31, 2019</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2,647,461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54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Accumulated depreciation</w:t>
            </w:r>
          </w:p>
        </w:tc>
        <w:tc>
          <w:tcPr>
            <w:tcW w:w="170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gridSpan w:val="2"/>
          </w:tcPr>
          <w:p>
            <w:pPr>
              <w:spacing w:after="0"/>
              <w:rPr>
                <w:sz w:val="20"/>
                <w:szCs w:val="20"/>
                <w:color w:val="auto"/>
              </w:rPr>
            </w:pPr>
            <w:r>
              <w:rPr>
                <w:rFonts w:ascii="Arial" w:cs="Arial" w:eastAsia="Arial" w:hAnsi="Arial"/>
                <w:sz w:val="16"/>
                <w:szCs w:val="16"/>
                <w:color w:val="auto"/>
              </w:rPr>
              <w:t>As of January 1, 2019</w:t>
            </w:r>
          </w:p>
        </w:tc>
        <w:tc>
          <w:tcPr>
            <w:tcW w:w="1700" w:type="dxa"/>
            <w:vAlign w:val="bottom"/>
          </w:tcPr>
          <w:p>
            <w:pPr>
              <w:jc w:val="right"/>
              <w:spacing w:after="0"/>
              <w:rPr>
                <w:sz w:val="20"/>
                <w:szCs w:val="20"/>
                <w:color w:val="auto"/>
              </w:rPr>
            </w:pPr>
            <w:r>
              <w:rPr>
                <w:rFonts w:ascii="Arial" w:cs="Arial" w:eastAsia="Arial" w:hAnsi="Arial"/>
                <w:sz w:val="16"/>
                <w:szCs w:val="16"/>
                <w:color w:val="auto"/>
              </w:rPr>
              <w:t>335,022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20,256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As of March 31, 2019</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355,278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24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54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Net book value</w:t>
            </w:r>
          </w:p>
        </w:tc>
        <w:tc>
          <w:tcPr>
            <w:tcW w:w="1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As of December 31, 2018</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2,315,823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gridSpan w:val="2"/>
          </w:tcPr>
          <w:p>
            <w:pPr>
              <w:spacing w:after="0"/>
              <w:rPr>
                <w:sz w:val="20"/>
                <w:szCs w:val="20"/>
                <w:color w:val="auto"/>
              </w:rPr>
            </w:pPr>
            <w:r>
              <w:rPr>
                <w:rFonts w:ascii="Arial" w:cs="Arial" w:eastAsia="Arial" w:hAnsi="Arial"/>
                <w:sz w:val="16"/>
                <w:szCs w:val="16"/>
                <w:b w:val="1"/>
                <w:bCs w:val="1"/>
                <w:color w:val="auto"/>
              </w:rPr>
              <w:t>As of March 31, 2019</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2,292,183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vessels have been pledged as collateral under the terms of the Partnership’s bank loan agreements.</w:t>
      </w:r>
    </w:p>
    <w:p>
      <w:pPr>
        <w:spacing w:after="0" w:line="235" w:lineRule="exact"/>
        <w:rPr>
          <w:sz w:val="20"/>
          <w:szCs w:val="20"/>
          <w:color w:val="auto"/>
        </w:rPr>
      </w:pPr>
    </w:p>
    <w:p>
      <w:pPr>
        <w:ind w:firstLine="383"/>
        <w:spacing w:after="0" w:line="293" w:lineRule="auto"/>
        <w:rPr>
          <w:sz w:val="20"/>
          <w:szCs w:val="20"/>
          <w:color w:val="auto"/>
        </w:rPr>
      </w:pPr>
      <w:r>
        <w:rPr>
          <w:rFonts w:ascii="Arial" w:cs="Arial" w:eastAsia="Arial" w:hAnsi="Arial"/>
          <w:sz w:val="15"/>
          <w:szCs w:val="15"/>
          <w:color w:val="auto"/>
        </w:rPr>
        <w:t>In April and May 2017, GasLog LNG Services entered into agreements in relation to investments in certain of the Partnership’s and GasLog’s vessels, with the aim of enhancing their operational performance. On March 7, 2019, GasLog LNG Services and one of its suppliers signed an interim agreement regarding the reimbursement of amounts already paid by the Partnership in respect of the aforementioned enhancements, which were not timely delivered. In accordance with the terms of this agreement, as of March 31, 2019, $4,021 has been reimbursed to the Partnership, which amount will be payable to the supplier on or before the rescheduled delivery date of July 31, 2019. If delivery does not occur on or before the rescheduled delivery date, an additional amount of $3,835 will also be reimbursed to the Partnership.</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Leases</w:t>
      </w:r>
    </w:p>
    <w:p>
      <w:pPr>
        <w:spacing w:after="0" w:line="144" w:lineRule="exact"/>
        <w:rPr>
          <w:sz w:val="20"/>
          <w:szCs w:val="20"/>
          <w:color w:val="auto"/>
        </w:rPr>
      </w:pPr>
    </w:p>
    <w:p>
      <w:pPr>
        <w:ind w:right="20" w:firstLine="396"/>
        <w:spacing w:after="0" w:line="278" w:lineRule="auto"/>
        <w:rPr>
          <w:sz w:val="20"/>
          <w:szCs w:val="20"/>
          <w:color w:val="auto"/>
        </w:rPr>
      </w:pPr>
      <w:r>
        <w:rPr>
          <w:rFonts w:ascii="Arial" w:cs="Arial" w:eastAsia="Arial" w:hAnsi="Arial"/>
          <w:sz w:val="16"/>
          <w:szCs w:val="16"/>
          <w:color w:val="auto"/>
        </w:rPr>
        <w:t xml:space="preserve">On adoption of IFRS 16, the Partnership recognised lease liabilities in relation to leases of vessel communication equipment which had previously been classified as operating leases under IAS 17 </w:t>
      </w:r>
      <w:r>
        <w:rPr>
          <w:rFonts w:ascii="Arial" w:cs="Arial" w:eastAsia="Arial" w:hAnsi="Arial"/>
          <w:sz w:val="16"/>
          <w:szCs w:val="16"/>
          <w:i w:val="1"/>
          <w:iCs w:val="1"/>
          <w:color w:val="auto"/>
        </w:rPr>
        <w:t>Leases</w:t>
      </w:r>
      <w:r>
        <w:rPr>
          <w:rFonts w:ascii="Arial" w:cs="Arial" w:eastAsia="Arial" w:hAnsi="Arial"/>
          <w:sz w:val="16"/>
          <w:szCs w:val="16"/>
          <w:color w:val="auto"/>
        </w:rPr>
        <w:t>. As of January 1, 2019, these liabilities were measured at the present value of the remaining lease payments, discounted using a weighted average incremental borrowing rate of 4.8%.</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movements in right-of use assets and lease liabilities are reported in the following tables: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Arial" w:cs="Arial" w:eastAsia="Arial" w:hAnsi="Arial"/>
                <w:sz w:val="16"/>
                <w:szCs w:val="16"/>
                <w:b w:val="1"/>
                <w:bCs w:val="1"/>
                <w:color w:val="auto"/>
              </w:rPr>
              <w:t>Vessel equipment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80" w:type="dxa"/>
            <w:vAlign w:val="bottom"/>
            <w:tcBorders>
              <w:top w:val="single" w:sz="8" w:color="E5FFFF"/>
              <w:bottom w:val="single" w:sz="8" w:color="auto"/>
            </w:tcBorders>
            <w:gridSpan w:val="2"/>
            <w:shd w:val="clear" w:color="auto" w:fill="E5FFFF"/>
          </w:tcPr>
          <w:p>
            <w:pPr>
              <w:spacing w:after="0" w:line="148" w:lineRule="exact"/>
              <w:rPr>
                <w:sz w:val="20"/>
                <w:szCs w:val="20"/>
                <w:color w:val="auto"/>
              </w:rPr>
            </w:pPr>
            <w:r>
              <w:rPr>
                <w:rFonts w:ascii="Arial" w:cs="Arial" w:eastAsia="Arial" w:hAnsi="Arial"/>
                <w:sz w:val="16"/>
                <w:szCs w:val="16"/>
                <w:b w:val="1"/>
                <w:bCs w:val="1"/>
                <w:color w:val="auto"/>
                <w:w w:val="84"/>
              </w:rPr>
              <w:t>Right-of-use assets</w:t>
            </w:r>
          </w:p>
        </w:tc>
        <w:tc>
          <w:tcPr>
            <w:tcW w:w="8260" w:type="dxa"/>
            <w:vAlign w:val="bottom"/>
            <w:tcBorders>
              <w:top w:val="single" w:sz="8" w:color="E5FFFF"/>
              <w:bottom w:val="single" w:sz="8" w:color="E5FFFF"/>
            </w:tcBorders>
            <w:shd w:val="clear" w:color="auto" w:fill="E5FFFF"/>
          </w:tcPr>
          <w:p>
            <w:pPr>
              <w:spacing w:after="0"/>
              <w:rPr>
                <w:sz w:val="14"/>
                <w:szCs w:val="14"/>
                <w:color w:val="auto"/>
              </w:rPr>
            </w:pPr>
          </w:p>
        </w:tc>
        <w:tc>
          <w:tcPr>
            <w:tcW w:w="1700" w:type="dxa"/>
            <w:vAlign w:val="bottom"/>
            <w:tcBorders>
              <w:top w:val="single" w:sz="8" w:color="auto"/>
              <w:bottom w:val="single" w:sz="8" w:color="E5FFFF"/>
            </w:tcBorders>
            <w:shd w:val="clear" w:color="auto" w:fill="E5FF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gridSpan w:val="3"/>
          </w:tcPr>
          <w:p>
            <w:pPr>
              <w:spacing w:after="0"/>
              <w:rPr>
                <w:sz w:val="20"/>
                <w:szCs w:val="20"/>
                <w:color w:val="auto"/>
              </w:rPr>
            </w:pPr>
            <w:r>
              <w:rPr>
                <w:rFonts w:ascii="Arial" w:cs="Arial" w:eastAsia="Arial" w:hAnsi="Arial"/>
                <w:sz w:val="16"/>
                <w:szCs w:val="16"/>
                <w:color w:val="auto"/>
              </w:rPr>
              <w:t>As of January 1, 2019</w:t>
            </w:r>
          </w:p>
        </w:tc>
        <w:tc>
          <w:tcPr>
            <w:tcW w:w="1700" w:type="dxa"/>
            <w:vAlign w:val="bottom"/>
          </w:tcPr>
          <w:p>
            <w:pPr>
              <w:jc w:val="right"/>
              <w:spacing w:after="0"/>
              <w:rPr>
                <w:sz w:val="20"/>
                <w:szCs w:val="20"/>
                <w:color w:val="auto"/>
              </w:rPr>
            </w:pPr>
            <w:r>
              <w:rPr>
                <w:rFonts w:ascii="Arial" w:cs="Arial" w:eastAsia="Arial" w:hAnsi="Arial"/>
                <w:sz w:val="16"/>
                <w:szCs w:val="16"/>
                <w:color w:val="auto"/>
              </w:rPr>
              <w:t>1,419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b w:val="1"/>
                <w:bCs w:val="1"/>
                <w:color w:val="auto"/>
              </w:rPr>
              <w:t>As of March 31, 2019</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2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540" w:type="dxa"/>
            <w:vAlign w:val="bottom"/>
            <w:gridSpan w:val="3"/>
          </w:tcPr>
          <w:p>
            <w:pPr>
              <w:spacing w:after="0" w:line="162" w:lineRule="exact"/>
              <w:rPr>
                <w:sz w:val="20"/>
                <w:szCs w:val="20"/>
                <w:color w:val="auto"/>
              </w:rPr>
            </w:pPr>
            <w:r>
              <w:rPr>
                <w:rFonts w:ascii="Arial" w:cs="Arial" w:eastAsia="Arial" w:hAnsi="Arial"/>
                <w:sz w:val="16"/>
                <w:szCs w:val="16"/>
                <w:b w:val="1"/>
                <w:bCs w:val="1"/>
                <w:color w:val="auto"/>
              </w:rPr>
              <w:t>Lease liabilities</w:t>
            </w: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540" w:type="dxa"/>
            <w:vAlign w:val="bottom"/>
            <w:gridSpan w:val="3"/>
            <w:shd w:val="clear" w:color="auto" w:fill="E5FFFF"/>
          </w:tcPr>
          <w:p>
            <w:pPr>
              <w:spacing w:after="0"/>
              <w:rPr>
                <w:sz w:val="20"/>
                <w:szCs w:val="20"/>
                <w:color w:val="auto"/>
              </w:rPr>
            </w:pPr>
            <w:r>
              <w:rPr>
                <w:rFonts w:ascii="Arial" w:cs="Arial" w:eastAsia="Arial" w:hAnsi="Arial"/>
                <w:sz w:val="16"/>
                <w:szCs w:val="16"/>
                <w:b w:val="1"/>
                <w:bCs w:val="1"/>
                <w:color w:val="auto"/>
              </w:rPr>
              <w:t>As of January 1, 2019</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1,242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gridSpan w:val="3"/>
          </w:tcPr>
          <w:p>
            <w:pPr>
              <w:spacing w:after="0"/>
              <w:rPr>
                <w:sz w:val="20"/>
                <w:szCs w:val="20"/>
                <w:color w:val="auto"/>
              </w:rPr>
            </w:pPr>
            <w:r>
              <w:rPr>
                <w:rFonts w:ascii="Arial" w:cs="Arial" w:eastAsia="Arial" w:hAnsi="Arial"/>
                <w:sz w:val="16"/>
                <w:szCs w:val="16"/>
                <w:color w:val="auto"/>
              </w:rPr>
              <w:t>Lease expense (Note 13)</w:t>
            </w:r>
          </w:p>
        </w:tc>
        <w:tc>
          <w:tcPr>
            <w:tcW w:w="170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Payments</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b w:val="1"/>
                <w:bCs w:val="1"/>
                <w:color w:val="auto"/>
              </w:rPr>
              <w:t>As of March 31, 2019</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Lease liabilities, current portion</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color w:val="auto"/>
              </w:rPr>
              <w:t>Lease liabilities, non-current portion</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gridSpan w:val="3"/>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6. Partners’ Equity</w:t>
      </w:r>
    </w:p>
    <w:p>
      <w:pPr>
        <w:spacing w:after="0" w:line="239" w:lineRule="exact"/>
        <w:rPr>
          <w:sz w:val="20"/>
          <w:szCs w:val="20"/>
          <w:color w:val="auto"/>
        </w:rPr>
      </w:pPr>
    </w:p>
    <w:p>
      <w:pPr>
        <w:ind w:right="100" w:firstLine="324"/>
        <w:spacing w:after="0" w:line="278"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As of March 31, 2019, GasLog Partners has not repurchased any common units.</w:t>
      </w:r>
    </w:p>
    <w:p>
      <w:pPr>
        <w:spacing w:after="0" w:line="184" w:lineRule="exact"/>
        <w:rPr>
          <w:sz w:val="20"/>
          <w:szCs w:val="20"/>
          <w:color w:val="auto"/>
        </w:rPr>
      </w:pPr>
    </w:p>
    <w:p>
      <w:pPr>
        <w:ind w:right="60" w:firstLine="324"/>
        <w:spacing w:after="0" w:line="329" w:lineRule="auto"/>
        <w:rPr>
          <w:sz w:val="20"/>
          <w:szCs w:val="20"/>
          <w:color w:val="auto"/>
        </w:rPr>
      </w:pPr>
      <w:r>
        <w:rPr>
          <w:rFonts w:ascii="Arial" w:cs="Arial" w:eastAsia="Arial" w:hAnsi="Arial"/>
          <w:sz w:val="15"/>
          <w:szCs w:val="15"/>
          <w:color w:val="auto"/>
        </w:rPr>
        <w:t>On February 26, 2019, the Partnership entered into a Third Amended and Restated Equity Distribution Agreement to further increase the size of the ATM common equity offering programme (“ATM Programme”) from $144,000 to $250,000. As of March 31, 2019, the unutilized portion of the ATM Programme is $126,556.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gridSpan w:val="2"/>
          </w:tcPr>
          <w:p>
            <w:pPr>
              <w:spacing w:after="0"/>
              <w:rPr>
                <w:sz w:val="20"/>
                <w:szCs w:val="20"/>
                <w:color w:val="auto"/>
              </w:rPr>
            </w:pPr>
            <w:r>
              <w:rPr>
                <w:rFonts w:ascii="Arial" w:cs="Arial" w:eastAsia="Arial" w:hAnsi="Arial"/>
                <w:sz w:val="16"/>
                <w:szCs w:val="16"/>
                <w:b w:val="1"/>
                <w:bCs w:val="1"/>
                <w:color w:val="auto"/>
              </w:rPr>
              <w:t>7. Borrowings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1"/>
        </w:trPr>
        <w:tc>
          <w:tcPr>
            <w:tcW w:w="2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w:t>
            </w:r>
          </w:p>
        </w:tc>
        <w:tc>
          <w:tcPr>
            <w:tcW w:w="154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260" w:type="dxa"/>
            <w:vAlign w:val="bottom"/>
          </w:tcPr>
          <w:p>
            <w:pPr>
              <w:spacing w:after="0"/>
              <w:rPr>
                <w:sz w:val="18"/>
                <w:szCs w:val="18"/>
                <w:color w:val="auto"/>
              </w:rPr>
            </w:pPr>
          </w:p>
        </w:tc>
        <w:tc>
          <w:tcPr>
            <w:tcW w:w="772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r>
      <w:tr>
        <w:trPr>
          <w:trHeight w:val="199"/>
        </w:trPr>
        <w:tc>
          <w:tcPr>
            <w:tcW w:w="26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434,600</w:t>
            </w:r>
          </w:p>
        </w:tc>
        <w:tc>
          <w:tcPr>
            <w:tcW w:w="280" w:type="dxa"/>
            <w:vAlign w:val="bottom"/>
            <w:shd w:val="clear" w:color="auto" w:fill="E5FFFF"/>
          </w:tcPr>
          <w:p>
            <w:pPr>
              <w:spacing w:after="0"/>
              <w:rPr>
                <w:sz w:val="17"/>
                <w:szCs w:val="17"/>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74,600</w:t>
            </w:r>
          </w:p>
        </w:tc>
        <w:tc>
          <w:tcPr>
            <w:tcW w:w="6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Less: unamortized deferred loan issuance costs</w:t>
            </w: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(5,163)</w:t>
            </w:r>
          </w:p>
        </w:tc>
        <w:tc>
          <w:tcPr>
            <w:tcW w:w="1480" w:type="dxa"/>
            <w:vAlign w:val="bottom"/>
          </w:tcPr>
          <w:p>
            <w:pPr>
              <w:jc w:val="right"/>
              <w:spacing w:after="0"/>
              <w:rPr>
                <w:sz w:val="20"/>
                <w:szCs w:val="20"/>
                <w:color w:val="auto"/>
              </w:rPr>
            </w:pPr>
            <w:r>
              <w:rPr>
                <w:rFonts w:ascii="Arial" w:cs="Arial" w:eastAsia="Arial" w:hAnsi="Arial"/>
                <w:sz w:val="16"/>
                <w:szCs w:val="16"/>
                <w:color w:val="auto"/>
              </w:rPr>
              <w:t>(3,861)</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 current portion</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429,437</w:t>
            </w:r>
          </w:p>
        </w:tc>
        <w:tc>
          <w:tcPr>
            <w:tcW w:w="28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70,739</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460" w:type="dxa"/>
            <w:vAlign w:val="bottom"/>
          </w:tcPr>
          <w:p>
            <w:pPr>
              <w:jc w:val="right"/>
              <w:spacing w:after="0"/>
              <w:rPr>
                <w:sz w:val="20"/>
                <w:szCs w:val="20"/>
                <w:color w:val="auto"/>
              </w:rPr>
            </w:pPr>
            <w:r>
              <w:rPr>
                <w:rFonts w:ascii="Arial" w:cs="Arial" w:eastAsia="Arial" w:hAnsi="Arial"/>
                <w:sz w:val="16"/>
                <w:szCs w:val="16"/>
                <w:color w:val="auto"/>
              </w:rPr>
              <w:t>817,119</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1,151,800</w:t>
            </w:r>
          </w:p>
        </w:tc>
        <w:tc>
          <w:tcPr>
            <w:tcW w:w="6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 issuance costs</w:t>
            </w: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(11,559)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(15,508)</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7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 non-current portion</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805,560</w:t>
            </w:r>
          </w:p>
        </w:tc>
        <w:tc>
          <w:tcPr>
            <w:tcW w:w="28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1,136,292</w:t>
            </w:r>
          </w:p>
        </w:tc>
        <w:tc>
          <w:tcPr>
            <w:tcW w:w="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7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1,234,997</w:t>
            </w:r>
          </w:p>
        </w:tc>
        <w:tc>
          <w:tcPr>
            <w:tcW w:w="28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1,207,031</w:t>
            </w:r>
          </w:p>
        </w:tc>
        <w:tc>
          <w:tcPr>
            <w:tcW w:w="6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600" w:firstLine="405"/>
        <w:spacing w:after="0" w:line="293" w:lineRule="auto"/>
        <w:rPr>
          <w:sz w:val="20"/>
          <w:szCs w:val="20"/>
          <w:color w:val="auto"/>
        </w:rPr>
      </w:pPr>
      <w:r>
        <w:rPr>
          <w:rFonts w:ascii="Arial" w:cs="Arial" w:eastAsia="Arial" w:hAnsi="Arial"/>
          <w:sz w:val="16"/>
          <w:szCs w:val="16"/>
          <w:color w:val="auto"/>
        </w:rPr>
        <w:t>The main terms of the bank loan facilities and the Sponsor Credit Facility have been disclosed in the annual consolidated financial statements for the year ended December 31, 2018. Refer to Note 6 “Borrowings”.</w:t>
      </w:r>
    </w:p>
    <w:p>
      <w:pPr>
        <w:spacing w:after="0" w:line="172" w:lineRule="exact"/>
        <w:rPr>
          <w:sz w:val="20"/>
          <w:szCs w:val="20"/>
          <w:color w:val="auto"/>
        </w:rPr>
      </w:pPr>
    </w:p>
    <w:p>
      <w:pPr>
        <w:ind w:right="100" w:firstLine="405"/>
        <w:spacing w:after="0" w:line="270"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for up to $450,000 (the “2019 Partnership Facility”) for the purpose of refinancing in full the existing facility agreement dated November 12, 2014 (the “Existing Partnership Facility”). Subsequently on the same date, the Development Bank of Japan, Inc. entered the facility as lender via transfer certificate. The vessels covered by the 2019 Partnership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w:t>
      </w:r>
    </w:p>
    <w:p>
      <w:pPr>
        <w:spacing w:after="0" w:line="190" w:lineRule="exact"/>
        <w:rPr>
          <w:sz w:val="20"/>
          <w:szCs w:val="20"/>
          <w:color w:val="auto"/>
        </w:rPr>
      </w:pPr>
    </w:p>
    <w:p>
      <w:pPr>
        <w:ind w:firstLine="405"/>
        <w:spacing w:after="0" w:line="273"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London Interbank Offered Rate (“LIBOR”) plus a margin.</w:t>
      </w:r>
    </w:p>
    <w:p>
      <w:pPr>
        <w:spacing w:after="0" w:line="189" w:lineRule="exact"/>
        <w:rPr>
          <w:sz w:val="20"/>
          <w:szCs w:val="20"/>
          <w:color w:val="auto"/>
        </w:rPr>
      </w:pPr>
    </w:p>
    <w:p>
      <w:pPr>
        <w:ind w:right="20" w:firstLine="405"/>
        <w:spacing w:after="0" w:line="273" w:lineRule="auto"/>
        <w:rPr>
          <w:sz w:val="20"/>
          <w:szCs w:val="20"/>
          <w:color w:val="auto"/>
        </w:rPr>
      </w:pPr>
      <w:r>
        <w:rPr>
          <w:rFonts w:ascii="Arial" w:cs="Arial" w:eastAsia="Arial" w:hAnsi="Arial"/>
          <w:sz w:val="16"/>
          <w:szCs w:val="16"/>
          <w:color w:val="auto"/>
        </w:rPr>
        <w:t xml:space="preserve">The obligations under the 2019 Partnership Facility are secured by a first priority mortgage over the vessels, a pledge of the share capital of the respective vessel-owning companies and a first priority assignment of earnings related to the vessels (excluding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which participates in the Cool Pool), including charter revenue, management revenue and any insurance and requisition compensation. The obligations under the facility are guaranteed by the Partnership and GasLog Partners Holdings LLC.</w:t>
      </w:r>
    </w:p>
    <w:p>
      <w:pPr>
        <w:spacing w:after="0" w:line="189" w:lineRule="exact"/>
        <w:rPr>
          <w:sz w:val="20"/>
          <w:szCs w:val="20"/>
          <w:color w:val="auto"/>
        </w:rPr>
      </w:pPr>
    </w:p>
    <w:p>
      <w:pPr>
        <w:ind w:right="280" w:firstLine="405"/>
        <w:spacing w:after="0" w:line="293" w:lineRule="auto"/>
        <w:rPr>
          <w:sz w:val="20"/>
          <w:szCs w:val="20"/>
          <w:color w:val="auto"/>
        </w:rPr>
      </w:pPr>
      <w:r>
        <w:rPr>
          <w:rFonts w:ascii="Arial" w:cs="Arial" w:eastAsia="Arial" w:hAnsi="Arial"/>
          <w:sz w:val="16"/>
          <w:szCs w:val="16"/>
          <w:color w:val="auto"/>
        </w:rPr>
        <w:t>The 2019 Partnership Facility is subject to specified financial covenants that apply to GasLog Partners on a consolidated basis. These financial covenants include the following:</w:t>
      </w:r>
    </w:p>
    <w:p>
      <w:pPr>
        <w:spacing w:after="0" w:line="186" w:lineRule="exact"/>
        <w:rPr>
          <w:sz w:val="20"/>
          <w:szCs w:val="20"/>
          <w:color w:val="auto"/>
        </w:rPr>
      </w:pPr>
    </w:p>
    <w:p>
      <w:pPr>
        <w:ind w:left="380" w:right="220" w:hanging="329"/>
        <w:spacing w:after="0" w:line="251" w:lineRule="auto"/>
        <w:tabs>
          <w:tab w:leader="none" w:pos="386" w:val="left"/>
        </w:tabs>
        <w:numPr>
          <w:ilvl w:val="0"/>
          <w:numId w:val="24"/>
        </w:numPr>
        <w:rPr>
          <w:rFonts w:ascii="Arial" w:cs="Arial" w:eastAsia="Arial" w:hAnsi="Arial"/>
          <w:sz w:val="18"/>
          <w:szCs w:val="18"/>
          <w:color w:val="auto"/>
        </w:rPr>
      </w:pPr>
      <w:r>
        <w:rPr>
          <w:rFonts w:ascii="Arial" w:cs="Arial" w:eastAsia="Arial" w:hAnsi="Arial"/>
          <w:sz w:val="16"/>
          <w:szCs w:val="16"/>
          <w:color w:val="auto"/>
        </w:rPr>
        <w:t>the aggregate amount of cash and cash equivalents, short-term investments and available undrawn facilities with remaining maturities of at least six months must be at least $45,000;</w:t>
      </w:r>
    </w:p>
    <w:p>
      <w:pPr>
        <w:spacing w:after="0" w:line="9" w:lineRule="exact"/>
        <w:rPr>
          <w:rFonts w:ascii="Arial" w:cs="Arial" w:eastAsia="Arial" w:hAnsi="Arial"/>
          <w:sz w:val="18"/>
          <w:szCs w:val="18"/>
          <w:color w:val="auto"/>
        </w:rPr>
      </w:pPr>
    </w:p>
    <w:p>
      <w:pPr>
        <w:ind w:left="380" w:hanging="329"/>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6"/>
          <w:szCs w:val="16"/>
          <w:color w:val="auto"/>
        </w:rPr>
        <w:t>total indebtedness divided by total assets must be less than 65.0%; and</w:t>
      </w:r>
    </w:p>
    <w:p>
      <w:pPr>
        <w:spacing w:after="0" w:line="9" w:lineRule="exact"/>
        <w:rPr>
          <w:rFonts w:ascii="Arial" w:cs="Arial" w:eastAsia="Arial" w:hAnsi="Arial"/>
          <w:sz w:val="18"/>
          <w:szCs w:val="18"/>
          <w:color w:val="auto"/>
        </w:rPr>
      </w:pPr>
    </w:p>
    <w:p>
      <w:pPr>
        <w:ind w:left="380" w:right="80" w:hanging="329"/>
        <w:spacing w:after="0" w:line="263" w:lineRule="auto"/>
        <w:tabs>
          <w:tab w:leader="none" w:pos="386" w:val="left"/>
        </w:tabs>
        <w:numPr>
          <w:ilvl w:val="0"/>
          <w:numId w:val="24"/>
        </w:numPr>
        <w:rPr>
          <w:rFonts w:ascii="Arial" w:cs="Arial" w:eastAsia="Arial" w:hAnsi="Arial"/>
          <w:sz w:val="18"/>
          <w:szCs w:val="18"/>
          <w:color w:val="auto"/>
        </w:rPr>
      </w:pPr>
      <w:r>
        <w:rPr>
          <w:rFonts w:ascii="Arial" w:cs="Arial" w:eastAsia="Arial" w:hAnsi="Arial"/>
          <w:sz w:val="16"/>
          <w:szCs w:val="16"/>
          <w:color w:val="auto"/>
        </w:rPr>
        <w:t>the Partnership is permitted to declare or pay any dividends or distributions, subject to no event of default having occurred or occurring as a consequence of the payment of such dividends or distributions.</w:t>
      </w:r>
    </w:p>
    <w:p>
      <w:pPr>
        <w:spacing w:after="0" w:line="193" w:lineRule="exact"/>
        <w:rPr>
          <w:sz w:val="20"/>
          <w:szCs w:val="20"/>
          <w:color w:val="auto"/>
        </w:rPr>
      </w:pPr>
    </w:p>
    <w:p>
      <w:pPr>
        <w:ind w:right="40" w:firstLine="405"/>
        <w:spacing w:after="0" w:line="289" w:lineRule="auto"/>
        <w:rPr>
          <w:sz w:val="20"/>
          <w:szCs w:val="20"/>
          <w:color w:val="auto"/>
        </w:rPr>
      </w:pPr>
      <w:r>
        <w:rPr>
          <w:rFonts w:ascii="Arial" w:cs="Arial" w:eastAsia="Arial" w:hAnsi="Arial"/>
          <w:sz w:val="15"/>
          <w:szCs w:val="15"/>
          <w:color w:val="auto"/>
        </w:rPr>
        <w:t>The 2019 Partnership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2019 Partnership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2019 Partnership Facility also imposes certain restrictions relating to the Partnership, including restrictions that limit its ability to make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any substantial change in the nature of its business or to the partnership structure without approval from the lenders.</w:t>
      </w:r>
    </w:p>
    <w:p>
      <w:pPr>
        <w:spacing w:after="0" w:line="235" w:lineRule="exact"/>
        <w:rPr>
          <w:sz w:val="20"/>
          <w:szCs w:val="20"/>
          <w:color w:val="auto"/>
        </w:rPr>
      </w:pPr>
    </w:p>
    <w:p>
      <w:pPr>
        <w:ind w:firstLine="405"/>
        <w:spacing w:after="0" w:line="278" w:lineRule="auto"/>
        <w:rPr>
          <w:sz w:val="20"/>
          <w:szCs w:val="20"/>
          <w:color w:val="auto"/>
        </w:rPr>
      </w:pPr>
      <w:r>
        <w:rPr>
          <w:rFonts w:ascii="Arial" w:cs="Arial" w:eastAsia="Arial" w:hAnsi="Arial"/>
          <w:sz w:val="16"/>
          <w:szCs w:val="16"/>
          <w:color w:val="auto"/>
        </w:rPr>
        <w:t>On March 6, 2019, the Partnership drew down $360,000 under the 2019 Partnership Facility, out of which $354,375 was used to prepay the outstanding debt of GAS-three Ltd., GAS-four Ltd., GAS-five Ltd., GAS-sixteen Ltd. and GAS-seventeen Ltd., which would have been due in November 2019. On March 7, 2019, the Existing Partnership Facility was terminated and the respective unamortized loan fees of $988 were written-off to profit or loss.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Arial" w:cs="Arial" w:eastAsia="Arial" w:hAnsi="Arial"/>
                <w:sz w:val="16"/>
                <w:szCs w:val="16"/>
                <w:color w:val="auto"/>
              </w:rPr>
              <w:t>GasLog Partners was in compliance with its financial covenants as of March 31, 2019.</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7800" w:type="dxa"/>
            <w:vAlign w:val="bottom"/>
            <w:gridSpan w:val="2"/>
          </w:tcPr>
          <w:p>
            <w:pPr>
              <w:spacing w:after="0"/>
              <w:rPr>
                <w:sz w:val="20"/>
                <w:szCs w:val="20"/>
                <w:color w:val="auto"/>
              </w:rPr>
            </w:pPr>
            <w:r>
              <w:rPr>
                <w:rFonts w:ascii="Arial" w:cs="Arial" w:eastAsia="Arial" w:hAnsi="Arial"/>
                <w:sz w:val="16"/>
                <w:szCs w:val="16"/>
                <w:b w:val="1"/>
                <w:bCs w:val="1"/>
                <w:color w:val="auto"/>
              </w:rPr>
              <w:t>8. Other Payables and Accruals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An analysis of other payables and accruals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76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24,080</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7,948</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Accrued legal and professional fees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679</w:t>
            </w:r>
          </w:p>
        </w:tc>
        <w:tc>
          <w:tcPr>
            <w:tcW w:w="138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Accrued crew costs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1,922</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Accrued off-hire</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3,108</w:t>
            </w:r>
          </w:p>
        </w:tc>
        <w:tc>
          <w:tcPr>
            <w:tcW w:w="1380" w:type="dxa"/>
            <w:vAlign w:val="bottom"/>
          </w:tcPr>
          <w:p>
            <w:pPr>
              <w:jc w:val="right"/>
              <w:spacing w:after="0"/>
              <w:rPr>
                <w:sz w:val="20"/>
                <w:szCs w:val="20"/>
                <w:color w:val="auto"/>
              </w:rPr>
            </w:pPr>
            <w:r>
              <w:rPr>
                <w:rFonts w:ascii="Arial" w:cs="Arial" w:eastAsia="Arial" w:hAnsi="Arial"/>
                <w:sz w:val="16"/>
                <w:szCs w:val="16"/>
                <w:color w:val="auto"/>
              </w:rPr>
              <w:t>3,559</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Accrued payable to charterers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610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Accrued purchases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10,336</w:t>
            </w:r>
          </w:p>
        </w:tc>
        <w:tc>
          <w:tcPr>
            <w:tcW w:w="1380" w:type="dxa"/>
            <w:vAlign w:val="bottom"/>
          </w:tcPr>
          <w:p>
            <w:pPr>
              <w:jc w:val="right"/>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Accrued interest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14,332</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8,692</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Accrued board of directors’ fees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198</w:t>
            </w:r>
          </w:p>
        </w:tc>
        <w:tc>
          <w:tcPr>
            <w:tcW w:w="1380" w:type="dxa"/>
            <w:vAlign w:val="bottom"/>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Accrued financing cost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Accrued cash distributions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277</w:t>
            </w:r>
          </w:p>
        </w:tc>
        <w:tc>
          <w:tcPr>
            <w:tcW w:w="138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2,131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57,774</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28,149</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9. Revenues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8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Arial" w:cs="Arial" w:eastAsia="Arial" w:hAnsi="Arial"/>
                <w:sz w:val="16"/>
                <w:szCs w:val="16"/>
                <w:color w:val="auto"/>
              </w:rPr>
              <w:t>The Partnership has recognized the following amounts relating to revenues: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0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March 31, 2018</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2019</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7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 from time charters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91,776</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82,627</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Revenues from the Cool Pool</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3,698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6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91,776</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86,325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00" w:firstLine="396"/>
        <w:spacing w:after="0" w:line="329" w:lineRule="auto"/>
        <w:rPr>
          <w:sz w:val="20"/>
          <w:szCs w:val="20"/>
          <w:color w:val="auto"/>
        </w:rPr>
      </w:pPr>
      <w:r>
        <w:rPr>
          <w:rFonts w:ascii="Arial" w:cs="Arial" w:eastAsia="Arial" w:hAnsi="Arial"/>
          <w:sz w:val="15"/>
          <w:szCs w:val="15"/>
          <w:color w:val="auto"/>
        </w:rPr>
        <w:t>Revenues from the Cool Pool relate only to the pool revenues received from a GasLog Partners vessel operating in the Cool Pool and do not include the Net pool allocation to GasLog Partners of a gain of $34 for the three months ended March 31, 2019 (nil for the three months ended March 31,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gridSpan w:val="2"/>
          </w:tcPr>
          <w:p>
            <w:pPr>
              <w:spacing w:after="0"/>
              <w:rPr>
                <w:sz w:val="20"/>
                <w:szCs w:val="20"/>
                <w:color w:val="auto"/>
              </w:rPr>
            </w:pPr>
            <w:r>
              <w:rPr>
                <w:rFonts w:ascii="Arial" w:cs="Arial" w:eastAsia="Arial" w:hAnsi="Arial"/>
                <w:sz w:val="16"/>
                <w:szCs w:val="16"/>
                <w:b w:val="1"/>
                <w:bCs w:val="1"/>
                <w:color w:val="auto"/>
              </w:rPr>
              <w:t>10. General and Administrative Expenses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600" w:type="dxa"/>
            <w:vAlign w:val="bottom"/>
          </w:tcPr>
          <w:p>
            <w:pPr>
              <w:ind w:left="140"/>
              <w:spacing w:after="0"/>
              <w:rPr>
                <w:sz w:val="20"/>
                <w:szCs w:val="20"/>
                <w:color w:val="auto"/>
              </w:rPr>
            </w:pPr>
            <w:r>
              <w:rPr>
                <w:rFonts w:ascii="Arial" w:cs="Arial" w:eastAsia="Arial" w:hAnsi="Arial"/>
                <w:sz w:val="16"/>
                <w:szCs w:val="16"/>
                <w:color w:val="auto"/>
              </w:rPr>
              <w:t>An analysis of general and administrative expenses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0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7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Administrative fees (Note 3)</w:t>
            </w:r>
          </w:p>
        </w:tc>
        <w:tc>
          <w:tcPr>
            <w:tcW w:w="1360" w:type="dxa"/>
            <w:vAlign w:val="bottom"/>
            <w:tcBorders>
              <w:top w:val="single" w:sz="8" w:color="auto"/>
            </w:tcBorders>
            <w:shd w:val="clear" w:color="auto" w:fill="E5FFFF"/>
          </w:tcPr>
          <w:p>
            <w:pPr>
              <w:ind w:left="1000"/>
              <w:spacing w:after="0"/>
              <w:rPr>
                <w:sz w:val="20"/>
                <w:szCs w:val="20"/>
                <w:color w:val="auto"/>
              </w:rPr>
            </w:pPr>
            <w:r>
              <w:rPr>
                <w:rFonts w:ascii="Arial" w:cs="Arial" w:eastAsia="Arial" w:hAnsi="Arial"/>
                <w:sz w:val="16"/>
                <w:szCs w:val="16"/>
                <w:color w:val="auto"/>
                <w:w w:val="84"/>
              </w:rPr>
              <w:t>2,435</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Commercial management fees (Note 3)</w:t>
            </w:r>
          </w:p>
        </w:tc>
        <w:tc>
          <w:tcPr>
            <w:tcW w:w="1640" w:type="dxa"/>
            <w:vAlign w:val="bottom"/>
            <w:gridSpan w:val="2"/>
          </w:tcPr>
          <w:p>
            <w:pPr>
              <w:ind w:left="1000"/>
              <w:spacing w:after="0"/>
              <w:rPr>
                <w:sz w:val="20"/>
                <w:szCs w:val="20"/>
                <w:color w:val="auto"/>
              </w:rPr>
            </w:pPr>
            <w:r>
              <w:rPr>
                <w:rFonts w:ascii="Arial" w:cs="Arial" w:eastAsia="Arial" w:hAnsi="Arial"/>
                <w:sz w:val="16"/>
                <w:szCs w:val="16"/>
                <w:color w:val="auto"/>
              </w:rPr>
              <w:t>1,260</w:t>
            </w:r>
          </w:p>
        </w:tc>
        <w:tc>
          <w:tcPr>
            <w:tcW w:w="1380" w:type="dxa"/>
            <w:vAlign w:val="bottom"/>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 (Note 17)</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235</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Other expenses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862</w:t>
            </w:r>
          </w:p>
        </w:tc>
        <w:tc>
          <w:tcPr>
            <w:tcW w:w="1380" w:type="dxa"/>
            <w:vAlign w:val="bottom"/>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6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ind w:left="1000"/>
              <w:spacing w:after="0"/>
              <w:rPr>
                <w:sz w:val="20"/>
                <w:szCs w:val="20"/>
                <w:color w:val="auto"/>
              </w:rPr>
            </w:pPr>
            <w:r>
              <w:rPr>
                <w:rFonts w:ascii="Arial" w:cs="Arial" w:eastAsia="Arial" w:hAnsi="Arial"/>
                <w:sz w:val="16"/>
                <w:szCs w:val="16"/>
                <w:b w:val="1"/>
                <w:bCs w:val="1"/>
                <w:color w:val="auto"/>
                <w:w w:val="84"/>
              </w:rPr>
              <w:t>4,792</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4,598</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11. Operating Expenses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8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600" w:type="dxa"/>
            <w:vAlign w:val="bottom"/>
          </w:tcPr>
          <w:p>
            <w:pPr>
              <w:ind w:left="140"/>
              <w:spacing w:after="0"/>
              <w:rPr>
                <w:sz w:val="20"/>
                <w:szCs w:val="20"/>
                <w:color w:val="auto"/>
              </w:rPr>
            </w:pPr>
            <w:r>
              <w:rPr>
                <w:rFonts w:ascii="Arial" w:cs="Arial" w:eastAsia="Arial" w:hAnsi="Arial"/>
                <w:sz w:val="16"/>
                <w:szCs w:val="16"/>
                <w:color w:val="auto"/>
              </w:rPr>
              <w:t>An analysis of operating expenses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0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7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Crew costs</w:t>
            </w:r>
          </w:p>
        </w:tc>
        <w:tc>
          <w:tcPr>
            <w:tcW w:w="1360" w:type="dxa"/>
            <w:vAlign w:val="bottom"/>
            <w:tcBorders>
              <w:top w:val="single" w:sz="8" w:color="auto"/>
            </w:tcBorders>
            <w:shd w:val="clear" w:color="auto" w:fill="E5FFFF"/>
          </w:tcPr>
          <w:p>
            <w:pPr>
              <w:ind w:left="1000"/>
              <w:spacing w:after="0"/>
              <w:rPr>
                <w:sz w:val="20"/>
                <w:szCs w:val="20"/>
                <w:color w:val="auto"/>
              </w:rPr>
            </w:pPr>
            <w:r>
              <w:rPr>
                <w:rFonts w:ascii="Arial" w:cs="Arial" w:eastAsia="Arial" w:hAnsi="Arial"/>
                <w:sz w:val="16"/>
                <w:szCs w:val="16"/>
                <w:color w:val="auto"/>
                <w:w w:val="84"/>
              </w:rPr>
              <w:t>9,244</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8,425</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Technical maintenance expenses</w:t>
            </w:r>
          </w:p>
        </w:tc>
        <w:tc>
          <w:tcPr>
            <w:tcW w:w="1640" w:type="dxa"/>
            <w:vAlign w:val="bottom"/>
            <w:gridSpan w:val="2"/>
          </w:tcPr>
          <w:p>
            <w:pPr>
              <w:ind w:left="1000"/>
              <w:spacing w:after="0"/>
              <w:rPr>
                <w:sz w:val="20"/>
                <w:szCs w:val="20"/>
                <w:color w:val="auto"/>
              </w:rPr>
            </w:pPr>
            <w:r>
              <w:rPr>
                <w:rFonts w:ascii="Arial" w:cs="Arial" w:eastAsia="Arial" w:hAnsi="Arial"/>
                <w:sz w:val="16"/>
                <w:szCs w:val="16"/>
                <w:color w:val="auto"/>
              </w:rPr>
              <w:t>4,632</w:t>
            </w:r>
          </w:p>
        </w:tc>
        <w:tc>
          <w:tcPr>
            <w:tcW w:w="1380" w:type="dxa"/>
            <w:vAlign w:val="bottom"/>
          </w:tcPr>
          <w:p>
            <w:pPr>
              <w:jc w:val="right"/>
              <w:spacing w:after="0"/>
              <w:rPr>
                <w:sz w:val="20"/>
                <w:szCs w:val="20"/>
                <w:color w:val="auto"/>
              </w:rPr>
            </w:pPr>
            <w:r>
              <w:rPr>
                <w:rFonts w:ascii="Arial" w:cs="Arial" w:eastAsia="Arial" w:hAnsi="Arial"/>
                <w:sz w:val="16"/>
                <w:szCs w:val="16"/>
                <w:color w:val="auto"/>
              </w:rPr>
              <w:t>4,414</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Other operating expenses</w:t>
            </w:r>
          </w:p>
        </w:tc>
        <w:tc>
          <w:tcPr>
            <w:tcW w:w="164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4,901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4,279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18,777</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346" w:right="4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0"/>
        </w:trPr>
        <w:tc>
          <w:tcPr>
            <w:tcW w:w="8040" w:type="dxa"/>
            <w:vAlign w:val="bottom"/>
            <w:gridSpan w:val="2"/>
          </w:tcPr>
          <w:p>
            <w:pPr>
              <w:spacing w:after="0"/>
              <w:rPr>
                <w:sz w:val="20"/>
                <w:szCs w:val="20"/>
                <w:color w:val="auto"/>
              </w:rPr>
            </w:pPr>
            <w:r>
              <w:rPr>
                <w:rFonts w:ascii="Arial" w:cs="Arial" w:eastAsia="Arial" w:hAnsi="Arial"/>
                <w:sz w:val="16"/>
                <w:szCs w:val="16"/>
                <w:b w:val="1"/>
                <w:bCs w:val="1"/>
                <w:color w:val="auto"/>
              </w:rPr>
              <w:t>12. Derivative Financial Instruments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840" w:type="dxa"/>
            <w:vAlign w:val="bottom"/>
          </w:tcPr>
          <w:p>
            <w:pPr>
              <w:ind w:left="140"/>
              <w:spacing w:after="0"/>
              <w:rPr>
                <w:sz w:val="20"/>
                <w:szCs w:val="20"/>
                <w:color w:val="auto"/>
              </w:rPr>
            </w:pPr>
            <w:r>
              <w:rPr>
                <w:rFonts w:ascii="Arial" w:cs="Arial" w:eastAsia="Arial" w:hAnsi="Arial"/>
                <w:sz w:val="16"/>
                <w:szCs w:val="16"/>
                <w:color w:val="auto"/>
              </w:rPr>
              <w:t>The fair value of the derivative assets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78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Interest rate swaps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9,731</w:t>
            </w:r>
          </w:p>
        </w:tc>
        <w:tc>
          <w:tcPr>
            <w:tcW w:w="1360" w:type="dxa"/>
            <w:vAlign w:val="bottom"/>
          </w:tcPr>
          <w:p>
            <w:pPr>
              <w:jc w:val="right"/>
              <w:spacing w:after="0"/>
              <w:rPr>
                <w:sz w:val="20"/>
                <w:szCs w:val="20"/>
                <w:color w:val="auto"/>
              </w:rPr>
            </w:pPr>
            <w:r>
              <w:rPr>
                <w:rFonts w:ascii="Arial" w:cs="Arial" w:eastAsia="Arial" w:hAnsi="Arial"/>
                <w:sz w:val="16"/>
                <w:szCs w:val="16"/>
                <w:color w:val="auto"/>
              </w:rPr>
              <w:t>5,970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8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9,731</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840" w:type="dxa"/>
            <w:vAlign w:val="bottom"/>
            <w:vMerge w:val="restart"/>
          </w:tcPr>
          <w:p>
            <w:pPr>
              <w:spacing w:after="0"/>
              <w:rPr>
                <w:sz w:val="20"/>
                <w:szCs w:val="20"/>
                <w:color w:val="auto"/>
              </w:rPr>
            </w:pPr>
            <w:r>
              <w:rPr>
                <w:rFonts w:ascii="Arial" w:cs="Arial" w:eastAsia="Arial" w:hAnsi="Arial"/>
                <w:sz w:val="16"/>
                <w:szCs w:val="16"/>
                <w:color w:val="auto"/>
              </w:rPr>
              <w:t>Derivative financial instruments, current asset</w:t>
            </w:r>
          </w:p>
        </w:tc>
        <w:tc>
          <w:tcPr>
            <w:tcW w:w="16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7840" w:type="dxa"/>
            <w:vAlign w:val="bottom"/>
            <w:vMerge w:val="continue"/>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4,615</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asset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5,116</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8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9,731</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840" w:type="dxa"/>
            <w:vAlign w:val="bottom"/>
            <w:vMerge w:val="restart"/>
          </w:tcPr>
          <w:p>
            <w:pPr>
              <w:ind w:left="140"/>
              <w:spacing w:after="0"/>
              <w:rPr>
                <w:sz w:val="20"/>
                <w:szCs w:val="20"/>
                <w:color w:val="auto"/>
              </w:rPr>
            </w:pPr>
            <w:r>
              <w:rPr>
                <w:rFonts w:ascii="Arial" w:cs="Arial" w:eastAsia="Arial" w:hAnsi="Arial"/>
                <w:sz w:val="16"/>
                <w:szCs w:val="16"/>
                <w:color w:val="auto"/>
              </w:rPr>
              <w:t>The fair value of the derivative liabilities is as follows: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78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7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Interest rate swaps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4,218</w:t>
            </w:r>
          </w:p>
        </w:tc>
        <w:tc>
          <w:tcPr>
            <w:tcW w:w="1360" w:type="dxa"/>
            <w:vAlign w:val="bottom"/>
          </w:tcPr>
          <w:p>
            <w:pPr>
              <w:jc w:val="right"/>
              <w:spacing w:after="0"/>
              <w:rPr>
                <w:sz w:val="20"/>
                <w:szCs w:val="20"/>
                <w:color w:val="auto"/>
              </w:rPr>
            </w:pPr>
            <w:r>
              <w:rPr>
                <w:rFonts w:ascii="Arial" w:cs="Arial" w:eastAsia="Arial" w:hAnsi="Arial"/>
                <w:sz w:val="16"/>
                <w:szCs w:val="16"/>
                <w:color w:val="auto"/>
              </w:rPr>
              <w:t>5,954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84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578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78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4,796</w:t>
            </w:r>
          </w:p>
        </w:tc>
        <w:tc>
          <w:tcPr>
            <w:tcW w:w="280" w:type="dxa"/>
            <w:vAlign w:val="bottom"/>
            <w:tcBorders>
              <w:bottom w:val="single" w:sz="8" w:color="E5FF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7840" w:type="dxa"/>
            <w:vAlign w:val="bottom"/>
            <w:shd w:val="clear" w:color="auto" w:fill="E5FFFF"/>
          </w:tcPr>
          <w:p>
            <w:pPr>
              <w:spacing w:after="0" w:line="167" w:lineRule="exact"/>
              <w:rPr>
                <w:sz w:val="20"/>
                <w:szCs w:val="20"/>
                <w:color w:val="auto"/>
              </w:rPr>
            </w:pPr>
            <w:r>
              <w:rPr>
                <w:rFonts w:ascii="Arial" w:cs="Arial" w:eastAsia="Arial" w:hAnsi="Arial"/>
                <w:sz w:val="16"/>
                <w:szCs w:val="16"/>
                <w:color w:val="auto"/>
              </w:rPr>
              <w:t>Derivative financial instruments, current liability</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1,253</w:t>
            </w:r>
          </w:p>
        </w:tc>
        <w:tc>
          <w:tcPr>
            <w:tcW w:w="280" w:type="dxa"/>
            <w:vAlign w:val="bottom"/>
            <w:shd w:val="clear" w:color="auto" w:fill="E5FFFF"/>
          </w:tcPr>
          <w:p>
            <w:pPr>
              <w:spacing w:after="0"/>
              <w:rPr>
                <w:sz w:val="15"/>
                <w:szCs w:val="15"/>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3,543</w:t>
            </w:r>
          </w:p>
        </w:tc>
        <w:tc>
          <w:tcPr>
            <w:tcW w:w="1360" w:type="dxa"/>
            <w:vAlign w:val="bottom"/>
          </w:tcPr>
          <w:p>
            <w:pPr>
              <w:jc w:val="right"/>
              <w:spacing w:after="0"/>
              <w:rPr>
                <w:sz w:val="20"/>
                <w:szCs w:val="20"/>
                <w:color w:val="auto"/>
              </w:rPr>
            </w:pPr>
            <w:r>
              <w:rPr>
                <w:rFonts w:ascii="Arial" w:cs="Arial" w:eastAsia="Arial" w:hAnsi="Arial"/>
                <w:sz w:val="16"/>
                <w:szCs w:val="16"/>
                <w:color w:val="auto"/>
              </w:rPr>
              <w:t>4,966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8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4,796</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6"/>
          <w:szCs w:val="16"/>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 dollar LIBOR, and the Partnership effects quarterly payments to the counterparty on the notional amount at the respective fixed rates.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terms of the interest rate swaps held for trading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Fixed</w:t>
            </w:r>
          </w:p>
        </w:tc>
        <w:tc>
          <w:tcPr>
            <w:tcW w:w="23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Notional Amount</w:t>
            </w: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Termination</w:t>
            </w: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Interest</w:t>
            </w: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560" w:type="dxa"/>
            <w:vAlign w:val="bottom"/>
            <w:gridSpan w:val="2"/>
          </w:tcPr>
          <w:p>
            <w:pPr>
              <w:ind w:left="220"/>
              <w:spacing w:after="0"/>
              <w:rPr>
                <w:sz w:val="20"/>
                <w:szCs w:val="20"/>
                <w:color w:val="auto"/>
              </w:rPr>
            </w:pPr>
            <w:r>
              <w:rPr>
                <w:rFonts w:ascii="Arial" w:cs="Arial" w:eastAsia="Arial" w:hAnsi="Arial"/>
                <w:sz w:val="16"/>
                <w:szCs w:val="16"/>
                <w:b w:val="1"/>
                <w:bCs w:val="1"/>
                <w:color w:val="auto"/>
              </w:rPr>
              <w:t>Counterparty</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Trade Date</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Effective Date</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Date</w:t>
            </w: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Rate</w:t>
            </w: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19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8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6"/>
              </w:rPr>
              <w:t>Nov 2016</w:t>
            </w:r>
          </w:p>
        </w:tc>
        <w:tc>
          <w:tcPr>
            <w:tcW w:w="1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2016</w:t>
            </w:r>
          </w:p>
        </w:tc>
        <w:tc>
          <w:tcPr>
            <w:tcW w:w="1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2020</w:t>
            </w:r>
          </w:p>
        </w:tc>
        <w:tc>
          <w:tcPr>
            <w:tcW w:w="1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1.54%</w:t>
            </w:r>
          </w:p>
        </w:tc>
        <w:tc>
          <w:tcPr>
            <w:tcW w:w="16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16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5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Nov 2016</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Nov 2016</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1.63%</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130,000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44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6"/>
              </w:rPr>
              <w:t>Nov 2016</w:t>
            </w:r>
          </w:p>
        </w:tc>
        <w:tc>
          <w:tcPr>
            <w:tcW w:w="132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Nov 2016</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2022</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1.72%</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16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5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2017</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July 2017</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June 2022</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2.19%</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80,000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44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7"/>
              </w:rPr>
              <w:t>April 2023</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3.15%</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80,000</w:t>
            </w:r>
          </w:p>
        </w:tc>
        <w:tc>
          <w:tcPr>
            <w:tcW w:w="16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5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Dec 2018</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Jan 2019</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Jan 2024</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3.14%</w:t>
            </w:r>
          </w:p>
        </w:tc>
        <w:tc>
          <w:tcPr>
            <w:tcW w:w="160" w:type="dxa"/>
            <w:vAlign w:val="bottom"/>
          </w:tcPr>
          <w:p>
            <w:pPr>
              <w:spacing w:after="0"/>
              <w:rPr>
                <w:sz w:val="17"/>
                <w:szCs w:val="17"/>
                <w:color w:val="auto"/>
              </w:rPr>
            </w:pPr>
          </w:p>
        </w:tc>
        <w:tc>
          <w:tcPr>
            <w:tcW w:w="1400" w:type="dxa"/>
            <w:vAlign w:val="bottom"/>
            <w:gridSpan w:val="2"/>
          </w:tcPr>
          <w:p>
            <w:pPr>
              <w:ind w:left="960"/>
              <w:spacing w:after="0"/>
              <w:rPr>
                <w:sz w:val="20"/>
                <w:szCs w:val="20"/>
                <w:color w:val="auto"/>
              </w:rPr>
            </w:pPr>
            <w:r>
              <w:rPr>
                <w:rFonts w:ascii="Arial" w:cs="Arial" w:eastAsia="Arial" w:hAnsi="Arial"/>
                <w:sz w:val="16"/>
                <w:szCs w:val="16"/>
                <w:color w:val="auto"/>
              </w:rPr>
              <w:t>N/A</w:t>
            </w:r>
          </w:p>
        </w:tc>
        <w:tc>
          <w:tcPr>
            <w:tcW w:w="960" w:type="dxa"/>
            <w:vAlign w:val="bottom"/>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196"/>
        </w:trPr>
        <w:tc>
          <w:tcPr>
            <w:tcW w:w="196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88"/>
              </w:rPr>
              <w:t>Total</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550,000</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625,000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firstLine="436"/>
        <w:spacing w:after="0" w:line="271"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March 31, 2019. The change in the fair value of the interest rate swaps for the three months ended March 31, 2019 amounted to a loss of $5,497 (for the three months ended March 31, 2018, a gain of $6,370), which was recognized in profit or loss in the period incurred and is included in Gain/(loss) on derivatives. During the three months ended March 31, 2019, the loss of $5,497 (Note 13) was attributable to changes in the LIBOR yield curve, which was used to calculate the present value of the estimated future cash flows, resulting in a decrease in net derivative assets from interest rate swaps held for trading.</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20" w:firstLine="383"/>
        <w:spacing w:after="0" w:line="273" w:lineRule="auto"/>
        <w:rPr>
          <w:sz w:val="20"/>
          <w:szCs w:val="20"/>
          <w:color w:val="auto"/>
        </w:rPr>
      </w:pPr>
      <w:r>
        <w:rPr>
          <w:rFonts w:ascii="Arial" w:cs="Arial" w:eastAsia="Arial" w:hAnsi="Arial"/>
          <w:sz w:val="16"/>
          <w:szCs w:val="16"/>
          <w:color w:val="auto"/>
        </w:rPr>
        <w:t>The Partnership uses non-deliverable forward foreign exchange contracts to mitigate foreign exchange transaction exposures in Euros (“EUR”). Under these non-deliverable forward foreign exchange contracts, the counterparties (GasLog and the Partnership)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6" w:name="page37"/>
    <w:bookmarkEnd w:id="36"/>
    <w:tbl>
      <w:tblPr>
        <w:tblLayout w:type="fixed"/>
        <w:tblInd w:w="360" w:type="dxa"/>
        <w:tblCellMar>
          <w:top w:w="0" w:type="dxa"/>
          <w:left w:w="0" w:type="dxa"/>
          <w:bottom w:w="0" w:type="dxa"/>
          <w:right w:w="0" w:type="dxa"/>
        </w:tblCellMar>
      </w:tblPr>
      <w:tr>
        <w:trPr>
          <w:trHeight w:val="206"/>
        </w:trPr>
        <w:tc>
          <w:tcPr>
            <w:tcW w:w="3840" w:type="dxa"/>
            <w:vAlign w:val="bottom"/>
            <w:gridSpan w:val="4"/>
          </w:tcPr>
          <w:p>
            <w:pPr>
              <w:ind w:left="60"/>
              <w:spacing w:after="0"/>
              <w:rPr>
                <w:sz w:val="20"/>
                <w:szCs w:val="20"/>
                <w:color w:val="auto"/>
              </w:rPr>
            </w:pPr>
            <w:r>
              <w:rPr>
                <w:rFonts w:ascii="Arial" w:cs="Arial" w:eastAsia="Arial" w:hAnsi="Arial"/>
                <w:sz w:val="16"/>
                <w:szCs w:val="16"/>
                <w:b w:val="1"/>
                <w:bCs w:val="1"/>
                <w:i w:val="1"/>
                <w:iCs w:val="1"/>
                <w:color w:val="auto"/>
                <w:w w:val="94"/>
              </w:rPr>
              <w:t>Forward foreign exchange contracts held for trading</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19"/>
        </w:trPr>
        <w:tc>
          <w:tcPr>
            <w:tcW w:w="7180" w:type="dxa"/>
            <w:vAlign w:val="bottom"/>
            <w:gridSpan w:val="8"/>
          </w:tcPr>
          <w:p>
            <w:pPr>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1"/>
        </w:trPr>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Fixed</w:t>
            </w:r>
          </w:p>
        </w:tc>
        <w:tc>
          <w:tcPr>
            <w:tcW w:w="146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Exchange Rate</w:t>
            </w:r>
          </w:p>
        </w:tc>
        <w:tc>
          <w:tcPr>
            <w:tcW w:w="1460" w:type="dxa"/>
            <w:vAlign w:val="bottom"/>
          </w:tcPr>
          <w:p>
            <w:pPr>
              <w:spacing w:after="0"/>
              <w:rPr>
                <w:sz w:val="17"/>
                <w:szCs w:val="17"/>
                <w:color w:val="auto"/>
              </w:rPr>
            </w:pPr>
          </w:p>
        </w:tc>
      </w:tr>
      <w:tr>
        <w:trPr>
          <w:trHeight w:val="210"/>
        </w:trPr>
        <w:tc>
          <w:tcPr>
            <w:tcW w:w="2180" w:type="dxa"/>
            <w:vAlign w:val="bottom"/>
            <w:gridSpan w:val="2"/>
          </w:tcPr>
          <w:p>
            <w:pPr>
              <w:ind w:left="300"/>
              <w:spacing w:after="0"/>
              <w:rPr>
                <w:sz w:val="20"/>
                <w:szCs w:val="20"/>
                <w:color w:val="auto"/>
              </w:rPr>
            </w:pPr>
            <w:r>
              <w:rPr>
                <w:rFonts w:ascii="Arial" w:cs="Arial" w:eastAsia="Arial" w:hAnsi="Arial"/>
                <w:sz w:val="16"/>
                <w:szCs w:val="16"/>
                <w:b w:val="1"/>
                <w:bCs w:val="1"/>
                <w:color w:val="auto"/>
              </w:rPr>
              <w:t>Company</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Counterparty</w:t>
            </w:r>
          </w:p>
        </w:tc>
        <w:tc>
          <w:tcPr>
            <w:tcW w:w="16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Trade Date</w:t>
            </w:r>
          </w:p>
        </w:tc>
        <w:tc>
          <w:tcPr>
            <w:tcW w:w="16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Settlement Date</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(USD/EUR)</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Notional Amount</w:t>
            </w:r>
          </w:p>
        </w:tc>
      </w:tr>
      <w:tr>
        <w:trPr>
          <w:trHeight w:val="202"/>
        </w:trPr>
        <w:tc>
          <w:tcPr>
            <w:tcW w:w="300" w:type="dxa"/>
            <w:vAlign w:val="bottom"/>
          </w:tcPr>
          <w:p>
            <w:pPr>
              <w:spacing w:after="0"/>
              <w:rPr>
                <w:sz w:val="17"/>
                <w:szCs w:val="17"/>
                <w:color w:val="auto"/>
              </w:rPr>
            </w:pPr>
          </w:p>
        </w:tc>
        <w:tc>
          <w:tcPr>
            <w:tcW w:w="18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4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GasLog</w:t>
            </w:r>
          </w:p>
        </w:tc>
        <w:tc>
          <w:tcPr>
            <w:tcW w:w="20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June 2018</w:t>
            </w:r>
          </w:p>
        </w:tc>
        <w:tc>
          <w:tcPr>
            <w:tcW w:w="20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Apr 2019</w:t>
            </w:r>
          </w:p>
        </w:tc>
        <w:tc>
          <w:tcPr>
            <w:tcW w:w="18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1.19315</w:t>
            </w:r>
          </w:p>
        </w:tc>
        <w:tc>
          <w:tcPr>
            <w:tcW w:w="1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30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Arial" w:cs="Arial" w:eastAsia="Arial" w:hAnsi="Arial"/>
                <w:sz w:val="16"/>
                <w:szCs w:val="16"/>
                <w:color w:val="auto"/>
              </w:rPr>
              <w:t>GasLog Partners</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GasLog</w:t>
            </w:r>
          </w:p>
        </w:tc>
        <w:tc>
          <w:tcPr>
            <w:tcW w:w="168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June 2018</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2019</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1.19645</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300" w:type="dxa"/>
            <w:vAlign w:val="bottom"/>
          </w:tcPr>
          <w:p>
            <w:pPr>
              <w:spacing w:after="0"/>
              <w:rPr>
                <w:sz w:val="17"/>
                <w:szCs w:val="17"/>
                <w:color w:val="auto"/>
              </w:rPr>
            </w:pPr>
          </w:p>
        </w:tc>
        <w:tc>
          <w:tcPr>
            <w:tcW w:w="188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66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89"/>
              </w:rPr>
              <w:t>GasLog</w:t>
            </w:r>
          </w:p>
        </w:tc>
        <w:tc>
          <w:tcPr>
            <w:tcW w:w="168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88"/>
              </w:rPr>
              <w:t>June 2018</w:t>
            </w:r>
          </w:p>
        </w:tc>
        <w:tc>
          <w:tcPr>
            <w:tcW w:w="166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88"/>
              </w:rPr>
              <w:t>June 2019</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1.19965</w:t>
            </w:r>
          </w:p>
        </w:tc>
        <w:tc>
          <w:tcPr>
            <w:tcW w:w="18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30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Arial" w:cs="Arial" w:eastAsia="Arial" w:hAnsi="Arial"/>
                <w:sz w:val="16"/>
                <w:szCs w:val="16"/>
                <w:color w:val="auto"/>
              </w:rPr>
              <w:t>GasLog Partners</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GasLog</w:t>
            </w:r>
          </w:p>
        </w:tc>
        <w:tc>
          <w:tcPr>
            <w:tcW w:w="16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August 2018</w:t>
            </w:r>
          </w:p>
        </w:tc>
        <w:tc>
          <w:tcPr>
            <w:tcW w:w="166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2019</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1.1738</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300" w:type="dxa"/>
            <w:vAlign w:val="bottom"/>
          </w:tcPr>
          <w:p>
            <w:pPr>
              <w:spacing w:after="0"/>
              <w:rPr>
                <w:sz w:val="17"/>
                <w:szCs w:val="17"/>
                <w:color w:val="auto"/>
              </w:rPr>
            </w:pPr>
          </w:p>
        </w:tc>
        <w:tc>
          <w:tcPr>
            <w:tcW w:w="188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66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89"/>
              </w:rPr>
              <w:t>GasLog</w:t>
            </w:r>
          </w:p>
        </w:tc>
        <w:tc>
          <w:tcPr>
            <w:tcW w:w="168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August 2018</w:t>
            </w:r>
          </w:p>
        </w:tc>
        <w:tc>
          <w:tcPr>
            <w:tcW w:w="166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Aug 2019</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1.1772</w:t>
            </w:r>
          </w:p>
        </w:tc>
        <w:tc>
          <w:tcPr>
            <w:tcW w:w="18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03"/>
        </w:trPr>
        <w:tc>
          <w:tcPr>
            <w:tcW w:w="300" w:type="dxa"/>
            <w:vAlign w:val="bottom"/>
          </w:tcPr>
          <w:p>
            <w:pPr>
              <w:spacing w:after="0"/>
              <w:rPr>
                <w:sz w:val="17"/>
                <w:szCs w:val="17"/>
                <w:color w:val="auto"/>
              </w:rPr>
            </w:pPr>
          </w:p>
        </w:tc>
        <w:tc>
          <w:tcPr>
            <w:tcW w:w="18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GasLog Partners</w:t>
            </w:r>
          </w:p>
        </w:tc>
        <w:tc>
          <w:tcPr>
            <w:tcW w:w="1660" w:type="dxa"/>
            <w:vAlign w:val="bottom"/>
            <w:tcBorders>
              <w:bottom w:val="single" w:sz="8" w:color="E5FFFF"/>
            </w:tcBorders>
            <w:gridSpan w:val="2"/>
          </w:tcPr>
          <w:p>
            <w:pPr>
              <w:jc w:val="center"/>
              <w:ind w:right="200"/>
              <w:spacing w:after="0"/>
              <w:rPr>
                <w:sz w:val="20"/>
                <w:szCs w:val="20"/>
                <w:color w:val="auto"/>
              </w:rPr>
            </w:pPr>
            <w:r>
              <w:rPr>
                <w:rFonts w:ascii="Arial" w:cs="Arial" w:eastAsia="Arial" w:hAnsi="Arial"/>
                <w:sz w:val="16"/>
                <w:szCs w:val="16"/>
                <w:color w:val="auto"/>
                <w:w w:val="89"/>
              </w:rPr>
              <w:t>GasLog</w:t>
            </w:r>
          </w:p>
        </w:tc>
        <w:tc>
          <w:tcPr>
            <w:tcW w:w="1680" w:type="dxa"/>
            <w:vAlign w:val="bottom"/>
            <w:tcBorders>
              <w:bottom w:val="single" w:sz="8" w:color="E5FFFF"/>
            </w:tcBorders>
            <w:gridSpan w:val="2"/>
          </w:tcPr>
          <w:p>
            <w:pPr>
              <w:jc w:val="center"/>
              <w:ind w:right="200"/>
              <w:spacing w:after="0"/>
              <w:rPr>
                <w:sz w:val="20"/>
                <w:szCs w:val="20"/>
                <w:color w:val="auto"/>
              </w:rPr>
            </w:pPr>
            <w:r>
              <w:rPr>
                <w:rFonts w:ascii="Arial" w:cs="Arial" w:eastAsia="Arial" w:hAnsi="Arial"/>
                <w:sz w:val="16"/>
                <w:szCs w:val="16"/>
                <w:color w:val="auto"/>
                <w:w w:val="93"/>
              </w:rPr>
              <w:t>August 2018</w:t>
            </w:r>
          </w:p>
        </w:tc>
        <w:tc>
          <w:tcPr>
            <w:tcW w:w="1660" w:type="dxa"/>
            <w:vAlign w:val="bottom"/>
            <w:tcBorders>
              <w:bottom w:val="single" w:sz="8" w:color="E5FFFF"/>
            </w:tcBorders>
            <w:gridSpan w:val="2"/>
          </w:tcPr>
          <w:p>
            <w:pPr>
              <w:jc w:val="center"/>
              <w:ind w:right="180"/>
              <w:spacing w:after="0"/>
              <w:rPr>
                <w:sz w:val="20"/>
                <w:szCs w:val="20"/>
                <w:color w:val="auto"/>
              </w:rPr>
            </w:pPr>
            <w:r>
              <w:rPr>
                <w:rFonts w:ascii="Arial" w:cs="Arial" w:eastAsia="Arial" w:hAnsi="Arial"/>
                <w:sz w:val="16"/>
                <w:szCs w:val="16"/>
                <w:color w:val="auto"/>
                <w:w w:val="87"/>
              </w:rPr>
              <w:t>Sept 2019</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1.1809</w:t>
            </w:r>
          </w:p>
        </w:tc>
        <w:tc>
          <w:tcPr>
            <w:tcW w:w="180" w:type="dxa"/>
            <w:vAlign w:val="bottom"/>
            <w:tcBorders>
              <w:bottom w:val="single" w:sz="8" w:color="E5FF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r>
        <w:trPr>
          <w:trHeight w:val="196"/>
        </w:trPr>
        <w:tc>
          <w:tcPr>
            <w:tcW w:w="300" w:type="dxa"/>
            <w:vAlign w:val="bottom"/>
          </w:tcPr>
          <w:p>
            <w:pPr>
              <w:spacing w:after="0"/>
              <w:rPr>
                <w:sz w:val="17"/>
                <w:szCs w:val="17"/>
                <w:color w:val="auto"/>
              </w:rPr>
            </w:pPr>
          </w:p>
        </w:tc>
        <w:tc>
          <w:tcPr>
            <w:tcW w:w="1880" w:type="dxa"/>
            <w:vAlign w:val="bottom"/>
            <w:tcBorders>
              <w:bottom w:val="single" w:sz="8" w:color="E5FFFF"/>
            </w:tcBorders>
            <w:shd w:val="clear" w:color="auto" w:fill="E5FFFF"/>
          </w:tcPr>
          <w:p>
            <w:pPr>
              <w:spacing w:after="0"/>
              <w:rPr>
                <w:sz w:val="17"/>
                <w:szCs w:val="17"/>
                <w:color w:val="auto"/>
              </w:rPr>
            </w:pPr>
          </w:p>
        </w:tc>
        <w:tc>
          <w:tcPr>
            <w:tcW w:w="146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Borders>
              <w:bottom w:val="single" w:sz="8" w:color="E5FFFF"/>
            </w:tcBorders>
            <w:shd w:val="clear" w:color="auto" w:fill="E5FFFF"/>
          </w:tcPr>
          <w:p>
            <w:pPr>
              <w:spacing w:after="0"/>
              <w:rPr>
                <w:sz w:val="17"/>
                <w:szCs w:val="17"/>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€12,000</w:t>
            </w:r>
          </w:p>
        </w:tc>
      </w:tr>
      <w:tr>
        <w:trPr>
          <w:trHeight w:val="20"/>
        </w:trPr>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40" w:firstLine="356"/>
        <w:spacing w:after="0" w:line="278"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March 31, 2019. The change in the fair value of these contracts for the three months ended March 31, 2019 amounted to a loss of $110 (nil for the three months ended March 31, 2018), which was recognized in profit or loss in the period incurred and is included in Gain/(loss) on derivatives (Note 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gridSpan w:val="2"/>
          </w:tcPr>
          <w:p>
            <w:pPr>
              <w:spacing w:after="0"/>
              <w:rPr>
                <w:sz w:val="20"/>
                <w:szCs w:val="20"/>
                <w:color w:val="auto"/>
              </w:rPr>
            </w:pPr>
            <w:r>
              <w:rPr>
                <w:rFonts w:ascii="Arial" w:cs="Arial" w:eastAsia="Arial" w:hAnsi="Arial"/>
                <w:sz w:val="16"/>
                <w:szCs w:val="16"/>
                <w:b w:val="1"/>
                <w:bCs w:val="1"/>
                <w:color w:val="auto"/>
              </w:rPr>
              <w:t>13. Financial Costs and Gain/(loss) on Derivatives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19"/>
        </w:trPr>
        <w:tc>
          <w:tcPr>
            <w:tcW w:w="26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6"/>
                <w:szCs w:val="16"/>
                <w:color w:val="auto"/>
              </w:rPr>
              <w:t>An analysis of financial costs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1"/>
        </w:trPr>
        <w:tc>
          <w:tcPr>
            <w:tcW w:w="2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00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2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31, 2018</w:t>
            </w:r>
          </w:p>
        </w:tc>
        <w:tc>
          <w:tcPr>
            <w:tcW w:w="136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 2019</w:t>
            </w:r>
          </w:p>
        </w:tc>
      </w:tr>
      <w:tr>
        <w:trPr>
          <w:trHeight w:val="199"/>
        </w:trPr>
        <w:tc>
          <w:tcPr>
            <w:tcW w:w="260" w:type="dxa"/>
            <w:vAlign w:val="bottom"/>
          </w:tcPr>
          <w:p>
            <w:pPr>
              <w:spacing w:after="0"/>
              <w:rPr>
                <w:sz w:val="17"/>
                <w:szCs w:val="17"/>
                <w:color w:val="auto"/>
              </w:rPr>
            </w:pPr>
          </w:p>
        </w:tc>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2,480</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2,388</w:t>
            </w:r>
          </w:p>
        </w:tc>
      </w:tr>
      <w:tr>
        <w:trPr>
          <w:trHeight w:val="203"/>
        </w:trPr>
        <w:tc>
          <w:tcPr>
            <w:tcW w:w="26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13,757</w:t>
            </w:r>
          </w:p>
        </w:tc>
        <w:tc>
          <w:tcPr>
            <w:tcW w:w="1360" w:type="dxa"/>
            <w:vAlign w:val="bottom"/>
          </w:tcPr>
          <w:p>
            <w:pPr>
              <w:jc w:val="right"/>
              <w:spacing w:after="0"/>
              <w:rPr>
                <w:sz w:val="20"/>
                <w:szCs w:val="20"/>
                <w:color w:val="auto"/>
              </w:rPr>
            </w:pPr>
            <w:r>
              <w:rPr>
                <w:rFonts w:ascii="Arial" w:cs="Arial" w:eastAsia="Arial" w:hAnsi="Arial"/>
                <w:sz w:val="16"/>
                <w:szCs w:val="16"/>
                <w:color w:val="auto"/>
              </w:rPr>
              <w:t>15,013</w:t>
            </w:r>
          </w:p>
        </w:tc>
      </w:tr>
      <w:tr>
        <w:trPr>
          <w:trHeight w:val="203"/>
        </w:trPr>
        <w:tc>
          <w:tcPr>
            <w:tcW w:w="260" w:type="dxa"/>
            <w:vAlign w:val="bottom"/>
          </w:tcPr>
          <w:p>
            <w:pPr>
              <w:spacing w:after="0"/>
              <w:rPr>
                <w:sz w:val="17"/>
                <w:szCs w:val="17"/>
                <w:color w:val="auto"/>
              </w:rPr>
            </w:pPr>
          </w:p>
        </w:tc>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Lease expense</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w:t>
            </w:r>
          </w:p>
        </w:tc>
      </w:tr>
      <w:tr>
        <w:trPr>
          <w:trHeight w:val="203"/>
        </w:trPr>
        <w:tc>
          <w:tcPr>
            <w:tcW w:w="26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Commitment fees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133</w:t>
            </w:r>
          </w:p>
        </w:tc>
        <w:tc>
          <w:tcPr>
            <w:tcW w:w="13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03"/>
        </w:trPr>
        <w:tc>
          <w:tcPr>
            <w:tcW w:w="260" w:type="dxa"/>
            <w:vAlign w:val="bottom"/>
          </w:tcPr>
          <w:p>
            <w:pPr>
              <w:spacing w:after="0"/>
              <w:rPr>
                <w:sz w:val="17"/>
                <w:szCs w:val="17"/>
                <w:color w:val="auto"/>
              </w:rPr>
            </w:pPr>
          </w:p>
        </w:tc>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 including bank commissions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70</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187</w:t>
            </w:r>
          </w:p>
        </w:tc>
      </w:tr>
      <w:tr>
        <w:trPr>
          <w:trHeight w:val="196"/>
        </w:trPr>
        <w:tc>
          <w:tcPr>
            <w:tcW w:w="26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b w:val="1"/>
                <w:bCs w:val="1"/>
                <w:color w:val="auto"/>
              </w:rPr>
              <w:t>Total financial costs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16,440</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17,902</w:t>
            </w:r>
          </w:p>
        </w:tc>
      </w:tr>
      <w:tr>
        <w:trPr>
          <w:trHeight w:val="20"/>
        </w:trPr>
        <w:tc>
          <w:tcPr>
            <w:tcW w:w="2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 analysis of gain/loss on derivatives is as follows:</w:t>
      </w:r>
    </w:p>
    <w:p>
      <w:pPr>
        <w:sectPr>
          <w:pgSz w:w="11900" w:h="16838" w:orient="portrait"/>
          <w:cols w:equalWidth="0" w:num="1">
            <w:col w:w="11460"/>
          </w:cols>
          <w:pgMar w:left="240" w:top="346"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Unrealized (gain)/loss on interest rate swaps held for trading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-109855</wp:posOffset>
            </wp:positionV>
            <wp:extent cx="674052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40525"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Unrealized loss on forward foreign exchange contracts held for trading (Note 12)</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Realized loss/(gain) on interest rate swaps held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-112395</wp:posOffset>
            </wp:positionV>
            <wp:extent cx="674052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40525" cy="128905"/>
                    </a:xfrm>
                    <a:prstGeom prst="rect">
                      <a:avLst/>
                    </a:prstGeom>
                    <a:noFill/>
                  </pic:spPr>
                </pic:pic>
              </a:graphicData>
            </a:graphic>
          </wp:anchor>
        </w:drawing>
      </w:r>
    </w:p>
    <w:p>
      <w:pPr>
        <w:ind w:left="260" w:right="2440"/>
        <w:spacing w:after="0" w:line="288" w:lineRule="auto"/>
        <w:rPr>
          <w:sz w:val="20"/>
          <w:szCs w:val="20"/>
          <w:color w:val="auto"/>
        </w:rPr>
      </w:pPr>
      <w:r>
        <w:rPr>
          <w:rFonts w:ascii="Arial" w:cs="Arial" w:eastAsia="Arial" w:hAnsi="Arial"/>
          <w:sz w:val="16"/>
          <w:szCs w:val="16"/>
          <w:color w:val="auto"/>
        </w:rPr>
        <w:t xml:space="preserve">Realized loss on forward foreign exchange contracts held for trading </w:t>
      </w:r>
      <w:r>
        <w:rPr>
          <w:rFonts w:ascii="Arial" w:cs="Arial" w:eastAsia="Arial" w:hAnsi="Arial"/>
          <w:sz w:val="16"/>
          <w:szCs w:val="16"/>
          <w:b w:val="1"/>
          <w:bCs w:val="1"/>
          <w:color w:val="auto"/>
        </w:rPr>
        <w:t>Total (gain)/loss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-147320</wp:posOffset>
            </wp:positionV>
            <wp:extent cx="674052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0525"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Cash Flow Reconciliations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March 31, 2018</w:t>
            </w:r>
          </w:p>
        </w:tc>
        <w:tc>
          <w:tcPr>
            <w:tcW w:w="14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March 31, 2019</w:t>
            </w:r>
          </w:p>
        </w:tc>
      </w:tr>
      <w:tr>
        <w:trPr>
          <w:trHeight w:val="186"/>
        </w:trPr>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(6,370)</w:t>
            </w:r>
          </w:p>
        </w:tc>
        <w:tc>
          <w:tcPr>
            <w:tcW w:w="280" w:type="dxa"/>
            <w:vAlign w:val="bottom"/>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5,497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164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110</w:t>
            </w:r>
          </w:p>
        </w:tc>
      </w:tr>
      <w:tr>
        <w:trPr>
          <w:trHeight w:val="203"/>
        </w:trPr>
        <w:tc>
          <w:tcPr>
            <w:tcW w:w="1640" w:type="dxa"/>
            <w:vAlign w:val="bottom"/>
            <w:gridSpan w:val="2"/>
          </w:tcPr>
          <w:p>
            <w:pPr>
              <w:jc w:val="right"/>
              <w:ind w:right="199"/>
              <w:spacing w:after="0"/>
              <w:rPr>
                <w:sz w:val="20"/>
                <w:szCs w:val="20"/>
                <w:color w:val="auto"/>
              </w:rPr>
            </w:pPr>
            <w:r>
              <w:rPr>
                <w:rFonts w:ascii="Arial" w:cs="Arial" w:eastAsia="Arial" w:hAnsi="Arial"/>
                <w:sz w:val="16"/>
                <w:szCs w:val="16"/>
                <w:color w:val="auto"/>
              </w:rPr>
              <w:t>43</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(1,097)</w:t>
            </w:r>
          </w:p>
        </w:tc>
      </w:tr>
      <w:tr>
        <w:trPr>
          <w:trHeight w:val="206"/>
        </w:trPr>
        <w:tc>
          <w:tcPr>
            <w:tcW w:w="164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367</w:t>
            </w:r>
          </w:p>
        </w:tc>
        <w:tc>
          <w:tcPr>
            <w:tcW w:w="40" w:type="dxa"/>
            <w:vAlign w:val="bottom"/>
          </w:tcPr>
          <w:p>
            <w:pPr>
              <w:spacing w:after="0"/>
              <w:rPr>
                <w:sz w:val="17"/>
                <w:szCs w:val="17"/>
                <w:color w:val="auto"/>
              </w:rPr>
            </w:pPr>
          </w:p>
        </w:tc>
      </w:tr>
      <w:tr>
        <w:trPr>
          <w:trHeight w:val="21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(6,327</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4,877</w:t>
            </w:r>
          </w:p>
        </w:tc>
        <w:tc>
          <w:tcPr>
            <w:tcW w:w="40" w:type="dxa"/>
            <w:vAlign w:val="bottom"/>
          </w:tcPr>
          <w:p>
            <w:pPr>
              <w:spacing w:after="0"/>
              <w:rPr>
                <w:sz w:val="18"/>
                <w:szCs w:val="18"/>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86" w:lineRule="exact"/>
        <w:rPr>
          <w:sz w:val="20"/>
          <w:szCs w:val="20"/>
          <w:color w:val="auto"/>
        </w:rPr>
      </w:pPr>
    </w:p>
    <w:p>
      <w:pPr>
        <w:sectPr>
          <w:pgSz w:w="11900" w:h="16838" w:orient="portrait"/>
          <w:cols w:equalWidth="0" w:num="2">
            <w:col w:w="7160" w:space="720"/>
            <w:col w:w="3580"/>
          </w:cols>
          <w:pgMar w:left="240" w:top="346" w:right="199" w:bottom="1440" w:gutter="0" w:footer="0" w:header="0"/>
          <w:type w:val="continuous"/>
        </w:sectPr>
      </w:pPr>
    </w:p>
    <w:p>
      <w:pPr>
        <w:spacing w:after="0" w:line="39" w:lineRule="exact"/>
        <w:rPr>
          <w:sz w:val="20"/>
          <w:szCs w:val="20"/>
          <w:color w:val="auto"/>
        </w:rPr>
      </w:pPr>
    </w:p>
    <w:p>
      <w:pPr>
        <w:ind w:right="200" w:firstLine="383"/>
        <w:spacing w:after="0" w:line="293" w:lineRule="auto"/>
        <w:rPr>
          <w:sz w:val="20"/>
          <w:szCs w:val="20"/>
          <w:color w:val="auto"/>
        </w:rPr>
      </w:pPr>
      <w:r>
        <w:rPr>
          <w:rFonts w:ascii="Arial" w:cs="Arial" w:eastAsia="Arial" w:hAnsi="Arial"/>
          <w:sz w:val="16"/>
          <w:szCs w:val="16"/>
          <w:color w:val="auto"/>
        </w:rPr>
        <w:t>The reconciliations of the Partnership’s non-cash investing and financing activities for the three months ended March 31, 2018 and March 31, 2019 are presented in the following tables:</w:t>
      </w:r>
    </w:p>
    <w:p>
      <w:pPr>
        <w:sectPr>
          <w:pgSz w:w="11900" w:h="16838" w:orient="portrait"/>
          <w:cols w:equalWidth="0" w:num="1">
            <w:col w:w="11460"/>
          </w:cols>
          <w:pgMar w:left="240" w:top="346" w:right="199" w:bottom="1440" w:gutter="0" w:footer="0" w:header="0"/>
          <w:type w:val="continuous"/>
        </w:sectPr>
      </w:pPr>
    </w:p>
    <w:p>
      <w:pPr>
        <w:spacing w:after="0" w:line="17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 reconciliation of borrowings arising from financing activities is as follows: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 w:right="2140"/>
        <w:spacing w:after="0" w:line="275" w:lineRule="auto"/>
        <w:rPr>
          <w:sz w:val="20"/>
          <w:szCs w:val="20"/>
          <w:color w:val="auto"/>
        </w:rPr>
      </w:pPr>
      <w:r>
        <w:rPr>
          <w:rFonts w:ascii="Arial" w:cs="Arial" w:eastAsia="Arial" w:hAnsi="Arial"/>
          <w:sz w:val="16"/>
          <w:szCs w:val="16"/>
          <w:color w:val="auto"/>
        </w:rPr>
        <w:t>Borrowings outstanding as of January 1, 2018 Borrowings repayments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Amortization and write-off of deferred loan issuance costs (Note 13)</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Borrowings outstanding as of March 31, 2018</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Opening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Opening</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w w:val="93"/>
              </w:rPr>
              <w:t>balance</w:t>
            </w:r>
          </w:p>
        </w:tc>
        <w:tc>
          <w:tcPr>
            <w:tcW w:w="1420" w:type="dxa"/>
            <w:vAlign w:val="bottom"/>
            <w:gridSpan w:val="3"/>
          </w:tcPr>
          <w:p>
            <w:pPr>
              <w:ind w:left="200"/>
              <w:spacing w:after="0"/>
              <w:rPr>
                <w:sz w:val="20"/>
                <w:szCs w:val="20"/>
                <w:color w:val="auto"/>
              </w:rPr>
            </w:pPr>
            <w:r>
              <w:rPr>
                <w:rFonts w:ascii="Arial" w:cs="Arial" w:eastAsia="Arial" w:hAnsi="Arial"/>
                <w:sz w:val="16"/>
                <w:szCs w:val="16"/>
                <w:b w:val="1"/>
                <w:bCs w:val="1"/>
                <w:color w:val="auto"/>
              </w:rPr>
              <w:t>Cash flows</w:t>
            </w:r>
          </w:p>
        </w:tc>
        <w:tc>
          <w:tcPr>
            <w:tcW w:w="1680" w:type="dxa"/>
            <w:vAlign w:val="bottom"/>
            <w:gridSpan w:val="3"/>
          </w:tcPr>
          <w:p>
            <w:pPr>
              <w:ind w:left="20"/>
              <w:spacing w:after="0"/>
              <w:rPr>
                <w:sz w:val="20"/>
                <w:szCs w:val="20"/>
                <w:color w:val="auto"/>
              </w:rPr>
            </w:pPr>
            <w:r>
              <w:rPr>
                <w:rFonts w:ascii="Arial" w:cs="Arial" w:eastAsia="Arial" w:hAnsi="Arial"/>
                <w:sz w:val="16"/>
                <w:szCs w:val="16"/>
                <w:b w:val="1"/>
                <w:bCs w:val="1"/>
                <w:color w:val="auto"/>
              </w:rPr>
              <w:t>Non-cash items</w:t>
            </w:r>
          </w:p>
        </w:tc>
        <w:tc>
          <w:tcPr>
            <w:tcW w:w="11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Total</w:t>
            </w:r>
          </w:p>
        </w:tc>
      </w:tr>
      <w:tr>
        <w:trPr>
          <w:trHeight w:val="192"/>
        </w:trPr>
        <w:tc>
          <w:tcPr>
            <w:tcW w:w="1020" w:type="dxa"/>
            <w:vAlign w:val="bottom"/>
          </w:tcPr>
          <w:p>
            <w:pPr>
              <w:jc w:val="right"/>
              <w:ind w:right="59"/>
              <w:spacing w:after="0"/>
              <w:rPr>
                <w:sz w:val="20"/>
                <w:szCs w:val="20"/>
                <w:color w:val="auto"/>
              </w:rPr>
            </w:pPr>
            <w:r>
              <w:rPr>
                <w:rFonts w:ascii="Arial" w:cs="Arial" w:eastAsia="Arial" w:hAnsi="Arial"/>
                <w:sz w:val="16"/>
                <w:szCs w:val="16"/>
                <w:color w:val="auto"/>
              </w:rPr>
              <w:t>1,400,128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1,400,128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(105,694)</w:t>
            </w:r>
          </w:p>
        </w:tc>
        <w:tc>
          <w:tcPr>
            <w:tcW w:w="140" w:type="dxa"/>
            <w:vAlign w:val="bottom"/>
          </w:tcPr>
          <w:p>
            <w:pPr>
              <w:spacing w:after="0"/>
              <w:rPr>
                <w:sz w:val="17"/>
                <w:szCs w:val="17"/>
                <w:color w:val="auto"/>
              </w:rPr>
            </w:pPr>
          </w:p>
        </w:tc>
        <w:tc>
          <w:tcPr>
            <w:tcW w:w="16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(105,694)</w:t>
            </w:r>
          </w:p>
        </w:tc>
      </w:tr>
      <w:tr>
        <w:trPr>
          <w:trHeight w:val="206"/>
        </w:trPr>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2,480</w:t>
            </w:r>
          </w:p>
        </w:tc>
        <w:tc>
          <w:tcPr>
            <w:tcW w:w="28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2,480</w:t>
            </w:r>
          </w:p>
        </w:tc>
        <w:tc>
          <w:tcPr>
            <w:tcW w:w="20" w:type="dxa"/>
            <w:vAlign w:val="bottom"/>
          </w:tcPr>
          <w:p>
            <w:pPr>
              <w:spacing w:after="0"/>
              <w:rPr>
                <w:sz w:val="17"/>
                <w:szCs w:val="17"/>
                <w:color w:val="auto"/>
              </w:rPr>
            </w:pPr>
          </w:p>
        </w:tc>
      </w:tr>
      <w:tr>
        <w:trPr>
          <w:trHeight w:val="213"/>
        </w:trPr>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1,400,128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(105,694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2,480</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1,296,914</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8"/>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94"/>
              </w:rPr>
              <w:t>Deferred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86"/>
              </w:rPr>
              <w:t>financing costs,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Cash flows</w:t>
            </w:r>
          </w:p>
        </w:tc>
        <w:tc>
          <w:tcPr>
            <w:tcW w:w="1420" w:type="dxa"/>
            <w:vAlign w:val="bottom"/>
            <w:gridSpan w:val="3"/>
          </w:tcPr>
          <w:p>
            <w:pPr>
              <w:ind w:left="340"/>
              <w:spacing w:after="0"/>
              <w:rPr>
                <w:sz w:val="20"/>
                <w:szCs w:val="20"/>
                <w:color w:val="auto"/>
              </w:rPr>
            </w:pPr>
            <w:r>
              <w:rPr>
                <w:rFonts w:ascii="Arial" w:cs="Arial" w:eastAsia="Arial" w:hAnsi="Arial"/>
                <w:sz w:val="16"/>
                <w:szCs w:val="16"/>
                <w:b w:val="1"/>
                <w:bCs w:val="1"/>
                <w:color w:val="auto"/>
                <w:w w:val="88"/>
              </w:rPr>
              <w:t>Non-cash items</w:t>
            </w:r>
          </w:p>
        </w:tc>
        <w:tc>
          <w:tcPr>
            <w:tcW w:w="16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76"/>
              </w:rPr>
              <w:t>assets</w:t>
            </w:r>
          </w:p>
        </w:tc>
        <w:tc>
          <w:tcPr>
            <w:tcW w:w="11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-818515</wp:posOffset>
            </wp:positionV>
            <wp:extent cx="6749415"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49415" cy="3003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-1084580</wp:posOffset>
            </wp:positionV>
            <wp:extent cx="674941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941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00" w:space="260"/>
            <w:col w:w="5800"/>
          </w:cols>
          <w:pgMar w:left="240" w:top="346" w:right="19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60" w:type="dxa"/>
            <w:vAlign w:val="bottom"/>
          </w:tcPr>
          <w:p>
            <w:pPr>
              <w:spacing w:after="0"/>
              <w:rPr>
                <w:sz w:val="17"/>
                <w:szCs w:val="17"/>
                <w:color w:val="auto"/>
              </w:rPr>
            </w:pPr>
          </w:p>
        </w:tc>
        <w:tc>
          <w:tcPr>
            <w:tcW w:w="3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Borrowings outstanding as of January 1, 2019</w:t>
            </w: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1,234,997</w:t>
            </w:r>
          </w:p>
        </w:tc>
        <w:tc>
          <w:tcPr>
            <w:tcW w:w="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ind w:left="1200"/>
              <w:spacing w:after="0"/>
              <w:rPr>
                <w:sz w:val="20"/>
                <w:szCs w:val="20"/>
                <w:color w:val="auto"/>
              </w:rPr>
            </w:pPr>
            <w:r>
              <w:rPr>
                <w:rFonts w:ascii="Arial" w:cs="Arial" w:eastAsia="Arial" w:hAnsi="Arial"/>
                <w:sz w:val="16"/>
                <w:szCs w:val="16"/>
                <w:color w:val="auto"/>
                <w:w w:val="87"/>
              </w:rPr>
              <w:t>—</w:t>
            </w:r>
          </w:p>
        </w:tc>
        <w:tc>
          <w:tcPr>
            <w:tcW w:w="16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ind w:left="1340"/>
              <w:spacing w:after="0"/>
              <w:rPr>
                <w:sz w:val="20"/>
                <w:szCs w:val="20"/>
                <w:color w:val="auto"/>
              </w:rPr>
            </w:pPr>
            <w:r>
              <w:rPr>
                <w:rFonts w:ascii="Arial" w:cs="Arial" w:eastAsia="Arial" w:hAnsi="Arial"/>
                <w:sz w:val="16"/>
                <w:szCs w:val="16"/>
                <w:color w:val="auto"/>
                <w:w w:val="87"/>
              </w:rPr>
              <w:t>—</w:t>
            </w:r>
          </w:p>
        </w:tc>
        <w:tc>
          <w:tcPr>
            <w:tcW w:w="16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1,234,997</w:t>
            </w:r>
          </w:p>
        </w:tc>
        <w:tc>
          <w:tcPr>
            <w:tcW w:w="600" w:type="dxa"/>
            <w:vAlign w:val="bottom"/>
          </w:tcPr>
          <w:p>
            <w:pPr>
              <w:spacing w:after="0"/>
              <w:rPr>
                <w:sz w:val="17"/>
                <w:szCs w:val="17"/>
                <w:color w:val="auto"/>
              </w:rPr>
            </w:pPr>
          </w:p>
        </w:tc>
      </w:tr>
      <w:tr>
        <w:trPr>
          <w:trHeight w:val="230"/>
        </w:trPr>
        <w:tc>
          <w:tcPr>
            <w:tcW w:w="2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Borrowings drawdowns</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360,000</w:t>
            </w:r>
          </w:p>
        </w:tc>
        <w:tc>
          <w:tcPr>
            <w:tcW w:w="152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660" w:type="dxa"/>
            <w:vAlign w:val="bottom"/>
            <w:gridSpan w:val="2"/>
          </w:tcPr>
          <w:p>
            <w:pPr>
              <w:ind w:left="13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600"/>
              <w:spacing w:after="0"/>
              <w:rPr>
                <w:sz w:val="20"/>
                <w:szCs w:val="20"/>
                <w:color w:val="auto"/>
              </w:rPr>
            </w:pPr>
            <w:r>
              <w:rPr>
                <w:rFonts w:ascii="Arial" w:cs="Arial" w:eastAsia="Arial" w:hAnsi="Arial"/>
                <w:sz w:val="16"/>
                <w:szCs w:val="16"/>
                <w:color w:val="auto"/>
              </w:rPr>
              <w:t>360,000</w:t>
            </w:r>
          </w:p>
        </w:tc>
      </w:tr>
      <w:tr>
        <w:trPr>
          <w:trHeight w:val="418"/>
        </w:trPr>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840"/>
              <w:spacing w:after="0"/>
              <w:rPr>
                <w:sz w:val="20"/>
                <w:szCs w:val="20"/>
                <w:color w:val="auto"/>
              </w:rPr>
            </w:pPr>
            <w:r>
              <w:rPr>
                <w:rFonts w:ascii="Arial" w:cs="Arial" w:eastAsia="Arial" w:hAnsi="Arial"/>
                <w:sz w:val="18"/>
                <w:szCs w:val="18"/>
                <w:color w:val="auto"/>
              </w:rPr>
              <w:t>F-13</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32"/>
        </w:trPr>
        <w:tc>
          <w:tcPr>
            <w:tcW w:w="26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type w:val="continuous"/>
        </w:sectPr>
      </w:pPr>
    </w:p>
    <w:bookmarkStart w:id="37" w:name="page38"/>
    <w:bookmarkEnd w:id="37"/>
    <w:tbl>
      <w:tblPr>
        <w:tblLayout w:type="fixed"/>
        <w:tblInd w:w="260" w:type="dxa"/>
        <w:tblCellMar>
          <w:top w:w="0" w:type="dxa"/>
          <w:left w:w="0" w:type="dxa"/>
          <w:bottom w:w="0" w:type="dxa"/>
          <w:right w:w="0" w:type="dxa"/>
        </w:tblCellMar>
      </w:tblPr>
      <w:tr>
        <w:trPr>
          <w:trHeight w:val="203"/>
        </w:trPr>
        <w:tc>
          <w:tcPr>
            <w:tcW w:w="364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16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E5FFFF"/>
          </w:tcPr>
          <w:p>
            <w:pPr>
              <w:jc w:val="right"/>
              <w:ind w:right="19"/>
              <w:spacing w:after="0"/>
              <w:rPr>
                <w:sz w:val="20"/>
                <w:szCs w:val="20"/>
                <w:color w:val="auto"/>
              </w:rPr>
            </w:pPr>
            <w:r>
              <w:rPr>
                <w:rFonts w:ascii="Arial" w:cs="Arial" w:eastAsia="Arial" w:hAnsi="Arial"/>
                <w:sz w:val="16"/>
                <w:szCs w:val="16"/>
                <w:color w:val="auto"/>
              </w:rPr>
              <w:t>(385,319)</w:t>
            </w:r>
          </w:p>
        </w:tc>
        <w:tc>
          <w:tcPr>
            <w:tcW w:w="15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(385,319)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(4,800)</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(185)</w:t>
            </w:r>
          </w:p>
        </w:tc>
        <w:tc>
          <w:tcPr>
            <w:tcW w:w="1660" w:type="dxa"/>
            <w:vAlign w:val="bottom"/>
            <w:gridSpan w:val="2"/>
          </w:tcPr>
          <w:p>
            <w:pPr>
              <w:jc w:val="right"/>
              <w:ind w:right="79"/>
              <w:spacing w:after="0"/>
              <w:rPr>
                <w:sz w:val="20"/>
                <w:szCs w:val="20"/>
                <w:color w:val="auto"/>
              </w:rPr>
            </w:pPr>
            <w:r>
              <w:rPr>
                <w:rFonts w:ascii="Arial" w:cs="Arial" w:eastAsia="Arial" w:hAnsi="Arial"/>
                <w:sz w:val="16"/>
                <w:szCs w:val="16"/>
                <w:color w:val="auto"/>
              </w:rPr>
              <w:t>(50)</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(5,035)</w:t>
            </w:r>
          </w:p>
        </w:tc>
      </w:tr>
      <w:tr>
        <w:trPr>
          <w:trHeight w:val="193"/>
        </w:trPr>
        <w:tc>
          <w:tcPr>
            <w:tcW w:w="3640" w:type="dxa"/>
            <w:vAlign w:val="bottom"/>
            <w:shd w:val="clear" w:color="auto" w:fill="E5FFFF"/>
          </w:tcPr>
          <w:p>
            <w:pPr>
              <w:spacing w:after="0"/>
              <w:rPr>
                <w:sz w:val="20"/>
                <w:szCs w:val="20"/>
                <w:color w:val="auto"/>
              </w:rPr>
            </w:pPr>
            <w:r>
              <w:rPr>
                <w:rFonts w:ascii="Arial" w:cs="Arial" w:eastAsia="Arial" w:hAnsi="Arial"/>
                <w:sz w:val="16"/>
                <w:szCs w:val="16"/>
                <w:color w:val="auto"/>
                <w:w w:val="99"/>
              </w:rPr>
              <w:t>Amortization and write-off of deferred loan issuance</w:t>
            </w:r>
          </w:p>
        </w:tc>
        <w:tc>
          <w:tcPr>
            <w:tcW w:w="14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5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960" w:type="dxa"/>
            <w:vAlign w:val="bottom"/>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36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costs (Note 13)</w:t>
            </w:r>
          </w:p>
        </w:tc>
        <w:tc>
          <w:tcPr>
            <w:tcW w:w="16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2,388</w:t>
            </w:r>
          </w:p>
        </w:tc>
        <w:tc>
          <w:tcPr>
            <w:tcW w:w="166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6"/>
                <w:szCs w:val="16"/>
                <w:b w:val="1"/>
                <w:bCs w:val="1"/>
                <w:color w:val="auto"/>
              </w:rPr>
              <w:t>Borrowings outstanding as of March 31, 2019</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1,234,997</w:t>
            </w:r>
          </w:p>
        </w:tc>
        <w:tc>
          <w:tcPr>
            <w:tcW w:w="1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(30,119</w:t>
            </w:r>
          </w:p>
        </w:tc>
        <w:tc>
          <w:tcPr>
            <w:tcW w:w="160" w:type="dxa"/>
            <w:vAlign w:val="bottom"/>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2,203</w:t>
            </w:r>
          </w:p>
        </w:tc>
        <w:tc>
          <w:tcPr>
            <w:tcW w:w="16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1,207,031</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7300" w:type="dxa"/>
            <w:vAlign w:val="bottom"/>
            <w:gridSpan w:val="2"/>
          </w:tcPr>
          <w:p>
            <w:pPr>
              <w:ind w:left="200"/>
              <w:spacing w:after="0"/>
              <w:rPr>
                <w:sz w:val="20"/>
                <w:szCs w:val="20"/>
                <w:color w:val="auto"/>
              </w:rPr>
            </w:pPr>
            <w:r>
              <w:rPr>
                <w:rFonts w:ascii="Arial" w:cs="Arial" w:eastAsia="Arial" w:hAnsi="Arial"/>
                <w:sz w:val="16"/>
                <w:szCs w:val="16"/>
                <w:color w:val="auto"/>
              </w:rPr>
              <w:t>A reconciliation of derivatives arising from financing activities is as follows: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1"/>
        </w:trPr>
        <w:tc>
          <w:tcPr>
            <w:tcW w:w="6300" w:type="dxa"/>
            <w:vAlign w:val="bottom"/>
          </w:tcPr>
          <w:p>
            <w:pPr>
              <w:spacing w:after="0"/>
              <w:rPr>
                <w:sz w:val="24"/>
                <w:szCs w:val="24"/>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Opening</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3"/>
        </w:trPr>
        <w:tc>
          <w:tcPr>
            <w:tcW w:w="6300" w:type="dxa"/>
            <w:vAlign w:val="bottom"/>
          </w:tcPr>
          <w:p>
            <w:pPr>
              <w:spacing w:after="0"/>
              <w:rPr>
                <w:sz w:val="18"/>
                <w:szCs w:val="18"/>
                <w:color w:val="auto"/>
              </w:rPr>
            </w:pPr>
          </w:p>
        </w:tc>
        <w:tc>
          <w:tcPr>
            <w:tcW w:w="1000" w:type="dxa"/>
            <w:vAlign w:val="bottom"/>
          </w:tcPr>
          <w:p>
            <w:pPr>
              <w:jc w:val="center"/>
              <w:ind w:left="299"/>
              <w:spacing w:after="0"/>
              <w:rPr>
                <w:sz w:val="20"/>
                <w:szCs w:val="20"/>
                <w:color w:val="auto"/>
              </w:rPr>
            </w:pPr>
            <w:r>
              <w:rPr>
                <w:rFonts w:ascii="Arial" w:cs="Arial" w:eastAsia="Arial" w:hAnsi="Arial"/>
                <w:sz w:val="16"/>
                <w:szCs w:val="16"/>
                <w:b w:val="1"/>
                <w:bCs w:val="1"/>
                <w:color w:val="auto"/>
                <w:w w:val="90"/>
              </w:rPr>
              <w:t>balance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Non-cash items</w:t>
            </w:r>
          </w:p>
        </w:tc>
        <w:tc>
          <w:tcPr>
            <w:tcW w:w="13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199"/>
        </w:trPr>
        <w:tc>
          <w:tcPr>
            <w:tcW w:w="6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derivative assets as of January 1, 2018</w:t>
            </w:r>
          </w:p>
        </w:tc>
        <w:tc>
          <w:tcPr>
            <w:tcW w:w="100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84"/>
              </w:rPr>
              <w:t>6,346</w:t>
            </w:r>
          </w:p>
        </w:tc>
        <w:tc>
          <w:tcPr>
            <w:tcW w:w="24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6,346</w:t>
            </w:r>
          </w:p>
        </w:tc>
      </w:tr>
      <w:tr>
        <w:trPr>
          <w:trHeight w:val="203"/>
        </w:trPr>
        <w:tc>
          <w:tcPr>
            <w:tcW w:w="7300" w:type="dxa"/>
            <w:vAlign w:val="bottom"/>
            <w:gridSpan w:val="2"/>
          </w:tcPr>
          <w:p>
            <w:pPr>
              <w:spacing w:after="0"/>
              <w:rPr>
                <w:sz w:val="20"/>
                <w:szCs w:val="20"/>
                <w:color w:val="auto"/>
              </w:rPr>
            </w:pPr>
            <w:r>
              <w:rPr>
                <w:rFonts w:ascii="Arial" w:cs="Arial" w:eastAsia="Arial" w:hAnsi="Arial"/>
                <w:sz w:val="16"/>
                <w:szCs w:val="16"/>
                <w:color w:val="auto"/>
              </w:rPr>
              <w:t>Unrealized gain on interest rate swaps held for trading (Note 13)</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6,370</w:t>
            </w:r>
          </w:p>
        </w:tc>
        <w:tc>
          <w:tcPr>
            <w:tcW w:w="1360" w:type="dxa"/>
            <w:vAlign w:val="bottom"/>
          </w:tcPr>
          <w:p>
            <w:pPr>
              <w:jc w:val="right"/>
              <w:spacing w:after="0"/>
              <w:rPr>
                <w:sz w:val="20"/>
                <w:szCs w:val="20"/>
                <w:color w:val="auto"/>
              </w:rPr>
            </w:pPr>
            <w:r>
              <w:rPr>
                <w:rFonts w:ascii="Arial" w:cs="Arial" w:eastAsia="Arial" w:hAnsi="Arial"/>
                <w:sz w:val="16"/>
                <w:szCs w:val="16"/>
                <w:color w:val="auto"/>
              </w:rPr>
              <w:t>6,370</w:t>
            </w:r>
          </w:p>
        </w:tc>
      </w:tr>
      <w:tr>
        <w:trPr>
          <w:trHeight w:val="196"/>
        </w:trPr>
        <w:tc>
          <w:tcPr>
            <w:tcW w:w="63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derivative assets as of March 31, 2018</w:t>
            </w:r>
          </w:p>
        </w:tc>
        <w:tc>
          <w:tcPr>
            <w:tcW w:w="1000" w:type="dxa"/>
            <w:vAlign w:val="bottom"/>
            <w:tcBorders>
              <w:top w:val="single" w:sz="8" w:color="auto"/>
              <w:bottom w:val="single" w:sz="8" w:color="auto"/>
            </w:tcBorders>
            <w:shd w:val="clear" w:color="auto" w:fill="E5FFFF"/>
          </w:tcPr>
          <w:p>
            <w:pPr>
              <w:spacing w:after="0"/>
              <w:rPr>
                <w:sz w:val="17"/>
                <w:szCs w:val="17"/>
                <w:color w:val="auto"/>
              </w:rPr>
            </w:pPr>
          </w:p>
        </w:tc>
        <w:tc>
          <w:tcPr>
            <w:tcW w:w="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84"/>
              </w:rPr>
              <w:t>6,346</w:t>
            </w: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6,370</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12,716</w:t>
            </w:r>
          </w:p>
        </w:tc>
      </w:tr>
      <w:tr>
        <w:trPr>
          <w:trHeight w:val="20"/>
        </w:trPr>
        <w:tc>
          <w:tcPr>
            <w:tcW w:w="6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240" w:top="356" w:right="55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derivative assets 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-109855</wp:posOffset>
            </wp:positionV>
            <wp:extent cx="688657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86575"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Unrealized loss on interest rate swaps held for trading (Note 13)</w:t>
      </w:r>
    </w:p>
    <w:p>
      <w:pPr>
        <w:spacing w:after="0" w:line="22" w:lineRule="exact"/>
        <w:rPr>
          <w:sz w:val="20"/>
          <w:szCs w:val="20"/>
          <w:color w:val="auto"/>
        </w:rPr>
      </w:pPr>
    </w:p>
    <w:p>
      <w:pPr>
        <w:ind w:left="200" w:right="320"/>
        <w:spacing w:after="0" w:line="306" w:lineRule="auto"/>
        <w:rPr>
          <w:sz w:val="20"/>
          <w:szCs w:val="20"/>
          <w:color w:val="auto"/>
        </w:rPr>
      </w:pPr>
      <w:r>
        <w:rPr>
          <w:rFonts w:ascii="Arial" w:cs="Arial" w:eastAsia="Arial" w:hAnsi="Arial"/>
          <w:sz w:val="16"/>
          <w:szCs w:val="16"/>
          <w:color w:val="auto"/>
        </w:rPr>
        <w:t xml:space="preserve">Unrealized loss on forward foreign exchange contracts held for trading (Note 13) </w:t>
      </w:r>
      <w:r>
        <w:rPr>
          <w:rFonts w:ascii="Arial" w:cs="Arial" w:eastAsia="Arial" w:hAnsi="Arial"/>
          <w:sz w:val="16"/>
          <w:szCs w:val="16"/>
          <w:b w:val="1"/>
          <w:bCs w:val="1"/>
          <w:color w:val="auto"/>
        </w:rPr>
        <w:t>Net derivative liabilities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-293370</wp:posOffset>
            </wp:positionV>
            <wp:extent cx="688657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865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Opening</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16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balance</w:t>
            </w:r>
          </w:p>
        </w:tc>
        <w:tc>
          <w:tcPr>
            <w:tcW w:w="15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Non-cash items</w:t>
            </w:r>
          </w:p>
        </w:tc>
        <w:tc>
          <w:tcPr>
            <w:tcW w:w="14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189"/>
        </w:trPr>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240" w:type="dxa"/>
            <w:vAlign w:val="bottom"/>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8"/>
        </w:trPr>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79"/>
              <w:spacing w:after="0"/>
              <w:rPr>
                <w:sz w:val="20"/>
                <w:szCs w:val="20"/>
                <w:color w:val="auto"/>
              </w:rPr>
            </w:pPr>
            <w:r>
              <w:rPr>
                <w:rFonts w:ascii="Arial" w:cs="Arial" w:eastAsia="Arial" w:hAnsi="Arial"/>
                <w:sz w:val="16"/>
                <w:szCs w:val="16"/>
                <w:color w:val="auto"/>
              </w:rPr>
              <w:t>(5,497)</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(5,497)</w:t>
            </w:r>
          </w:p>
        </w:tc>
      </w:tr>
      <w:tr>
        <w:trPr>
          <w:trHeight w:val="230"/>
        </w:trPr>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9"/>
              <w:spacing w:after="0"/>
              <w:rPr>
                <w:sz w:val="20"/>
                <w:szCs w:val="20"/>
                <w:color w:val="auto"/>
              </w:rPr>
            </w:pPr>
            <w:r>
              <w:rPr>
                <w:rFonts w:ascii="Arial" w:cs="Arial" w:eastAsia="Arial" w:hAnsi="Arial"/>
                <w:sz w:val="16"/>
                <w:szCs w:val="16"/>
                <w:color w:val="auto"/>
              </w:rPr>
              <w:t>(110)</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(110)</w:t>
            </w:r>
          </w:p>
        </w:tc>
      </w:tr>
      <w:tr>
        <w:trPr>
          <w:trHeight w:val="207"/>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4,935</w:t>
            </w:r>
          </w:p>
        </w:tc>
        <w:tc>
          <w:tcPr>
            <w:tcW w:w="2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(5,607</w:t>
            </w:r>
          </w:p>
        </w:tc>
        <w:tc>
          <w:tcPr>
            <w:tcW w:w="220" w:type="dxa"/>
            <w:vAlign w:val="bottom"/>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(672</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720"/>
            <w:col w:w="4600"/>
          </w:cols>
          <w:pgMar w:left="240" w:top="356" w:right="559" w:bottom="1440" w:gutter="0" w:footer="0" w:header="0"/>
          <w:type w:val="continuous"/>
        </w:sectPr>
      </w:pPr>
    </w:p>
    <w:p>
      <w:pPr>
        <w:spacing w:after="0" w:line="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vessels arising from investing activities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Opening</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7"/>
              </w:rPr>
              <w:t>balance</w:t>
            </w:r>
          </w:p>
        </w:tc>
        <w:tc>
          <w:tcPr>
            <w:tcW w:w="20" w:type="dxa"/>
            <w:vAlign w:val="bottom"/>
          </w:tcPr>
          <w:p>
            <w:pPr>
              <w:spacing w:after="0"/>
              <w:rPr>
                <w:sz w:val="18"/>
                <w:szCs w:val="18"/>
                <w:color w:val="auto"/>
              </w:rPr>
            </w:pPr>
          </w:p>
        </w:tc>
        <w:tc>
          <w:tcPr>
            <w:tcW w:w="1440" w:type="dxa"/>
            <w:vAlign w:val="bottom"/>
            <w:gridSpan w:val="4"/>
          </w:tcPr>
          <w:p>
            <w:pPr>
              <w:ind w:left="300"/>
              <w:spacing w:after="0"/>
              <w:rPr>
                <w:sz w:val="20"/>
                <w:szCs w:val="20"/>
                <w:color w:val="auto"/>
              </w:rPr>
            </w:pPr>
            <w:r>
              <w:rPr>
                <w:rFonts w:ascii="Arial" w:cs="Arial" w:eastAsia="Arial" w:hAnsi="Arial"/>
                <w:sz w:val="16"/>
                <w:szCs w:val="16"/>
                <w:b w:val="1"/>
                <w:bCs w:val="1"/>
                <w:color w:val="auto"/>
              </w:rPr>
              <w:t>Cash flows</w:t>
            </w:r>
          </w:p>
        </w:tc>
        <w:tc>
          <w:tcPr>
            <w:tcW w:w="140" w:type="dxa"/>
            <w:vAlign w:val="bottom"/>
          </w:tcPr>
          <w:p>
            <w:pPr>
              <w:spacing w:after="0"/>
              <w:rPr>
                <w:sz w:val="18"/>
                <w:szCs w:val="18"/>
                <w:color w:val="auto"/>
              </w:rPr>
            </w:pPr>
          </w:p>
        </w:tc>
        <w:tc>
          <w:tcPr>
            <w:tcW w:w="1860" w:type="dxa"/>
            <w:vAlign w:val="bottom"/>
            <w:gridSpan w:val="6"/>
          </w:tcPr>
          <w:p>
            <w:pPr>
              <w:ind w:left="16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4"/>
          </w:tcPr>
          <w:p>
            <w:pPr>
              <w:ind w:left="220"/>
              <w:spacing w:after="0"/>
              <w:rPr>
                <w:sz w:val="20"/>
                <w:szCs w:val="20"/>
                <w:color w:val="auto"/>
              </w:rPr>
            </w:pPr>
            <w:r>
              <w:rPr>
                <w:rFonts w:ascii="Arial" w:cs="Arial" w:eastAsia="Arial" w:hAnsi="Arial"/>
                <w:sz w:val="16"/>
                <w:szCs w:val="16"/>
                <w:b w:val="1"/>
                <w:bCs w:val="1"/>
                <w:color w:val="auto"/>
              </w:rPr>
              <w:t>Total</w:t>
            </w:r>
          </w:p>
        </w:tc>
      </w:tr>
      <w:tr>
        <w:trPr>
          <w:trHeight w:val="199"/>
        </w:trPr>
        <w:tc>
          <w:tcPr>
            <w:tcW w:w="60" w:type="dxa"/>
            <w:vAlign w:val="bottom"/>
          </w:tcPr>
          <w:p>
            <w:pPr>
              <w:spacing w:after="0"/>
              <w:rPr>
                <w:sz w:val="17"/>
                <w:szCs w:val="17"/>
                <w:color w:val="auto"/>
              </w:rPr>
            </w:pPr>
          </w:p>
        </w:tc>
        <w:tc>
          <w:tcPr>
            <w:tcW w:w="4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Vessels as of January 1, 2018</w:t>
            </w:r>
          </w:p>
        </w:tc>
        <w:tc>
          <w:tcPr>
            <w:tcW w:w="13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2,363,668</w:t>
            </w:r>
          </w:p>
        </w:tc>
        <w:tc>
          <w:tcPr>
            <w:tcW w:w="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38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2,363,668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Additions</w:t>
            </w:r>
          </w:p>
        </w:tc>
        <w:tc>
          <w:tcPr>
            <w:tcW w:w="20" w:type="dxa"/>
            <w:vAlign w:val="bottom"/>
          </w:tcPr>
          <w:p>
            <w:pPr>
              <w:spacing w:after="0"/>
              <w:rPr>
                <w:sz w:val="17"/>
                <w:szCs w:val="17"/>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gridSpan w:val="4"/>
          </w:tcPr>
          <w:p>
            <w:pPr>
              <w:jc w:val="right"/>
              <w:spacing w:after="0"/>
              <w:rPr>
                <w:sz w:val="20"/>
                <w:szCs w:val="20"/>
                <w:color w:val="auto"/>
              </w:rPr>
            </w:pPr>
            <w:r>
              <w:rPr>
                <w:rFonts w:ascii="Arial" w:cs="Arial" w:eastAsia="Arial" w:hAnsi="Arial"/>
                <w:sz w:val="16"/>
                <w:szCs w:val="16"/>
                <w:color w:val="auto"/>
              </w:rPr>
              <w:t>8,241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09"/>
              <w:spacing w:after="0"/>
              <w:rPr>
                <w:sz w:val="20"/>
                <w:szCs w:val="20"/>
                <w:color w:val="auto"/>
              </w:rPr>
            </w:pPr>
            <w:r>
              <w:rPr>
                <w:rFonts w:ascii="Arial" w:cs="Arial" w:eastAsia="Arial" w:hAnsi="Arial"/>
                <w:sz w:val="16"/>
                <w:szCs w:val="16"/>
                <w:color w:val="auto"/>
              </w:rPr>
              <w:t>(1,086)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7,155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20" w:type="dxa"/>
            <w:vAlign w:val="bottom"/>
            <w:shd w:val="clear" w:color="auto" w:fill="E5FFFF"/>
          </w:tcPr>
          <w:p>
            <w:pPr>
              <w:spacing w:after="0"/>
              <w:rPr>
                <w:sz w:val="17"/>
                <w:szCs w:val="17"/>
                <w:color w:val="auto"/>
              </w:rPr>
            </w:pPr>
          </w:p>
        </w:tc>
        <w:tc>
          <w:tcPr>
            <w:tcW w:w="15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60" w:type="dxa"/>
            <w:vAlign w:val="bottom"/>
            <w:gridSpan w:val="3"/>
            <w:shd w:val="clear" w:color="auto" w:fill="E5FF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(20,089)</w:t>
            </w:r>
          </w:p>
        </w:tc>
        <w:tc>
          <w:tcPr>
            <w:tcW w:w="1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(20,089)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7"/>
        </w:trPr>
        <w:tc>
          <w:tcPr>
            <w:tcW w:w="6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b w:val="1"/>
                <w:bCs w:val="1"/>
                <w:color w:val="auto"/>
              </w:rPr>
              <w:t>Vessels as of March 31, 2018</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2,363,668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8,241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(21,175</w:t>
            </w:r>
          </w:p>
        </w:tc>
        <w:tc>
          <w:tcPr>
            <w:tcW w:w="200" w:type="dxa"/>
            <w:vAlign w:val="bottom"/>
          </w:tcPr>
          <w:p>
            <w:pPr>
              <w:jc w:val="right"/>
              <w:ind w:right="10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2,350,734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8"/>
        </w:trPr>
        <w:tc>
          <w:tcPr>
            <w:tcW w:w="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Opening</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7"/>
              </w:rPr>
              <w:t>balance</w:t>
            </w:r>
          </w:p>
        </w:tc>
        <w:tc>
          <w:tcPr>
            <w:tcW w:w="20" w:type="dxa"/>
            <w:vAlign w:val="bottom"/>
          </w:tcPr>
          <w:p>
            <w:pPr>
              <w:spacing w:after="0"/>
              <w:rPr>
                <w:sz w:val="18"/>
                <w:szCs w:val="18"/>
                <w:color w:val="auto"/>
              </w:rPr>
            </w:pPr>
          </w:p>
        </w:tc>
        <w:tc>
          <w:tcPr>
            <w:tcW w:w="1440" w:type="dxa"/>
            <w:vAlign w:val="bottom"/>
            <w:gridSpan w:val="4"/>
          </w:tcPr>
          <w:p>
            <w:pPr>
              <w:ind w:left="300"/>
              <w:spacing w:after="0"/>
              <w:rPr>
                <w:sz w:val="20"/>
                <w:szCs w:val="20"/>
                <w:color w:val="auto"/>
              </w:rPr>
            </w:pPr>
            <w:r>
              <w:rPr>
                <w:rFonts w:ascii="Arial" w:cs="Arial" w:eastAsia="Arial" w:hAnsi="Arial"/>
                <w:sz w:val="16"/>
                <w:szCs w:val="16"/>
                <w:b w:val="1"/>
                <w:bCs w:val="1"/>
                <w:color w:val="auto"/>
              </w:rPr>
              <w:t>Cash flows</w:t>
            </w:r>
          </w:p>
        </w:tc>
        <w:tc>
          <w:tcPr>
            <w:tcW w:w="140" w:type="dxa"/>
            <w:vAlign w:val="bottom"/>
          </w:tcPr>
          <w:p>
            <w:pPr>
              <w:spacing w:after="0"/>
              <w:rPr>
                <w:sz w:val="18"/>
                <w:szCs w:val="18"/>
                <w:color w:val="auto"/>
              </w:rPr>
            </w:pPr>
          </w:p>
        </w:tc>
        <w:tc>
          <w:tcPr>
            <w:tcW w:w="1860" w:type="dxa"/>
            <w:vAlign w:val="bottom"/>
            <w:gridSpan w:val="6"/>
          </w:tcPr>
          <w:p>
            <w:pPr>
              <w:ind w:left="16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4"/>
          </w:tcPr>
          <w:p>
            <w:pPr>
              <w:ind w:left="220"/>
              <w:spacing w:after="0"/>
              <w:rPr>
                <w:sz w:val="20"/>
                <w:szCs w:val="20"/>
                <w:color w:val="auto"/>
              </w:rPr>
            </w:pPr>
            <w:r>
              <w:rPr>
                <w:rFonts w:ascii="Arial" w:cs="Arial" w:eastAsia="Arial" w:hAnsi="Arial"/>
                <w:sz w:val="16"/>
                <w:szCs w:val="16"/>
                <w:b w:val="1"/>
                <w:bCs w:val="1"/>
                <w:color w:val="auto"/>
              </w:rPr>
              <w:t>Total</w:t>
            </w:r>
          </w:p>
        </w:tc>
      </w:tr>
      <w:tr>
        <w:trPr>
          <w:trHeight w:val="199"/>
        </w:trPr>
        <w:tc>
          <w:tcPr>
            <w:tcW w:w="60" w:type="dxa"/>
            <w:vAlign w:val="bottom"/>
          </w:tcPr>
          <w:p>
            <w:pPr>
              <w:spacing w:after="0"/>
              <w:rPr>
                <w:sz w:val="17"/>
                <w:szCs w:val="17"/>
                <w:color w:val="auto"/>
              </w:rPr>
            </w:pPr>
          </w:p>
        </w:tc>
        <w:tc>
          <w:tcPr>
            <w:tcW w:w="4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Vessels as of January 1, 2019</w:t>
            </w:r>
          </w:p>
        </w:tc>
        <w:tc>
          <w:tcPr>
            <w:tcW w:w="13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2,315,823</w:t>
            </w:r>
          </w:p>
        </w:tc>
        <w:tc>
          <w:tcPr>
            <w:tcW w:w="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38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2,315,823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Additions (Note 4)</w:t>
            </w:r>
          </w:p>
        </w:tc>
        <w:tc>
          <w:tcPr>
            <w:tcW w:w="2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spacing w:after="0"/>
              <w:rPr>
                <w:sz w:val="20"/>
                <w:szCs w:val="20"/>
                <w:color w:val="auto"/>
              </w:rPr>
            </w:pPr>
            <w:r>
              <w:rPr>
                <w:rFonts w:ascii="Arial" w:cs="Arial" w:eastAsia="Arial" w:hAnsi="Arial"/>
                <w:sz w:val="16"/>
                <w:szCs w:val="16"/>
                <w:color w:val="auto"/>
              </w:rPr>
              <w:t>2,216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9"/>
              <w:spacing w:after="0"/>
              <w:rPr>
                <w:sz w:val="20"/>
                <w:szCs w:val="20"/>
                <w:color w:val="auto"/>
              </w:rPr>
            </w:pPr>
            <w:r>
              <w:rPr>
                <w:rFonts w:ascii="Arial" w:cs="Arial" w:eastAsia="Arial" w:hAnsi="Arial"/>
                <w:sz w:val="16"/>
                <w:szCs w:val="16"/>
                <w:color w:val="auto"/>
              </w:rPr>
              <w:t>(1,579)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60" w:type="dxa"/>
            <w:vAlign w:val="bottom"/>
          </w:tcPr>
          <w:p>
            <w:pPr>
              <w:spacing w:after="0"/>
              <w:rPr>
                <w:sz w:val="17"/>
                <w:szCs w:val="17"/>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 (Note 4)</w:t>
            </w:r>
          </w:p>
        </w:tc>
        <w:tc>
          <w:tcPr>
            <w:tcW w:w="20" w:type="dxa"/>
            <w:vAlign w:val="bottom"/>
            <w:shd w:val="clear" w:color="auto" w:fill="E5FFFF"/>
          </w:tcPr>
          <w:p>
            <w:pPr>
              <w:spacing w:after="0"/>
              <w:rPr>
                <w:sz w:val="17"/>
                <w:szCs w:val="17"/>
                <w:color w:val="auto"/>
              </w:rPr>
            </w:pPr>
          </w:p>
        </w:tc>
        <w:tc>
          <w:tcPr>
            <w:tcW w:w="156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(4,021)</w:t>
            </w:r>
          </w:p>
        </w:tc>
        <w:tc>
          <w:tcPr>
            <w:tcW w:w="1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540" w:type="dxa"/>
            <w:vAlign w:val="bottom"/>
            <w:gridSpan w:val="4"/>
            <w:shd w:val="clear" w:color="auto" w:fill="E5FFFF"/>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Depreciation expense (Note 4)</w:t>
            </w:r>
          </w:p>
        </w:tc>
        <w:tc>
          <w:tcPr>
            <w:tcW w:w="20" w:type="dxa"/>
            <w:vAlign w:val="bottom"/>
          </w:tcPr>
          <w:p>
            <w:pPr>
              <w:spacing w:after="0"/>
              <w:rPr>
                <w:sz w:val="17"/>
                <w:szCs w:val="17"/>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09"/>
              <w:spacing w:after="0"/>
              <w:rPr>
                <w:sz w:val="20"/>
                <w:szCs w:val="20"/>
                <w:color w:val="auto"/>
              </w:rPr>
            </w:pPr>
            <w:r>
              <w:rPr>
                <w:rFonts w:ascii="Arial" w:cs="Arial" w:eastAsia="Arial" w:hAnsi="Arial"/>
                <w:sz w:val="16"/>
                <w:szCs w:val="16"/>
                <w:color w:val="auto"/>
              </w:rPr>
              <w:t>(20,256)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(20,256)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7"/>
        </w:trPr>
        <w:tc>
          <w:tcPr>
            <w:tcW w:w="60" w:type="dxa"/>
            <w:vAlign w:val="bottom"/>
          </w:tcPr>
          <w:p>
            <w:pPr>
              <w:spacing w:after="0"/>
              <w:rPr>
                <w:sz w:val="17"/>
                <w:szCs w:val="17"/>
                <w:color w:val="auto"/>
              </w:rPr>
            </w:pPr>
          </w:p>
        </w:tc>
        <w:tc>
          <w:tcPr>
            <w:tcW w:w="45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Vessels as of March 31, 2019</w:t>
            </w:r>
          </w:p>
        </w:tc>
        <w:tc>
          <w:tcPr>
            <w:tcW w:w="13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2,315,823</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(1,805</w:t>
            </w:r>
          </w:p>
        </w:tc>
        <w:tc>
          <w:tcPr>
            <w:tcW w:w="80" w:type="dxa"/>
            <w:vAlign w:val="bottom"/>
            <w:tcBorders>
              <w:top w:val="single" w:sz="8" w:color="E5FFFF"/>
              <w:bottom w:val="single" w:sz="8" w:color="E5FFFF"/>
            </w:tcBorders>
            <w:gridSpan w:val="2"/>
            <w:shd w:val="clear" w:color="auto" w:fill="E5FFFF"/>
          </w:tcPr>
          <w:p>
            <w:pPr>
              <w:jc w:val="right"/>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(21,835</w:t>
            </w:r>
          </w:p>
        </w:tc>
        <w:tc>
          <w:tcPr>
            <w:tcW w:w="200" w:type="dxa"/>
            <w:vAlign w:val="bottom"/>
            <w:tcBorders>
              <w:top w:val="single" w:sz="8" w:color="E5FFFF"/>
              <w:bottom w:val="single" w:sz="8" w:color="E5FFFF"/>
            </w:tcBorders>
            <w:shd w:val="clear" w:color="auto" w:fill="E5FFFF"/>
          </w:tcPr>
          <w:p>
            <w:pPr>
              <w:jc w:val="right"/>
              <w:ind w:right="10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2,292,183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6"/>
        </w:trPr>
        <w:tc>
          <w:tcPr>
            <w:tcW w:w="60" w:type="dxa"/>
            <w:vAlign w:val="bottom"/>
          </w:tcPr>
          <w:p>
            <w:pPr>
              <w:spacing w:after="0"/>
              <w:rPr>
                <w:sz w:val="24"/>
                <w:szCs w:val="24"/>
                <w:color w:val="auto"/>
              </w:rPr>
            </w:pPr>
          </w:p>
        </w:tc>
        <w:tc>
          <w:tcPr>
            <w:tcW w:w="6100" w:type="dxa"/>
            <w:vAlign w:val="bottom"/>
            <w:gridSpan w:val="5"/>
          </w:tcPr>
          <w:p>
            <w:pPr>
              <w:ind w:left="140"/>
              <w:spacing w:after="0"/>
              <w:rPr>
                <w:sz w:val="20"/>
                <w:szCs w:val="20"/>
                <w:color w:val="auto"/>
              </w:rPr>
            </w:pPr>
            <w:r>
              <w:rPr>
                <w:rFonts w:ascii="Arial" w:cs="Arial" w:eastAsia="Arial" w:hAnsi="Arial"/>
                <w:sz w:val="16"/>
                <w:szCs w:val="16"/>
                <w:color w:val="auto"/>
              </w:rPr>
              <w:t>A reconciliation of lease liabilities arising from financing activities is as follows: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Opening</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balance</w:t>
            </w:r>
          </w:p>
        </w:tc>
        <w:tc>
          <w:tcPr>
            <w:tcW w:w="20" w:type="dxa"/>
            <w:vAlign w:val="bottom"/>
          </w:tcPr>
          <w:p>
            <w:pPr>
              <w:spacing w:after="0"/>
              <w:rPr>
                <w:sz w:val="18"/>
                <w:szCs w:val="18"/>
                <w:color w:val="auto"/>
              </w:rPr>
            </w:pPr>
          </w:p>
        </w:tc>
        <w:tc>
          <w:tcPr>
            <w:tcW w:w="1440" w:type="dxa"/>
            <w:vAlign w:val="bottom"/>
            <w:gridSpan w:val="4"/>
          </w:tcPr>
          <w:p>
            <w:pPr>
              <w:ind w:left="320"/>
              <w:spacing w:after="0"/>
              <w:rPr>
                <w:sz w:val="20"/>
                <w:szCs w:val="20"/>
                <w:color w:val="auto"/>
              </w:rPr>
            </w:pPr>
            <w:r>
              <w:rPr>
                <w:rFonts w:ascii="Arial" w:cs="Arial" w:eastAsia="Arial" w:hAnsi="Arial"/>
                <w:sz w:val="16"/>
                <w:szCs w:val="16"/>
                <w:b w:val="1"/>
                <w:bCs w:val="1"/>
                <w:color w:val="auto"/>
              </w:rPr>
              <w:t>Cash flows</w:t>
            </w:r>
          </w:p>
        </w:tc>
        <w:tc>
          <w:tcPr>
            <w:tcW w:w="140" w:type="dxa"/>
            <w:vAlign w:val="bottom"/>
          </w:tcPr>
          <w:p>
            <w:pPr>
              <w:spacing w:after="0"/>
              <w:rPr>
                <w:sz w:val="18"/>
                <w:szCs w:val="18"/>
                <w:color w:val="auto"/>
              </w:rPr>
            </w:pPr>
          </w:p>
        </w:tc>
        <w:tc>
          <w:tcPr>
            <w:tcW w:w="1860" w:type="dxa"/>
            <w:vAlign w:val="bottom"/>
            <w:gridSpan w:val="6"/>
          </w:tcPr>
          <w:p>
            <w:pPr>
              <w:ind w:left="160"/>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4"/>
          </w:tcPr>
          <w:p>
            <w:pPr>
              <w:ind w:left="220"/>
              <w:spacing w:after="0"/>
              <w:rPr>
                <w:sz w:val="20"/>
                <w:szCs w:val="20"/>
                <w:color w:val="auto"/>
              </w:rPr>
            </w:pPr>
            <w:r>
              <w:rPr>
                <w:rFonts w:ascii="Arial" w:cs="Arial" w:eastAsia="Arial" w:hAnsi="Arial"/>
                <w:sz w:val="16"/>
                <w:szCs w:val="16"/>
                <w:b w:val="1"/>
                <w:bCs w:val="1"/>
                <w:color w:val="auto"/>
              </w:rPr>
              <w:t>Total</w:t>
            </w:r>
          </w:p>
        </w:tc>
      </w:tr>
      <w:tr>
        <w:trPr>
          <w:trHeight w:val="199"/>
        </w:trPr>
        <w:tc>
          <w:tcPr>
            <w:tcW w:w="60" w:type="dxa"/>
            <w:vAlign w:val="bottom"/>
          </w:tcPr>
          <w:p>
            <w:pPr>
              <w:spacing w:after="0"/>
              <w:rPr>
                <w:sz w:val="17"/>
                <w:szCs w:val="17"/>
                <w:color w:val="auto"/>
              </w:rPr>
            </w:pPr>
          </w:p>
        </w:tc>
        <w:tc>
          <w:tcPr>
            <w:tcW w:w="4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2019</w:t>
            </w:r>
          </w:p>
        </w:tc>
        <w:tc>
          <w:tcPr>
            <w:tcW w:w="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1,242</w:t>
            </w: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1,242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Lease expense (Note 5)</w:t>
            </w:r>
          </w:p>
        </w:tc>
        <w:tc>
          <w:tcPr>
            <w:tcW w:w="20" w:type="dxa"/>
            <w:vAlign w:val="bottom"/>
          </w:tcPr>
          <w:p>
            <w:pPr>
              <w:spacing w:after="0"/>
              <w:rPr>
                <w:sz w:val="17"/>
                <w:szCs w:val="17"/>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49"/>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20" w:type="dxa"/>
            <w:vAlign w:val="bottom"/>
            <w:shd w:val="clear" w:color="auto" w:fill="E5FFFF"/>
          </w:tcPr>
          <w:p>
            <w:pPr>
              <w:spacing w:after="0"/>
              <w:rPr>
                <w:sz w:val="17"/>
                <w:szCs w:val="17"/>
                <w:color w:val="auto"/>
              </w:rPr>
            </w:pPr>
          </w:p>
        </w:tc>
        <w:tc>
          <w:tcPr>
            <w:tcW w:w="156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gridSpan w:val="5"/>
            <w:shd w:val="clear" w:color="auto" w:fill="E5FF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540" w:type="dxa"/>
            <w:vAlign w:val="bottom"/>
            <w:gridSpan w:val="4"/>
            <w:shd w:val="clear" w:color="auto" w:fill="E5FFFF"/>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20" w:type="dxa"/>
            <w:vAlign w:val="bottom"/>
          </w:tcPr>
          <w:p>
            <w:pPr>
              <w:spacing w:after="0"/>
              <w:rPr>
                <w:sz w:val="18"/>
                <w:szCs w:val="18"/>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5"/>
          </w:tcPr>
          <w:p>
            <w:pPr>
              <w:jc w:val="right"/>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9"/>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60" w:type="dxa"/>
            <w:vAlign w:val="bottom"/>
          </w:tcPr>
          <w:p>
            <w:pPr>
              <w:spacing w:after="0"/>
              <w:rPr>
                <w:sz w:val="17"/>
                <w:szCs w:val="17"/>
                <w:color w:val="auto"/>
              </w:rPr>
            </w:pPr>
          </w:p>
        </w:tc>
        <w:tc>
          <w:tcPr>
            <w:tcW w:w="45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Lease liabilities as of March 31, 2019</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1,242</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(127</w:t>
            </w:r>
          </w:p>
        </w:tc>
        <w:tc>
          <w:tcPr>
            <w:tcW w:w="6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Borders>
              <w:top w:val="single" w:sz="8" w:color="E5FFFF"/>
              <w:bottom w:val="single" w:sz="8" w:color="E5FFFF"/>
            </w:tcBorders>
            <w:shd w:val="clear" w:color="auto" w:fill="E5FFFF"/>
          </w:tcPr>
          <w:p>
            <w:pPr>
              <w:jc w:val="right"/>
              <w:ind w:right="10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1,111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6"/>
        </w:trPr>
        <w:tc>
          <w:tcPr>
            <w:tcW w:w="60" w:type="dxa"/>
            <w:vAlign w:val="bottom"/>
          </w:tcPr>
          <w:p>
            <w:pPr>
              <w:spacing w:after="0"/>
              <w:rPr>
                <w:sz w:val="24"/>
                <w:szCs w:val="24"/>
                <w:color w:val="auto"/>
              </w:rPr>
            </w:pPr>
          </w:p>
        </w:tc>
        <w:tc>
          <w:tcPr>
            <w:tcW w:w="6100" w:type="dxa"/>
            <w:vAlign w:val="bottom"/>
            <w:gridSpan w:val="5"/>
          </w:tcPr>
          <w:p>
            <w:pPr>
              <w:ind w:left="140"/>
              <w:spacing w:after="0"/>
              <w:rPr>
                <w:sz w:val="20"/>
                <w:szCs w:val="20"/>
                <w:color w:val="auto"/>
              </w:rPr>
            </w:pPr>
            <w:r>
              <w:rPr>
                <w:rFonts w:ascii="Arial" w:cs="Arial" w:eastAsia="Arial" w:hAnsi="Arial"/>
                <w:sz w:val="16"/>
                <w:szCs w:val="16"/>
                <w:color w:val="auto"/>
              </w:rPr>
              <w:t>A reconciliation of equity offerings arising from financing activities is as follows: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2"/>
        </w:trPr>
        <w:tc>
          <w:tcPr>
            <w:tcW w:w="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rPr>
              <w:t>Cash flows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4"/>
          </w:tcPr>
          <w:p>
            <w:pPr>
              <w:ind w:left="420"/>
              <w:spacing w:after="0"/>
              <w:rPr>
                <w:sz w:val="20"/>
                <w:szCs w:val="20"/>
                <w:color w:val="auto"/>
              </w:rPr>
            </w:pPr>
            <w:r>
              <w:rPr>
                <w:rFonts w:ascii="Arial" w:cs="Arial" w:eastAsia="Arial" w:hAnsi="Arial"/>
                <w:sz w:val="16"/>
                <w:szCs w:val="16"/>
                <w:b w:val="1"/>
                <w:bCs w:val="1"/>
                <w:color w:val="auto"/>
              </w:rPr>
              <w:t>Total</w:t>
            </w:r>
          </w:p>
        </w:tc>
      </w:tr>
      <w:tr>
        <w:trPr>
          <w:trHeight w:val="176"/>
        </w:trPr>
        <w:tc>
          <w:tcPr>
            <w:tcW w:w="6160" w:type="dxa"/>
            <w:vAlign w:val="bottom"/>
            <w:tcBorders>
              <w:top w:val="single" w:sz="8" w:color="E5FFFF"/>
            </w:tcBorders>
            <w:gridSpan w:val="6"/>
            <w:shd w:val="clear" w:color="auto" w:fill="E5FFFF"/>
          </w:tcPr>
          <w:p>
            <w:pPr>
              <w:spacing w:after="0" w:line="176" w:lineRule="exact"/>
              <w:rPr>
                <w:sz w:val="20"/>
                <w:szCs w:val="20"/>
                <w:color w:val="auto"/>
              </w:rPr>
            </w:pPr>
            <w:r>
              <w:rPr>
                <w:rFonts w:ascii="Arial" w:cs="Arial" w:eastAsia="Arial" w:hAnsi="Arial"/>
                <w:sz w:val="16"/>
                <w:szCs w:val="16"/>
                <w:color w:val="auto"/>
              </w:rPr>
              <w:t>Proceeds from public offering of preference units (net of underwriting discounts and</w:t>
            </w:r>
          </w:p>
        </w:tc>
        <w:tc>
          <w:tcPr>
            <w:tcW w:w="20" w:type="dxa"/>
            <w:vAlign w:val="bottom"/>
            <w:tcBorders>
              <w:top w:val="single" w:sz="8" w:color="E5FFFF"/>
            </w:tcBorders>
            <w:shd w:val="clear" w:color="auto" w:fill="E5FFFF"/>
          </w:tcPr>
          <w:p>
            <w:pPr>
              <w:spacing w:after="0"/>
              <w:rPr>
                <w:sz w:val="15"/>
                <w:szCs w:val="15"/>
                <w:color w:val="auto"/>
              </w:rPr>
            </w:pPr>
          </w:p>
        </w:tc>
        <w:tc>
          <w:tcPr>
            <w:tcW w:w="380" w:type="dxa"/>
            <w:vAlign w:val="bottom"/>
            <w:tcBorders>
              <w:top w:val="single" w:sz="8" w:color="E5FFFF"/>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auto"/>
            </w:tcBorders>
            <w:shd w:val="clear" w:color="auto" w:fill="E5FFFF"/>
          </w:tcPr>
          <w:p>
            <w:pPr>
              <w:spacing w:after="0"/>
              <w:rPr>
                <w:sz w:val="15"/>
                <w:szCs w:val="15"/>
                <w:color w:val="auto"/>
              </w:rPr>
            </w:pPr>
          </w:p>
        </w:tc>
        <w:tc>
          <w:tcPr>
            <w:tcW w:w="6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06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45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commissions)</w:t>
            </w:r>
          </w:p>
        </w:tc>
        <w:tc>
          <w:tcPr>
            <w:tcW w:w="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920" w:type="dxa"/>
            <w:vAlign w:val="bottom"/>
            <w:gridSpan w:val="8"/>
            <w:shd w:val="clear" w:color="auto" w:fill="E5FFFF"/>
          </w:tcPr>
          <w:p>
            <w:pPr>
              <w:jc w:val="right"/>
              <w:ind w:right="59"/>
              <w:spacing w:after="0"/>
              <w:rPr>
                <w:sz w:val="20"/>
                <w:szCs w:val="20"/>
                <w:color w:val="auto"/>
              </w:rPr>
            </w:pPr>
            <w:r>
              <w:rPr>
                <w:rFonts w:ascii="Arial" w:cs="Arial" w:eastAsia="Arial" w:hAnsi="Arial"/>
                <w:sz w:val="16"/>
                <w:szCs w:val="16"/>
                <w:color w:val="auto"/>
              </w:rPr>
              <w:t>111,544</w:t>
            </w:r>
          </w:p>
        </w:tc>
        <w:tc>
          <w:tcPr>
            <w:tcW w:w="1040" w:type="dxa"/>
            <w:vAlign w:val="bottom"/>
            <w:shd w:val="clear" w:color="auto" w:fill="E5FFFF"/>
          </w:tcPr>
          <w:p>
            <w:pPr>
              <w:spacing w:after="0"/>
              <w:rPr>
                <w:sz w:val="18"/>
                <w:szCs w:val="18"/>
                <w:color w:val="auto"/>
              </w:rPr>
            </w:pPr>
          </w:p>
        </w:tc>
        <w:tc>
          <w:tcPr>
            <w:tcW w:w="500" w:type="dxa"/>
            <w:vAlign w:val="bottom"/>
            <w:gridSpan w:val="3"/>
            <w:shd w:val="clear" w:color="auto" w:fill="E5FF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4580" w:type="dxa"/>
            <w:vAlign w:val="bottom"/>
            <w:gridSpan w:val="2"/>
          </w:tcPr>
          <w:p>
            <w:pPr>
              <w:spacing w:after="0"/>
              <w:rPr>
                <w:sz w:val="20"/>
                <w:szCs w:val="20"/>
                <w:color w:val="auto"/>
              </w:rPr>
            </w:pPr>
            <w:r>
              <w:rPr>
                <w:rFonts w:ascii="Arial" w:cs="Arial" w:eastAsia="Arial" w:hAnsi="Arial"/>
                <w:sz w:val="16"/>
                <w:szCs w:val="16"/>
                <w:color w:val="auto"/>
              </w:rPr>
              <w:t>Offering costs</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3"/>
          </w:tcPr>
          <w:p>
            <w:pPr>
              <w:jc w:val="right"/>
              <w:ind w:right="19"/>
              <w:spacing w:after="0"/>
              <w:rPr>
                <w:sz w:val="20"/>
                <w:szCs w:val="20"/>
                <w:color w:val="auto"/>
              </w:rPr>
            </w:pPr>
            <w:r>
              <w:rPr>
                <w:rFonts w:ascii="Arial" w:cs="Arial" w:eastAsia="Arial" w:hAnsi="Arial"/>
                <w:sz w:val="16"/>
                <w:szCs w:val="16"/>
                <w:color w:val="auto"/>
                <w:w w:val="90"/>
              </w:rPr>
              <w:t>(315)</w:t>
            </w:r>
          </w:p>
        </w:tc>
        <w:tc>
          <w:tcPr>
            <w:tcW w:w="1540" w:type="dxa"/>
            <w:vAlign w:val="bottom"/>
            <w:gridSpan w:val="4"/>
          </w:tcPr>
          <w:p>
            <w:pPr>
              <w:jc w:val="right"/>
              <w:ind w:right="19"/>
              <w:spacing w:after="0"/>
              <w:rPr>
                <w:sz w:val="20"/>
                <w:szCs w:val="20"/>
                <w:color w:val="auto"/>
              </w:rPr>
            </w:pPr>
            <w:r>
              <w:rPr>
                <w:rFonts w:ascii="Arial" w:cs="Arial" w:eastAsia="Arial" w:hAnsi="Arial"/>
                <w:sz w:val="16"/>
                <w:szCs w:val="16"/>
                <w:color w:val="auto"/>
              </w:rPr>
              <w:t>(32)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(347)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7"/>
        </w:trPr>
        <w:tc>
          <w:tcPr>
            <w:tcW w:w="6160" w:type="dxa"/>
            <w:vAlign w:val="bottom"/>
            <w:tcBorders>
              <w:top w:val="single" w:sz="8" w:color="E5FFFF"/>
              <w:bottom w:val="single" w:sz="8" w:color="E5FFFF"/>
            </w:tcBorders>
            <w:gridSpan w:val="6"/>
            <w:shd w:val="clear" w:color="auto" w:fill="E5FFFF"/>
          </w:tcPr>
          <w:p>
            <w:pPr>
              <w:spacing w:after="0"/>
              <w:rPr>
                <w:sz w:val="20"/>
                <w:szCs w:val="20"/>
                <w:color w:val="auto"/>
              </w:rPr>
            </w:pPr>
            <w:r>
              <w:rPr>
                <w:rFonts w:ascii="Arial" w:cs="Arial" w:eastAsia="Arial" w:hAnsi="Arial"/>
                <w:sz w:val="16"/>
                <w:szCs w:val="16"/>
                <w:b w:val="1"/>
                <w:bCs w:val="1"/>
                <w:color w:val="auto"/>
              </w:rPr>
              <w:t>Net proceeds from equity offerings in the three months ended March 31, 2018</w:t>
            </w:r>
          </w:p>
        </w:tc>
        <w:tc>
          <w:tcPr>
            <w:tcW w:w="400" w:type="dxa"/>
            <w:vAlign w:val="bottom"/>
            <w:tcBorders>
              <w:top w:val="single" w:sz="8" w:color="E5FFFF"/>
              <w:bottom w:val="single" w:sz="8" w:color="E5FFFF"/>
            </w:tcBorders>
            <w:gridSpan w:val="2"/>
            <w:shd w:val="clear" w:color="auto" w:fill="E5FFFF"/>
          </w:tcPr>
          <w:p>
            <w:pPr>
              <w:spacing w:after="0"/>
              <w:rPr>
                <w:sz w:val="17"/>
                <w:szCs w:val="17"/>
                <w:color w:val="auto"/>
              </w:rPr>
            </w:pPr>
          </w:p>
        </w:tc>
        <w:tc>
          <w:tcPr>
            <w:tcW w:w="1360" w:type="dxa"/>
            <w:vAlign w:val="bottom"/>
            <w:tcBorders>
              <w:top w:val="single" w:sz="8" w:color="auto"/>
              <w:bottom w:val="single" w:sz="8" w:color="auto"/>
            </w:tcBorders>
            <w:gridSpan w:val="5"/>
            <w:shd w:val="clear" w:color="auto" w:fill="E5FFFF"/>
          </w:tcPr>
          <w:p>
            <w:pPr>
              <w:jc w:val="right"/>
              <w:spacing w:after="0"/>
              <w:rPr>
                <w:sz w:val="20"/>
                <w:szCs w:val="20"/>
                <w:color w:val="auto"/>
              </w:rPr>
            </w:pPr>
            <w:r>
              <w:rPr>
                <w:rFonts w:ascii="Arial" w:cs="Arial" w:eastAsia="Arial" w:hAnsi="Arial"/>
                <w:sz w:val="16"/>
                <w:szCs w:val="16"/>
                <w:b w:val="1"/>
                <w:bCs w:val="1"/>
                <w:color w:val="auto"/>
              </w:rPr>
              <w:t>111,229</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(32</w:t>
            </w:r>
          </w:p>
        </w:tc>
        <w:tc>
          <w:tcPr>
            <w:tcW w:w="160" w:type="dxa"/>
            <w:vAlign w:val="bottom"/>
            <w:tcBorders>
              <w:top w:val="single" w:sz="8" w:color="E5FFFF"/>
              <w:bottom w:val="single" w:sz="8" w:color="E5FFFF"/>
            </w:tcBorders>
            <w:shd w:val="clear" w:color="auto" w:fill="E5FFFF"/>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2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111,197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rPr>
              <w:t>Cash flows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Non-cash items</w:t>
            </w:r>
          </w:p>
        </w:tc>
        <w:tc>
          <w:tcPr>
            <w:tcW w:w="1260" w:type="dxa"/>
            <w:vAlign w:val="bottom"/>
            <w:gridSpan w:val="4"/>
          </w:tcPr>
          <w:p>
            <w:pPr>
              <w:ind w:left="420"/>
              <w:spacing w:after="0"/>
              <w:rPr>
                <w:sz w:val="20"/>
                <w:szCs w:val="20"/>
                <w:color w:val="auto"/>
              </w:rPr>
            </w:pPr>
            <w:r>
              <w:rPr>
                <w:rFonts w:ascii="Arial" w:cs="Arial" w:eastAsia="Arial" w:hAnsi="Arial"/>
                <w:sz w:val="16"/>
                <w:szCs w:val="16"/>
                <w:b w:val="1"/>
                <w:bCs w:val="1"/>
                <w:color w:val="auto"/>
              </w:rPr>
              <w:t>Total</w:t>
            </w:r>
          </w:p>
        </w:tc>
      </w:tr>
      <w:tr>
        <w:trPr>
          <w:trHeight w:val="199"/>
        </w:trPr>
        <w:tc>
          <w:tcPr>
            <w:tcW w:w="45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Equity offering costs</w:t>
            </w:r>
          </w:p>
        </w:tc>
        <w:tc>
          <w:tcPr>
            <w:tcW w:w="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auto"/>
              <w:bottom w:val="single" w:sz="8" w:color="auto"/>
            </w:tcBorders>
            <w:shd w:val="clear" w:color="auto" w:fill="E5FFFF"/>
          </w:tcPr>
          <w:p>
            <w:pPr>
              <w:spacing w:after="0"/>
              <w:rPr>
                <w:sz w:val="17"/>
                <w:szCs w:val="17"/>
                <w:color w:val="auto"/>
              </w:rPr>
            </w:pPr>
          </w:p>
        </w:tc>
        <w:tc>
          <w:tcPr>
            <w:tcW w:w="20" w:type="dxa"/>
            <w:vAlign w:val="bottom"/>
            <w:tcBorders>
              <w:top w:val="single" w:sz="8" w:color="auto"/>
              <w:bottom w:val="single" w:sz="8" w:color="auto"/>
            </w:tcBorders>
            <w:shd w:val="clear" w:color="auto" w:fill="E5FFFF"/>
          </w:tcPr>
          <w:p>
            <w:pPr>
              <w:spacing w:after="0"/>
              <w:rPr>
                <w:sz w:val="17"/>
                <w:szCs w:val="17"/>
                <w:color w:val="auto"/>
              </w:rPr>
            </w:pPr>
          </w:p>
        </w:tc>
        <w:tc>
          <w:tcPr>
            <w:tcW w:w="60" w:type="dxa"/>
            <w:vAlign w:val="bottom"/>
            <w:tcBorders>
              <w:top w:val="single" w:sz="8" w:color="auto"/>
              <w:bottom w:val="single" w:sz="8" w:color="auto"/>
            </w:tcBorders>
            <w:shd w:val="clear" w:color="auto" w:fill="E5FFFF"/>
          </w:tcPr>
          <w:p>
            <w:pPr>
              <w:spacing w:after="0"/>
              <w:rPr>
                <w:sz w:val="17"/>
                <w:szCs w:val="17"/>
                <w:color w:val="auto"/>
              </w:rPr>
            </w:pPr>
          </w:p>
        </w:tc>
        <w:tc>
          <w:tcPr>
            <w:tcW w:w="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w w:val="74"/>
              </w:rPr>
              <w:t>(667)</w:t>
            </w:r>
          </w:p>
        </w:tc>
        <w:tc>
          <w:tcPr>
            <w:tcW w:w="1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820</w:t>
            </w:r>
          </w:p>
        </w:tc>
        <w:tc>
          <w:tcPr>
            <w:tcW w:w="16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7"/>
        </w:trPr>
        <w:tc>
          <w:tcPr>
            <w:tcW w:w="6160" w:type="dxa"/>
            <w:vAlign w:val="bottom"/>
            <w:gridSpan w:val="6"/>
          </w:tcPr>
          <w:p>
            <w:pPr>
              <w:spacing w:after="0"/>
              <w:rPr>
                <w:sz w:val="20"/>
                <w:szCs w:val="20"/>
                <w:color w:val="auto"/>
              </w:rPr>
            </w:pPr>
            <w:r>
              <w:rPr>
                <w:rFonts w:ascii="Arial" w:cs="Arial" w:eastAsia="Arial" w:hAnsi="Arial"/>
                <w:sz w:val="16"/>
                <w:szCs w:val="16"/>
                <w:b w:val="1"/>
                <w:bCs w:val="1"/>
                <w:color w:val="auto"/>
              </w:rPr>
              <w:t>Net proceeds from equity offerings in the three months ended March 31, 2019</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7"/>
              </w:rPr>
              <w:t>(667</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820</w:t>
            </w:r>
          </w:p>
        </w:tc>
        <w:tc>
          <w:tcPr>
            <w:tcW w:w="160" w:type="dxa"/>
            <w:vAlign w:val="bottom"/>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153</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Cash Distributions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January 29, 2019, the board of directors of the Partnership approved and declared a quarterly cash distribution, with respect to the quarter</w:t>
      </w: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356" w:right="5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5"/>
          <w:szCs w:val="15"/>
          <w:color w:val="auto"/>
        </w:rPr>
        <w:t>ended December 31, 2018, of $0.55 per common unit. The cash distribution of $26,929 was paid on February 13, 2019 to all unitholders of record as of February 8, 2019.</w:t>
      </w:r>
    </w:p>
    <w:p>
      <w:pPr>
        <w:spacing w:after="0" w:line="246" w:lineRule="exact"/>
        <w:rPr>
          <w:sz w:val="20"/>
          <w:szCs w:val="20"/>
          <w:color w:val="auto"/>
        </w:rPr>
      </w:pPr>
    </w:p>
    <w:p>
      <w:pPr>
        <w:jc w:val="both"/>
        <w:ind w:right="40" w:firstLine="383"/>
        <w:spacing w:after="0" w:line="278" w:lineRule="auto"/>
        <w:rPr>
          <w:sz w:val="20"/>
          <w:szCs w:val="20"/>
          <w:color w:val="auto"/>
        </w:rPr>
      </w:pPr>
      <w:r>
        <w:rPr>
          <w:rFonts w:ascii="Arial" w:cs="Arial" w:eastAsia="Arial" w:hAnsi="Arial"/>
          <w:sz w:val="16"/>
          <w:szCs w:val="16"/>
          <w:color w:val="auto"/>
        </w:rPr>
        <w:t>On February 22, 2019, the board of directors of the Partnership approved and declared a distribution on the Series A Preference Units of $0.5390625 per preference unit, a distribution on the Series B Preference Units of $0.5125 per preference unit and a distribution on the Series C Preference Units of $0.7083 per preference unit. The aggregate cash distributions of $8,290 were paid on March 15, 2019 to all unitholders of record as of March 8, 2019.</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Earnings per Unit (“EPU”)</w:t>
      </w:r>
    </w:p>
    <w:p>
      <w:pPr>
        <w:spacing w:after="0" w:line="239" w:lineRule="exact"/>
        <w:rPr>
          <w:sz w:val="20"/>
          <w:szCs w:val="20"/>
          <w:color w:val="auto"/>
        </w:rPr>
      </w:pPr>
    </w:p>
    <w:p>
      <w:pPr>
        <w:jc w:val="both"/>
        <w:ind w:right="20" w:firstLine="396"/>
        <w:spacing w:after="0" w:line="293" w:lineRule="auto"/>
        <w:rPr>
          <w:sz w:val="20"/>
          <w:szCs w:val="20"/>
          <w:color w:val="auto"/>
        </w:rPr>
      </w:pPr>
      <w:r>
        <w:rPr>
          <w:rFonts w:ascii="Arial" w:cs="Arial" w:eastAsia="Arial" w:hAnsi="Arial"/>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72" w:lineRule="exact"/>
        <w:rPr>
          <w:sz w:val="20"/>
          <w:szCs w:val="20"/>
          <w:color w:val="auto"/>
        </w:rPr>
      </w:pPr>
    </w:p>
    <w:p>
      <w:pPr>
        <w:ind w:right="40" w:firstLine="396"/>
        <w:spacing w:after="0" w:line="305" w:lineRule="auto"/>
        <w:rPr>
          <w:sz w:val="20"/>
          <w:szCs w:val="20"/>
          <w:color w:val="auto"/>
        </w:rPr>
      </w:pPr>
      <w:r>
        <w:rPr>
          <w:rFonts w:ascii="Arial" w:cs="Arial" w:eastAsia="Arial" w:hAnsi="Arial"/>
          <w:sz w:val="15"/>
          <w:szCs w:val="15"/>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206"/>
        </w:trPr>
        <w:tc>
          <w:tcPr>
            <w:tcW w:w="8000" w:type="dxa"/>
            <w:vAlign w:val="bottom"/>
          </w:tcPr>
          <w:p>
            <w:pPr>
              <w:ind w:left="100"/>
              <w:spacing w:after="0"/>
              <w:rPr>
                <w:sz w:val="20"/>
                <w:szCs w:val="20"/>
                <w:color w:val="auto"/>
              </w:rPr>
            </w:pPr>
            <w:r>
              <w:rPr>
                <w:rFonts w:ascii="Arial" w:cs="Arial" w:eastAsia="Arial" w:hAnsi="Arial"/>
                <w:sz w:val="16"/>
                <w:szCs w:val="16"/>
                <w:color w:val="auto"/>
                <w:w w:val="95"/>
              </w:rPr>
              <w:t>Earnings per unit is presented for the period in which the units were outstanding, with earnings calculated as follows:</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8000" w:type="dxa"/>
            <w:vAlign w:val="bottom"/>
          </w:tcPr>
          <w:p>
            <w:pPr>
              <w:spacing w:after="0"/>
              <w:rPr>
                <w:sz w:val="24"/>
                <w:szCs w:val="24"/>
                <w:color w:val="auto"/>
              </w:rPr>
            </w:pPr>
          </w:p>
        </w:tc>
        <w:tc>
          <w:tcPr>
            <w:tcW w:w="290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 2018</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02"/>
        </w:trPr>
        <w:tc>
          <w:tcPr>
            <w:tcW w:w="8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37,292</w:t>
            </w:r>
          </w:p>
        </w:tc>
        <w:tc>
          <w:tcPr>
            <w:tcW w:w="2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Less:</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(5,290)</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tcPr>
          <w:p>
            <w:pPr>
              <w:spacing w:after="0"/>
              <w:rPr>
                <w:sz w:val="20"/>
                <w:szCs w:val="20"/>
                <w:color w:val="auto"/>
              </w:rPr>
            </w:pPr>
            <w:r>
              <w:rPr>
                <w:rFonts w:ascii="Arial" w:cs="Arial" w:eastAsia="Arial" w:hAnsi="Arial"/>
                <w:sz w:val="16"/>
                <w:szCs w:val="16"/>
                <w:b w:val="1"/>
                <w:bCs w:val="1"/>
                <w:color w:val="auto"/>
              </w:rPr>
              <w:t>Partnership’s profit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32,002</w:t>
            </w:r>
          </w:p>
        </w:tc>
        <w:tc>
          <w:tcPr>
            <w:tcW w:w="22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Adjustment for:</w:t>
            </w:r>
          </w:p>
        </w:tc>
        <w:tc>
          <w:tcPr>
            <w:tcW w:w="1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Paid and accrued preference unit distributions</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(5,038)</w:t>
            </w:r>
          </w:p>
        </w:tc>
        <w:tc>
          <w:tcPr>
            <w:tcW w:w="1300" w:type="dxa"/>
            <w:vAlign w:val="bottom"/>
          </w:tcPr>
          <w:p>
            <w:pPr>
              <w:jc w:val="right"/>
              <w:spacing w:after="0"/>
              <w:rPr>
                <w:sz w:val="20"/>
                <w:szCs w:val="20"/>
                <w:color w:val="auto"/>
              </w:rPr>
            </w:pPr>
            <w:r>
              <w:rPr>
                <w:rFonts w:ascii="Arial" w:cs="Arial" w:eastAsia="Arial" w:hAnsi="Arial"/>
                <w:sz w:val="16"/>
                <w:szCs w:val="16"/>
                <w:color w:val="auto"/>
              </w:rPr>
              <w:t>(7,582)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26,964</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12,784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6"/>
                <w:szCs w:val="16"/>
                <w:color w:val="auto"/>
              </w:rPr>
              <w:t>Common unitholders</w:t>
            </w: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0" w:type="dxa"/>
            <w:vAlign w:val="bottom"/>
            <w:vMerge w:val="continue"/>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24,057</w:t>
            </w:r>
          </w:p>
        </w:tc>
        <w:tc>
          <w:tcPr>
            <w:tcW w:w="22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539</w:t>
            </w: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320" w:type="dxa"/>
            <w:vAlign w:val="bottom"/>
          </w:tcPr>
          <w:p>
            <w:pPr>
              <w:jc w:val="right"/>
              <w:spacing w:after="0"/>
              <w:rPr>
                <w:sz w:val="20"/>
                <w:szCs w:val="20"/>
                <w:color w:val="auto"/>
              </w:rPr>
            </w:pPr>
            <w:r>
              <w:rPr>
                <w:rFonts w:ascii="Arial" w:cs="Arial" w:eastAsia="Arial" w:hAnsi="Arial"/>
                <w:sz w:val="16"/>
                <w:szCs w:val="16"/>
                <w:color w:val="auto"/>
              </w:rPr>
              <w:t>2,368</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Weighted average number of units outstanding (basic)</w:t>
            </w:r>
          </w:p>
        </w:tc>
        <w:tc>
          <w:tcPr>
            <w:tcW w:w="1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Common units</w:t>
            </w:r>
          </w:p>
        </w:tc>
        <w:tc>
          <w:tcPr>
            <w:tcW w:w="1320" w:type="dxa"/>
            <w:vAlign w:val="bottom"/>
          </w:tcPr>
          <w:p>
            <w:pPr>
              <w:jc w:val="right"/>
              <w:spacing w:after="0"/>
              <w:rPr>
                <w:sz w:val="20"/>
                <w:szCs w:val="20"/>
                <w:color w:val="auto"/>
              </w:rPr>
            </w:pPr>
            <w:r>
              <w:rPr>
                <w:rFonts w:ascii="Arial" w:cs="Arial" w:eastAsia="Arial" w:hAnsi="Arial"/>
                <w:sz w:val="16"/>
                <w:szCs w:val="16"/>
                <w:color w:val="auto"/>
              </w:rPr>
              <w:t>41,002,121</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45,448,993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836,779</w:t>
            </w: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927,532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b w:val="1"/>
                <w:bCs w:val="1"/>
                <w:color w:val="auto"/>
              </w:rPr>
              <w:t>Earnings per unit (basic)</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Common unitholders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0.59</w:t>
            </w: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General partner</w:t>
            </w:r>
          </w:p>
        </w:tc>
        <w:tc>
          <w:tcPr>
            <w:tcW w:w="1320" w:type="dxa"/>
            <w:vAlign w:val="bottom"/>
          </w:tcPr>
          <w:p>
            <w:pPr>
              <w:jc w:val="right"/>
              <w:spacing w:after="0"/>
              <w:rPr>
                <w:sz w:val="20"/>
                <w:szCs w:val="20"/>
                <w:color w:val="auto"/>
              </w:rPr>
            </w:pPr>
            <w:r>
              <w:rPr>
                <w:rFonts w:ascii="Arial" w:cs="Arial" w:eastAsia="Arial" w:hAnsi="Arial"/>
                <w:sz w:val="16"/>
                <w:szCs w:val="16"/>
                <w:color w:val="auto"/>
              </w:rPr>
              <w:t>0.64</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Weighted average number of units outstanding (diluted)</w:t>
            </w:r>
          </w:p>
        </w:tc>
        <w:tc>
          <w:tcPr>
            <w:tcW w:w="1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Common units</w:t>
            </w:r>
          </w:p>
        </w:tc>
        <w:tc>
          <w:tcPr>
            <w:tcW w:w="1320" w:type="dxa"/>
            <w:vAlign w:val="bottom"/>
          </w:tcPr>
          <w:p>
            <w:pPr>
              <w:jc w:val="right"/>
              <w:spacing w:after="0"/>
              <w:rPr>
                <w:sz w:val="20"/>
                <w:szCs w:val="20"/>
                <w:color w:val="auto"/>
              </w:rPr>
            </w:pPr>
            <w:r>
              <w:rPr>
                <w:rFonts w:ascii="Arial" w:cs="Arial" w:eastAsia="Arial" w:hAnsi="Arial"/>
                <w:sz w:val="16"/>
                <w:szCs w:val="16"/>
                <w:color w:val="auto"/>
              </w:rPr>
              <w:t>41,086,502</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45,539,778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836,779</w:t>
            </w: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927,532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b w:val="1"/>
                <w:bCs w:val="1"/>
                <w:color w:val="auto"/>
              </w:rPr>
              <w:t>Earnings per unit (diluted)</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Common unitholders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0.59</w:t>
            </w:r>
          </w:p>
        </w:tc>
        <w:tc>
          <w:tcPr>
            <w:tcW w:w="22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0" w:type="dxa"/>
            <w:vAlign w:val="bottom"/>
          </w:tcPr>
          <w:p>
            <w:pPr>
              <w:spacing w:after="0"/>
              <w:rPr>
                <w:sz w:val="20"/>
                <w:szCs w:val="20"/>
                <w:color w:val="auto"/>
              </w:rPr>
            </w:pPr>
            <w:r>
              <w:rPr>
                <w:rFonts w:ascii="Arial" w:cs="Arial" w:eastAsia="Arial" w:hAnsi="Arial"/>
                <w:sz w:val="16"/>
                <w:szCs w:val="16"/>
                <w:color w:val="auto"/>
              </w:rPr>
              <w:t>General partner</w:t>
            </w:r>
          </w:p>
        </w:tc>
        <w:tc>
          <w:tcPr>
            <w:tcW w:w="1320" w:type="dxa"/>
            <w:vAlign w:val="bottom"/>
          </w:tcPr>
          <w:p>
            <w:pPr>
              <w:jc w:val="right"/>
              <w:spacing w:after="0"/>
              <w:rPr>
                <w:sz w:val="20"/>
                <w:szCs w:val="20"/>
                <w:color w:val="auto"/>
              </w:rPr>
            </w:pPr>
            <w:r>
              <w:rPr>
                <w:rFonts w:ascii="Arial" w:cs="Arial" w:eastAsia="Arial" w:hAnsi="Arial"/>
                <w:sz w:val="16"/>
                <w:szCs w:val="16"/>
                <w:color w:val="auto"/>
              </w:rPr>
              <w:t>0.64</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40" w:hanging="132"/>
        <w:spacing w:after="0" w:line="235" w:lineRule="auto"/>
        <w:tabs>
          <w:tab w:leader="none" w:pos="134" w:val="left"/>
        </w:tabs>
        <w:numPr>
          <w:ilvl w:val="0"/>
          <w:numId w:val="25"/>
        </w:numPr>
        <w:rPr>
          <w:rFonts w:ascii="Arial" w:cs="Arial" w:eastAsia="Arial" w:hAnsi="Arial"/>
          <w:sz w:val="16"/>
          <w:szCs w:val="16"/>
          <w:color w:val="auto"/>
        </w:rPr>
      </w:pPr>
      <w:r>
        <w:rPr>
          <w:rFonts w:ascii="Arial" w:cs="Arial" w:eastAsia="Arial" w:hAnsi="Arial"/>
          <w:sz w:val="14"/>
          <w:szCs w:val="14"/>
          <w:color w:val="auto"/>
        </w:rPr>
        <w:t>Includes the aggregate profit of GAS-fourteen Ltd. and GAS-twenty seven Ltd. for the period prior to their transfers to the Partnership on April 26, 2018 and November 14, 2018, respectively. While such amounts are reflected in the Partnership’s financial statements because the transfers to the Partnership were accounted for as reorganizations of entities under common control (Note 1), the aforementioned entities were not owned by the Partnership prior to their transfers to the Partnership on the respective dates and accordingly the Partnership was not entitled to the cash or results generated in the periods prior to such transfers.</w:t>
      </w:r>
    </w:p>
    <w:p>
      <w:pPr>
        <w:spacing w:after="0" w:line="63" w:lineRule="exact"/>
        <w:rPr>
          <w:sz w:val="20"/>
          <w:szCs w:val="20"/>
          <w:color w:val="auto"/>
        </w:rPr>
      </w:pPr>
    </w:p>
    <w:p>
      <w:pPr>
        <w:ind w:left="140" w:hanging="132"/>
        <w:spacing w:after="0" w:line="238" w:lineRule="auto"/>
        <w:tabs>
          <w:tab w:leader="none" w:pos="19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 the right to receive an increasing percentage of quarterly distributions of available cash from operating surplus after the minimum quarterly distribution and the target distribution levels have been achieved. GasLog holds the incentive distribution rights following completion of the Partnership’s IPO. The IDRs may be transferred separately from any other interests, subject to restrictions in the Partnership Agreement. Based on the nature of such right, earnings attributable to IDRs cannot be allocated on a per unit basis.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Share-based Compensation</w:t>
      </w:r>
    </w:p>
    <w:p>
      <w:pPr>
        <w:spacing w:after="0" w:line="239" w:lineRule="exact"/>
        <w:rPr>
          <w:sz w:val="20"/>
          <w:szCs w:val="20"/>
          <w:color w:val="auto"/>
        </w:rPr>
      </w:pPr>
    </w:p>
    <w:p>
      <w:pPr>
        <w:ind w:right="440" w:firstLine="383"/>
        <w:spacing w:after="0" w:line="278" w:lineRule="auto"/>
        <w:rPr>
          <w:sz w:val="20"/>
          <w:szCs w:val="20"/>
          <w:color w:val="auto"/>
        </w:rPr>
      </w:pPr>
      <w:r>
        <w:rPr>
          <w:rFonts w:ascii="Arial" w:cs="Arial" w:eastAsia="Arial" w:hAnsi="Arial"/>
          <w:sz w:val="16"/>
          <w:szCs w:val="16"/>
          <w:color w:val="auto"/>
        </w:rPr>
        <w:t>The terms of the 2015 Long-Term Incentive Plan (the “2015 Plan”) and the assumptions for the valuation of Restricted Common Units (“RCUs”) and Performance Common Units (“PCUs”) have been disclosed in Note 20 “Share-Based Compensation” in the annual audited consolidated financial statements for the year ended December 31, 2018.</w:t>
      </w:r>
    </w:p>
    <w:p>
      <w:pPr>
        <w:spacing w:after="0" w:line="90" w:lineRule="exact"/>
        <w:rPr>
          <w:sz w:val="20"/>
          <w:szCs w:val="20"/>
          <w:color w:val="auto"/>
        </w:rPr>
      </w:pPr>
    </w:p>
    <w:p>
      <w:pPr>
        <w:ind w:right="200" w:firstLine="396"/>
        <w:spacing w:after="0" w:line="293" w:lineRule="auto"/>
        <w:rPr>
          <w:sz w:val="20"/>
          <w:szCs w:val="20"/>
          <w:color w:val="auto"/>
        </w:rPr>
      </w:pPr>
      <w:r>
        <w:rPr>
          <w:rFonts w:ascii="Arial" w:cs="Arial" w:eastAsia="Arial" w:hAnsi="Arial"/>
          <w:sz w:val="16"/>
          <w:szCs w:val="16"/>
          <w:color w:val="auto"/>
        </w:rPr>
        <w:t>As of March 31, 2019, there were 75,084 RCUs and 75,084 PCUs outstanding (December 31, 2018: 75,084 RCUs and 75,084 PCUs). Subsequently, on April 1, 2019, 24,925 RCUs and 24,925 PCUs vested under the Partnership’s 2015 Plan (Note 19).</w:t>
      </w:r>
    </w:p>
    <w:p>
      <w:pPr>
        <w:spacing w:after="0" w:line="77"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total expense recognized in respect of equity-settled employee benefits for the three months ended March 31, 2019 was $262 (for the three months ended March 31, 2018: $235). The total accrued cash distribution as of March 31, 2019 is $624 (December 31, 2018: $542).</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18. Commitments and Contingencies</w:t>
      </w:r>
    </w:p>
    <w:p>
      <w:pPr>
        <w:spacing w:after="0" w:line="239" w:lineRule="exact"/>
        <w:rPr>
          <w:sz w:val="20"/>
          <w:szCs w:val="20"/>
          <w:color w:val="auto"/>
        </w:rPr>
      </w:pPr>
    </w:p>
    <w:p>
      <w:pPr>
        <w:jc w:val="both"/>
        <w:ind w:right="80" w:firstLine="405"/>
        <w:spacing w:after="0" w:line="278" w:lineRule="auto"/>
        <w:rPr>
          <w:sz w:val="20"/>
          <w:szCs w:val="20"/>
          <w:color w:val="auto"/>
        </w:rPr>
      </w:pPr>
      <w:r>
        <w:rPr>
          <w:rFonts w:ascii="Arial" w:cs="Arial" w:eastAsia="Arial" w:hAnsi="Arial"/>
          <w:sz w:val="16"/>
          <w:szCs w:val="16"/>
          <w:color w:val="auto"/>
        </w:rPr>
        <w:t>Future gross minimum lease payments receivable in relation to non-cancellable time charter agreements for vessels in operation as of March 31, 2019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1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2019</w:t>
            </w:r>
          </w:p>
        </w:tc>
      </w:tr>
      <w:tr>
        <w:trPr>
          <w:trHeight w:val="202"/>
        </w:trPr>
        <w:tc>
          <w:tcPr>
            <w:tcW w:w="912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249,051</w:t>
            </w:r>
          </w:p>
        </w:tc>
      </w:tr>
      <w:tr>
        <w:trPr>
          <w:trHeight w:val="203"/>
        </w:trPr>
        <w:tc>
          <w:tcPr>
            <w:tcW w:w="9120" w:type="dxa"/>
            <w:vAlign w:val="bottom"/>
          </w:tcPr>
          <w:p>
            <w:pPr>
              <w:spacing w:after="0"/>
              <w:rPr>
                <w:sz w:val="20"/>
                <w:szCs w:val="20"/>
                <w:color w:val="auto"/>
              </w:rPr>
            </w:pPr>
            <w:r>
              <w:rPr>
                <w:rFonts w:ascii="Arial" w:cs="Arial" w:eastAsia="Arial" w:hAnsi="Arial"/>
                <w:sz w:val="16"/>
                <w:szCs w:val="16"/>
                <w:color w:val="auto"/>
              </w:rPr>
              <w:t>Later than one year and not later than three years</w:t>
            </w:r>
          </w:p>
        </w:tc>
        <w:tc>
          <w:tcPr>
            <w:tcW w:w="1840" w:type="dxa"/>
            <w:vAlign w:val="bottom"/>
          </w:tcPr>
          <w:p>
            <w:pPr>
              <w:jc w:val="right"/>
              <w:spacing w:after="0"/>
              <w:rPr>
                <w:sz w:val="20"/>
                <w:szCs w:val="20"/>
                <w:color w:val="auto"/>
              </w:rPr>
            </w:pPr>
            <w:r>
              <w:rPr>
                <w:rFonts w:ascii="Arial" w:cs="Arial" w:eastAsia="Arial" w:hAnsi="Arial"/>
                <w:sz w:val="16"/>
                <w:szCs w:val="16"/>
                <w:color w:val="auto"/>
              </w:rPr>
              <w:t>288,832</w:t>
            </w:r>
          </w:p>
        </w:tc>
      </w:tr>
      <w:tr>
        <w:trPr>
          <w:trHeight w:val="203"/>
        </w:trPr>
        <w:tc>
          <w:tcPr>
            <w:tcW w:w="9120" w:type="dxa"/>
            <w:vAlign w:val="bottom"/>
            <w:shd w:val="clear" w:color="auto" w:fill="E5FFFF"/>
          </w:tcPr>
          <w:p>
            <w:pPr>
              <w:spacing w:after="0"/>
              <w:rPr>
                <w:sz w:val="20"/>
                <w:szCs w:val="20"/>
                <w:color w:val="auto"/>
              </w:rPr>
            </w:pPr>
            <w:r>
              <w:rPr>
                <w:rFonts w:ascii="Arial" w:cs="Arial" w:eastAsia="Arial" w:hAnsi="Arial"/>
                <w:sz w:val="16"/>
                <w:szCs w:val="16"/>
                <w:color w:val="auto"/>
              </w:rPr>
              <w:t>Later than three years and not later than five years</w:t>
            </w:r>
          </w:p>
        </w:tc>
        <w:tc>
          <w:tcPr>
            <w:tcW w:w="18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169,668</w:t>
            </w:r>
          </w:p>
        </w:tc>
      </w:tr>
      <w:tr>
        <w:trPr>
          <w:trHeight w:val="203"/>
        </w:trPr>
        <w:tc>
          <w:tcPr>
            <w:tcW w:w="91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More than five years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48,164</w:t>
            </w:r>
          </w:p>
        </w:tc>
      </w:tr>
      <w:tr>
        <w:trPr>
          <w:trHeight w:val="196"/>
        </w:trPr>
        <w:tc>
          <w:tcPr>
            <w:tcW w:w="91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755,715</w:t>
            </w:r>
          </w:p>
        </w:tc>
      </w:tr>
      <w:tr>
        <w:trPr>
          <w:trHeight w:val="20"/>
        </w:trPr>
        <w:tc>
          <w:tcPr>
            <w:tcW w:w="9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40" w:firstLine="383"/>
        <w:spacing w:after="0" w:line="293" w:lineRule="auto"/>
        <w:rPr>
          <w:sz w:val="20"/>
          <w:szCs w:val="20"/>
          <w:color w:val="auto"/>
        </w:rPr>
      </w:pPr>
      <w:r>
        <w:rPr>
          <w:rFonts w:ascii="Arial" w:cs="Arial" w:eastAsia="Arial" w:hAnsi="Arial"/>
          <w:sz w:val="16"/>
          <w:szCs w:val="16"/>
          <w:color w:val="auto"/>
        </w:rPr>
        <w:t>In April and May 2017, GasLog LNG Services entered into agreements in relation to investments in certain of the Partnership’s and GasLog’s vessels, with the aim of enhancing their operational performance. Commitments relating to these agreements for the Partnership are as follows:</w:t>
      </w:r>
    </w:p>
    <w:p>
      <w:pPr>
        <w:sectPr>
          <w:pgSz w:w="11900" w:h="16838" w:orient="portrait"/>
          <w:cols w:equalWidth="0" w:num="1">
            <w:col w:w="11400"/>
          </w:cols>
          <w:pgMar w:left="240" w:top="342" w:right="2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Not later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695515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55155" cy="13716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March 31, 2019</w:t>
      </w:r>
    </w:p>
    <w:p>
      <w:pPr>
        <w:spacing w:after="0" w:line="36" w:lineRule="exact"/>
        <w:rPr>
          <w:sz w:val="20"/>
          <w:szCs w:val="20"/>
          <w:color w:val="auto"/>
        </w:rPr>
      </w:pPr>
    </w:p>
    <w:p>
      <w:pPr>
        <w:jc w:val="right"/>
        <w:ind w:right="440"/>
        <w:spacing w:after="0"/>
        <w:rPr>
          <w:sz w:val="20"/>
          <w:szCs w:val="20"/>
          <w:color w:val="auto"/>
        </w:rPr>
      </w:pPr>
      <w:r>
        <w:rPr>
          <w:rFonts w:ascii="Arial" w:cs="Arial" w:eastAsia="Arial" w:hAnsi="Arial"/>
          <w:sz w:val="16"/>
          <w:szCs w:val="16"/>
          <w:color w:val="auto"/>
        </w:rPr>
        <w:t>1,494</w:t>
      </w:r>
    </w:p>
    <w:p>
      <w:pPr>
        <w:spacing w:after="0" w:line="28" w:lineRule="exact"/>
        <w:rPr>
          <w:sz w:val="20"/>
          <w:szCs w:val="20"/>
          <w:color w:val="auto"/>
        </w:rPr>
      </w:pPr>
    </w:p>
    <w:p>
      <w:pPr>
        <w:jc w:val="right"/>
        <w:ind w:right="440"/>
        <w:spacing w:after="0"/>
        <w:rPr>
          <w:sz w:val="20"/>
          <w:szCs w:val="20"/>
          <w:color w:val="auto"/>
        </w:rPr>
      </w:pPr>
      <w:r>
        <w:rPr>
          <w:rFonts w:ascii="Arial" w:cs="Arial" w:eastAsia="Arial" w:hAnsi="Arial"/>
          <w:sz w:val="16"/>
          <w:szCs w:val="16"/>
          <w:b w:val="1"/>
          <w:bCs w:val="1"/>
          <w:color w:val="auto"/>
        </w:rPr>
        <w:t>1,494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20320</wp:posOffset>
            </wp:positionV>
            <wp:extent cx="11747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74750" cy="8890"/>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37465</wp:posOffset>
            </wp:positionV>
            <wp:extent cx="1174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74750" cy="8890"/>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-116205</wp:posOffset>
            </wp:positionV>
            <wp:extent cx="1174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8780" w:space="720"/>
            <w:col w:w="1900"/>
          </w:cols>
          <w:pgMar w:left="240" w:top="342" w:right="259" w:bottom="1440" w:gutter="0" w:footer="0" w:header="0"/>
          <w:type w:val="continuous"/>
        </w:sectPr>
      </w:pPr>
    </w:p>
    <w:p>
      <w:pPr>
        <w:ind w:right="100" w:firstLine="383"/>
        <w:spacing w:after="0" w:line="273" w:lineRule="auto"/>
        <w:rPr>
          <w:sz w:val="20"/>
          <w:szCs w:val="20"/>
          <w:color w:val="auto"/>
        </w:rPr>
      </w:pPr>
      <w:r>
        <w:rPr>
          <w:rFonts w:ascii="Arial" w:cs="Arial" w:eastAsia="Arial" w:hAnsi="Arial"/>
          <w:sz w:val="16"/>
          <w:szCs w:val="16"/>
          <w:color w:val="auto"/>
        </w:rPr>
        <w:t xml:space="preserve">Following the acquisition of (i)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(ii)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the Partnership, through its subsidiaries (i) GAS-sixteen Ltd. and GAS-seventeen Ltd. and (ii) GAS-nineteen Ltd., GAS-twenty Ltd. and GAS-twenty</w:t>
      </w:r>
      <w:r>
        <w:rPr>
          <w:rFonts w:ascii="Arial" w:cs="Arial" w:eastAsia="Arial" w:hAnsi="Arial"/>
          <w:sz w:val="16"/>
          <w:szCs w:val="16"/>
          <w:i w:val="1"/>
          <w:iCs w:val="1"/>
          <w:color w:val="auto"/>
        </w:rPr>
        <w:t xml:space="preserve"> </w:t>
      </w:r>
      <w:r>
        <w:rPr>
          <w:rFonts w:ascii="Arial" w:cs="Arial" w:eastAsia="Arial" w:hAnsi="Arial"/>
          <w:sz w:val="16"/>
          <w:szCs w:val="16"/>
          <w:color w:val="auto"/>
        </w:rPr>
        <w:t>one Ltd., respectively, is counter guarantor for the acquisition from BG Group plc of 83.3% of depot spares with an aggregate value of $6,000, of which $660 have been purchased and paid as of March 31, 2019 by GasLog. These spares should be acquired before March 31, 2020.</w:t>
      </w:r>
    </w:p>
    <w:p>
      <w:pPr>
        <w:spacing w:after="0" w:line="189" w:lineRule="exact"/>
        <w:rPr>
          <w:sz w:val="20"/>
          <w:szCs w:val="20"/>
          <w:color w:val="auto"/>
        </w:rPr>
      </w:pPr>
    </w:p>
    <w:p>
      <w:pPr>
        <w:jc w:val="both"/>
        <w:ind w:right="180" w:firstLine="383"/>
        <w:spacing w:after="0" w:line="369" w:lineRule="auto"/>
        <w:rPr>
          <w:sz w:val="20"/>
          <w:szCs w:val="20"/>
          <w:color w:val="auto"/>
        </w:rPr>
      </w:pPr>
      <w:r>
        <w:rPr>
          <w:rFonts w:ascii="Arial" w:cs="Arial" w:eastAsia="Arial" w:hAnsi="Arial"/>
          <w:sz w:val="14"/>
          <w:szCs w:val="14"/>
          <w:color w:val="auto"/>
        </w:rPr>
        <w:t>In September 2017 and July 2018, GasLog LNG Services entered into maintenance agreements with Wartsila Greece S.A. in respect of eight of the Partnership’s LNG carriers. The agreements ensure dynamic maintenance planning, technical support, security of spare parts supply, specialist technical personnel and performance monitoring.</w:t>
      </w:r>
    </w:p>
    <w:p>
      <w:pPr>
        <w:spacing w:after="0" w:line="126" w:lineRule="exact"/>
        <w:rPr>
          <w:sz w:val="20"/>
          <w:szCs w:val="20"/>
          <w:color w:val="auto"/>
        </w:rPr>
      </w:pPr>
    </w:p>
    <w:p>
      <w:pPr>
        <w:ind w:firstLine="383"/>
        <w:spacing w:after="0" w:line="278" w:lineRule="auto"/>
        <w:rPr>
          <w:sz w:val="20"/>
          <w:szCs w:val="20"/>
          <w:color w:val="auto"/>
        </w:rPr>
      </w:pPr>
      <w:r>
        <w:rPr>
          <w:rFonts w:ascii="Arial" w:cs="Arial" w:eastAsia="Arial" w:hAnsi="Arial"/>
          <w:sz w:val="16"/>
          <w:szCs w:val="16"/>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w:t>
      </w:r>
    </w:p>
    <w:p>
      <w:pPr>
        <w:spacing w:after="0" w:line="184" w:lineRule="exact"/>
        <w:rPr>
          <w:sz w:val="20"/>
          <w:szCs w:val="20"/>
          <w:color w:val="auto"/>
        </w:rPr>
      </w:pPr>
    </w:p>
    <w:p>
      <w:pPr>
        <w:ind w:right="20" w:firstLine="324"/>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Subsequent Events</w:t>
      </w:r>
    </w:p>
    <w:p>
      <w:pPr>
        <w:spacing w:after="0" w:line="171" w:lineRule="exact"/>
        <w:rPr>
          <w:sz w:val="20"/>
          <w:szCs w:val="20"/>
          <w:color w:val="auto"/>
        </w:rPr>
      </w:pPr>
    </w:p>
    <w:p>
      <w:pPr>
        <w:ind w:right="220" w:firstLine="396"/>
        <w:spacing w:after="0" w:line="369" w:lineRule="auto"/>
        <w:rPr>
          <w:sz w:val="20"/>
          <w:szCs w:val="20"/>
          <w:color w:val="auto"/>
        </w:rPr>
      </w:pPr>
      <w:r>
        <w:rPr>
          <w:rFonts w:ascii="Arial" w:cs="Arial" w:eastAsia="Arial" w:hAnsi="Arial"/>
          <w:sz w:val="14"/>
          <w:szCs w:val="14"/>
          <w:color w:val="auto"/>
        </w:rPr>
        <w:t xml:space="preserve">On April 1, 2019, GasLog Partners completed the acquisition from GasLog of 100% of the shares in the entity that owns and charters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a 174,000 cbm TFDE LNG carrier built in 2016 which is chartered to a subsidiary of Royal Dutch Shell plc through June 2026, for an aggregate purchase price of $214,000.</w:t>
      </w:r>
    </w:p>
    <w:p>
      <w:pPr>
        <w:spacing w:after="0" w:line="5" w:lineRule="exact"/>
        <w:rPr>
          <w:sz w:val="20"/>
          <w:szCs w:val="20"/>
          <w:color w:val="auto"/>
        </w:rPr>
      </w:pPr>
    </w:p>
    <w:p>
      <w:pPr>
        <w:ind w:right="200" w:firstLine="396"/>
        <w:spacing w:after="0" w:line="278" w:lineRule="auto"/>
        <w:rPr>
          <w:sz w:val="20"/>
          <w:szCs w:val="20"/>
          <w:color w:val="auto"/>
        </w:rPr>
      </w:pPr>
      <w:r>
        <w:rPr>
          <w:rFonts w:ascii="Arial" w:cs="Arial" w:eastAsia="Arial" w:hAnsi="Arial"/>
          <w:sz w:val="16"/>
          <w:szCs w:val="16"/>
          <w:color w:val="auto"/>
        </w:rPr>
        <w:t>On April 1, 2019, GasLog Partners issued 49,850 common units in connection with the vesting of 24,925 RCUs and 24,925 PCUs under its 2015 Plan. In connection with the issuance of these common units, GasLog Partners also issued 1,017 general partner units to its general partner in order for GasLog to retain its 2.0% general partner interest.</w:t>
      </w:r>
    </w:p>
    <w:p>
      <w:pPr>
        <w:spacing w:after="0" w:line="184" w:lineRule="exact"/>
        <w:rPr>
          <w:sz w:val="20"/>
          <w:szCs w:val="20"/>
          <w:color w:val="auto"/>
        </w:rPr>
      </w:pPr>
    </w:p>
    <w:p>
      <w:pPr>
        <w:ind w:right="280" w:firstLine="383"/>
        <w:spacing w:after="0" w:line="278" w:lineRule="auto"/>
        <w:rPr>
          <w:sz w:val="20"/>
          <w:szCs w:val="20"/>
          <w:color w:val="auto"/>
        </w:rPr>
      </w:pPr>
      <w:r>
        <w:rPr>
          <w:rFonts w:ascii="Arial" w:cs="Arial" w:eastAsia="Arial" w:hAnsi="Arial"/>
          <w:sz w:val="16"/>
          <w:szCs w:val="16"/>
          <w:color w:val="auto"/>
        </w:rPr>
        <w:t>On April 24, 2019, the board of directors of GasLog Partners approved and declared a quarterly cash distribution of $0.55 per common unit for the quarter ended March 31, 2019. The cash distribution is payable on May 10, 2019 to all unitholders of record as of May 6, 2019. The aggregate amount of the declared distribution will be $26,929 based on the number of units issued and outstanding as of March 31, 2019.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APPENDIX 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Non-GAAP Partnership Performance Information and Reconciliation Tables</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Our IFRS Common Control Reported Results are derived from the consolidated financial statements of the Partnership. The non-GAAP Partnership Performance Results presented below exclude amounts related to GAS-fourteen Ltd., the owner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GAS-twenty seven Ltd., the owner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for the periods prior to their transfers to the Partnership on April 26, 2018 and November 14, 2018, respectively. While such amounts are reflected in the Partnership’s unaudited condensed consolidated financial statements because the transfers to the Partnership were accounted for as reorganizations of entities under common control under IFRS, the aforementioned entities were not owned by the Partnership prior to their respective transfers to the Partnership on April 26, 2018 and November 14, 2018, respectively, and accordingly the Partnership was not entitled to the cash or results generated in the periods prior to such transfers. The Partnership believes these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vessels acquired prior to their transfers to the Partnership.</w:t>
      </w:r>
    </w:p>
    <w:p>
      <w:pPr>
        <w:spacing w:after="0" w:line="197" w:lineRule="exact"/>
        <w:rPr>
          <w:sz w:val="20"/>
          <w:szCs w:val="20"/>
          <w:color w:val="auto"/>
        </w:rPr>
      </w:pPr>
    </w:p>
    <w:p>
      <w:pPr>
        <w:ind w:right="200"/>
        <w:spacing w:after="0" w:line="335" w:lineRule="auto"/>
        <w:rPr>
          <w:sz w:val="20"/>
          <w:szCs w:val="20"/>
          <w:color w:val="auto"/>
        </w:rPr>
      </w:pPr>
      <w:r>
        <w:rPr>
          <w:rFonts w:ascii="Arial" w:cs="Arial" w:eastAsia="Arial" w:hAnsi="Arial"/>
          <w:sz w:val="14"/>
          <w:szCs w:val="14"/>
          <w:color w:val="auto"/>
        </w:rPr>
        <w:t>Amounts reflected in the Partnership’s unaudited condensed consolidated financial statements for the three months ended March 31, 2019 are fully attributable to the Partnership. The Partnership Performance Results reported in the first quarter of 2019 are the same as the IFRS Common Control Reported Results for the respective period since there were no vessel acquisitions from GasLog during the quarter, which would have resulted in retrospective adjustment of the historical financial statements.</w:t>
      </w:r>
    </w:p>
    <w:p>
      <w:pPr>
        <w:spacing w:after="0" w:line="15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354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1"/>
              </w:rPr>
              <w:t>Partnership Performance Results</w:t>
            </w:r>
          </w:p>
        </w:tc>
      </w:tr>
      <w:tr>
        <w:trPr>
          <w:trHeight w:val="203"/>
        </w:trPr>
        <w:tc>
          <w:tcPr>
            <w:tcW w:w="7360" w:type="dxa"/>
            <w:vAlign w:val="bottom"/>
            <w:gridSpan w:val="2"/>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354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0"/>
              </w:rPr>
              <w:t>For the three months ended</w:t>
            </w:r>
          </w:p>
        </w:tc>
      </w:tr>
      <w:tr>
        <w:trPr>
          <w:trHeight w:val="213"/>
        </w:trPr>
        <w:tc>
          <w:tcPr>
            <w:tcW w:w="11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March 31, 2018</w:t>
            </w: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March 31, 2019</w:t>
            </w:r>
          </w:p>
        </w:tc>
      </w:tr>
      <w:tr>
        <w:trPr>
          <w:trHeight w:val="199"/>
        </w:trPr>
        <w:tc>
          <w:tcPr>
            <w:tcW w:w="73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77,061</w:t>
            </w:r>
          </w:p>
        </w:tc>
        <w:tc>
          <w:tcPr>
            <w:tcW w:w="22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60" w:type="dxa"/>
            <w:vAlign w:val="bottom"/>
            <w:gridSpan w:val="2"/>
          </w:tcPr>
          <w:p>
            <w:pPr>
              <w:spacing w:after="0"/>
              <w:rPr>
                <w:sz w:val="20"/>
                <w:szCs w:val="20"/>
                <w:color w:val="auto"/>
              </w:rPr>
            </w:pPr>
            <w:r>
              <w:rPr>
                <w:rFonts w:ascii="Arial" w:cs="Arial" w:eastAsia="Arial" w:hAnsi="Arial"/>
                <w:sz w:val="16"/>
                <w:szCs w:val="16"/>
                <w:color w:val="auto"/>
              </w:rPr>
              <w:t>Net pool allocation</w:t>
            </w: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8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(1,055)</w:t>
            </w:r>
          </w:p>
        </w:tc>
        <w:tc>
          <w:tcPr>
            <w:tcW w:w="1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60" w:type="dxa"/>
            <w:vAlign w:val="bottom"/>
            <w:gridSpan w:val="2"/>
          </w:tcPr>
          <w:p>
            <w:pPr>
              <w:spacing w:after="0"/>
              <w:rPr>
                <w:sz w:val="20"/>
                <w:szCs w:val="20"/>
                <w:color w:val="auto"/>
              </w:rPr>
            </w:pPr>
            <w:r>
              <w:rPr>
                <w:rFonts w:ascii="Arial" w:cs="Arial" w:eastAsia="Arial" w:hAnsi="Arial"/>
                <w:sz w:val="16"/>
                <w:szCs w:val="16"/>
                <w:color w:val="auto"/>
              </w:rPr>
              <w:t>Vessel operating costs</w:t>
            </w:r>
          </w:p>
        </w:tc>
        <w:tc>
          <w:tcPr>
            <w:tcW w:w="1860" w:type="dxa"/>
            <w:vAlign w:val="bottom"/>
            <w:gridSpan w:val="2"/>
          </w:tcPr>
          <w:p>
            <w:pPr>
              <w:jc w:val="right"/>
              <w:ind w:right="160"/>
              <w:spacing w:after="0"/>
              <w:rPr>
                <w:sz w:val="20"/>
                <w:szCs w:val="20"/>
                <w:color w:val="auto"/>
              </w:rPr>
            </w:pPr>
            <w:r>
              <w:rPr>
                <w:rFonts w:ascii="Arial" w:cs="Arial" w:eastAsia="Arial" w:hAnsi="Arial"/>
                <w:sz w:val="16"/>
                <w:szCs w:val="16"/>
                <w:color w:val="auto"/>
              </w:rPr>
              <w:t>(15,591)</w:t>
            </w:r>
          </w:p>
        </w:tc>
        <w:tc>
          <w:tcPr>
            <w:tcW w:w="1640" w:type="dxa"/>
            <w:vAlign w:val="bottom"/>
          </w:tcPr>
          <w:p>
            <w:pPr>
              <w:jc w:val="right"/>
              <w:spacing w:after="0"/>
              <w:rPr>
                <w:sz w:val="20"/>
                <w:szCs w:val="20"/>
                <w:color w:val="auto"/>
              </w:rPr>
            </w:pPr>
            <w:r>
              <w:rPr>
                <w:rFonts w:ascii="Arial" w:cs="Arial" w:eastAsia="Arial" w:hAnsi="Arial"/>
                <w:sz w:val="16"/>
                <w:szCs w:val="16"/>
                <w:color w:val="auto"/>
              </w:rPr>
              <w:t>(17,118)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Depreciation</w:t>
            </w:r>
          </w:p>
        </w:tc>
        <w:tc>
          <w:tcPr>
            <w:tcW w:w="18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(16,786)</w:t>
            </w:r>
          </w:p>
        </w:tc>
        <w:tc>
          <w:tcPr>
            <w:tcW w:w="1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6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1860" w:type="dxa"/>
            <w:vAlign w:val="bottom"/>
            <w:gridSpan w:val="2"/>
          </w:tcPr>
          <w:p>
            <w:pPr>
              <w:jc w:val="right"/>
              <w:ind w:right="160"/>
              <w:spacing w:after="0"/>
              <w:rPr>
                <w:sz w:val="20"/>
                <w:szCs w:val="20"/>
                <w:color w:val="auto"/>
              </w:rPr>
            </w:pPr>
            <w:r>
              <w:rPr>
                <w:rFonts w:ascii="Arial" w:cs="Arial" w:eastAsia="Arial" w:hAnsi="Arial"/>
                <w:sz w:val="16"/>
                <w:szCs w:val="16"/>
                <w:color w:val="auto"/>
              </w:rPr>
              <w:t>(4,585)</w:t>
            </w:r>
          </w:p>
        </w:tc>
        <w:tc>
          <w:tcPr>
            <w:tcW w:w="1640" w:type="dxa"/>
            <w:vAlign w:val="bottom"/>
          </w:tcPr>
          <w:p>
            <w:pPr>
              <w:jc w:val="right"/>
              <w:spacing w:after="0"/>
              <w:rPr>
                <w:sz w:val="20"/>
                <w:szCs w:val="20"/>
                <w:color w:val="auto"/>
              </w:rPr>
            </w:pPr>
            <w:r>
              <w:rPr>
                <w:rFonts w:ascii="Arial" w:cs="Arial" w:eastAsia="Arial" w:hAnsi="Arial"/>
                <w:sz w:val="16"/>
                <w:szCs w:val="16"/>
                <w:color w:val="auto"/>
              </w:rPr>
              <w:t>(4,598)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3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39,044</w:t>
            </w:r>
          </w:p>
        </w:tc>
        <w:tc>
          <w:tcPr>
            <w:tcW w:w="22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36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1640" w:type="dxa"/>
            <w:vAlign w:val="bottom"/>
          </w:tcPr>
          <w:p>
            <w:pPr>
              <w:jc w:val="right"/>
              <w:spacing w:after="0"/>
              <w:rPr>
                <w:sz w:val="20"/>
                <w:szCs w:val="20"/>
                <w:color w:val="auto"/>
              </w:rPr>
            </w:pPr>
            <w:r>
              <w:rPr>
                <w:rFonts w:ascii="Arial" w:cs="Arial" w:eastAsia="Arial" w:hAnsi="Arial"/>
                <w:sz w:val="16"/>
                <w:szCs w:val="16"/>
                <w:color w:val="auto"/>
              </w:rPr>
              <w:t>(13,888)</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(17,902)</w:t>
            </w:r>
          </w:p>
        </w:tc>
        <w:tc>
          <w:tcPr>
            <w:tcW w:w="40" w:type="dxa"/>
            <w:vAlign w:val="bottom"/>
            <w:gridSpan w:val="2"/>
          </w:tcPr>
          <w:p>
            <w:pPr>
              <w:spacing w:after="0"/>
              <w:rPr>
                <w:sz w:val="17"/>
                <w:szCs w:val="17"/>
                <w:color w:val="auto"/>
              </w:rPr>
            </w:pPr>
          </w:p>
        </w:tc>
      </w:tr>
      <w:tr>
        <w:trPr>
          <w:trHeight w:val="203"/>
        </w:trPr>
        <w:tc>
          <w:tcPr>
            <w:tcW w:w="7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8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519</w:t>
            </w:r>
          </w:p>
        </w:tc>
        <w:tc>
          <w:tcPr>
            <w:tcW w:w="1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60" w:type="dxa"/>
            <w:vAlign w:val="bottom"/>
            <w:gridSpan w:val="2"/>
          </w:tcPr>
          <w:p>
            <w:pPr>
              <w:spacing w:after="0"/>
              <w:rPr>
                <w:sz w:val="20"/>
                <w:szCs w:val="20"/>
                <w:color w:val="auto"/>
              </w:rPr>
            </w:pPr>
            <w:r>
              <w:rPr>
                <w:rFonts w:ascii="Arial" w:cs="Arial" w:eastAsia="Arial" w:hAnsi="Arial"/>
                <w:sz w:val="16"/>
                <w:szCs w:val="16"/>
                <w:color w:val="auto"/>
              </w:rPr>
              <w:t>Gain/(loss) on derivatives</w:t>
            </w: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6,327</w:t>
            </w:r>
          </w:p>
        </w:tc>
        <w:tc>
          <w:tcPr>
            <w:tcW w:w="1640" w:type="dxa"/>
            <w:vAlign w:val="bottom"/>
          </w:tcPr>
          <w:p>
            <w:pPr>
              <w:jc w:val="right"/>
              <w:spacing w:after="0"/>
              <w:rPr>
                <w:sz w:val="20"/>
                <w:szCs w:val="20"/>
                <w:color w:val="auto"/>
              </w:rPr>
            </w:pPr>
            <w:r>
              <w:rPr>
                <w:rFonts w:ascii="Arial" w:cs="Arial" w:eastAsia="Arial" w:hAnsi="Arial"/>
                <w:sz w:val="16"/>
                <w:szCs w:val="16"/>
                <w:color w:val="auto"/>
              </w:rPr>
              <w:t>(4,877)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3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(7,042)</w:t>
            </w:r>
          </w:p>
        </w:tc>
        <w:tc>
          <w:tcPr>
            <w:tcW w:w="22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(22,155)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360" w:type="dxa"/>
            <w:vAlign w:val="bottom"/>
            <w:gridSpan w:val="2"/>
          </w:tcPr>
          <w:p>
            <w:pPr>
              <w:spacing w:after="0"/>
              <w:rPr>
                <w:sz w:val="20"/>
                <w:szCs w:val="20"/>
                <w:color w:val="auto"/>
              </w:rPr>
            </w:pPr>
            <w:r>
              <w:rPr>
                <w:rFonts w:ascii="Arial" w:cs="Arial" w:eastAsia="Arial" w:hAnsi="Arial"/>
                <w:sz w:val="16"/>
                <w:szCs w:val="16"/>
                <w:b w:val="1"/>
                <w:bCs w:val="1"/>
                <w:color w:val="auto"/>
              </w:rPr>
              <w:t>Partnership’s profit for the period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32,002</w:t>
            </w:r>
          </w:p>
        </w:tc>
        <w:tc>
          <w:tcPr>
            <w:tcW w:w="22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5"/>
        </w:trPr>
        <w:tc>
          <w:tcPr>
            <w:tcW w:w="1180" w:type="dxa"/>
            <w:vAlign w:val="bottom"/>
            <w:tcBorders>
              <w:bottom w:val="single" w:sz="8" w:color="808080"/>
            </w:tcBorders>
          </w:tcPr>
          <w:p>
            <w:pPr>
              <w:spacing w:after="0"/>
              <w:rPr>
                <w:sz w:val="24"/>
                <w:szCs w:val="24"/>
                <w:color w:val="auto"/>
              </w:rPr>
            </w:pPr>
          </w:p>
        </w:tc>
        <w:tc>
          <w:tcPr>
            <w:tcW w:w="6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5400" w:type="dxa"/>
            <w:vAlign w:val="bottom"/>
            <w:gridSpan w:val="6"/>
          </w:tcPr>
          <w:p>
            <w:pPr>
              <w:ind w:left="1160"/>
              <w:spacing w:after="0"/>
              <w:rPr>
                <w:sz w:val="20"/>
                <w:szCs w:val="20"/>
                <w:color w:val="auto"/>
              </w:rPr>
            </w:pPr>
            <w:r>
              <w:rPr>
                <w:rFonts w:ascii="Arial" w:cs="Arial" w:eastAsia="Arial" w:hAnsi="Arial"/>
                <w:sz w:val="16"/>
                <w:szCs w:val="16"/>
                <w:b w:val="1"/>
                <w:bCs w:val="1"/>
                <w:color w:val="auto"/>
              </w:rPr>
              <w:t>For the three months ended March 31, 2018</w:t>
            </w:r>
          </w:p>
        </w:tc>
      </w:tr>
      <w:tr>
        <w:trPr>
          <w:trHeight w:val="203"/>
        </w:trPr>
        <w:tc>
          <w:tcPr>
            <w:tcW w:w="5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IFRS Common</w:t>
            </w: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9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Results attributable</w:t>
            </w:r>
          </w:p>
        </w:tc>
        <w:tc>
          <w:tcPr>
            <w:tcW w:w="18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Partnership</w:t>
            </w:r>
          </w:p>
        </w:tc>
        <w:tc>
          <w:tcPr>
            <w:tcW w:w="16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Control Reported</w:t>
            </w:r>
          </w:p>
        </w:tc>
      </w:tr>
      <w:tr>
        <w:trPr>
          <w:trHeight w:val="213"/>
        </w:trPr>
        <w:tc>
          <w:tcPr>
            <w:tcW w:w="5960" w:type="dxa"/>
            <w:vAlign w:val="bottom"/>
          </w:tcPr>
          <w:p>
            <w:pPr>
              <w:spacing w:after="0"/>
              <w:rPr>
                <w:sz w:val="18"/>
                <w:szCs w:val="18"/>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to GasLog</w:t>
            </w:r>
          </w:p>
        </w:tc>
        <w:tc>
          <w:tcPr>
            <w:tcW w:w="18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Performance Results</w:t>
            </w:r>
          </w:p>
        </w:tc>
        <w:tc>
          <w:tcPr>
            <w:tcW w:w="16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Results</w:t>
            </w:r>
          </w:p>
        </w:tc>
      </w:tr>
      <w:tr>
        <w:trPr>
          <w:trHeight w:val="199"/>
        </w:trPr>
        <w:tc>
          <w:tcPr>
            <w:tcW w:w="5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14,715</w:t>
            </w:r>
          </w:p>
        </w:tc>
        <w:tc>
          <w:tcPr>
            <w:tcW w:w="1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77,061</w:t>
            </w:r>
          </w:p>
        </w:tc>
        <w:tc>
          <w:tcPr>
            <w:tcW w:w="16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91,776</w:t>
            </w:r>
          </w:p>
        </w:tc>
        <w:tc>
          <w:tcPr>
            <w:tcW w:w="40" w:type="dxa"/>
            <w:vAlign w:val="bottom"/>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900" w:type="dxa"/>
            <w:vAlign w:val="bottom"/>
            <w:gridSpan w:val="2"/>
          </w:tcPr>
          <w:p>
            <w:pPr>
              <w:jc w:val="right"/>
              <w:ind w:right="120"/>
              <w:spacing w:after="0"/>
              <w:rPr>
                <w:sz w:val="20"/>
                <w:szCs w:val="20"/>
                <w:color w:val="auto"/>
              </w:rPr>
            </w:pPr>
            <w:r>
              <w:rPr>
                <w:rFonts w:ascii="Arial" w:cs="Arial" w:eastAsia="Arial" w:hAnsi="Arial"/>
                <w:sz w:val="16"/>
                <w:szCs w:val="16"/>
                <w:color w:val="auto"/>
              </w:rPr>
              <w:t>(184)</w:t>
            </w:r>
          </w:p>
        </w:tc>
        <w:tc>
          <w:tcPr>
            <w:tcW w:w="1860" w:type="dxa"/>
            <w:vAlign w:val="bottom"/>
            <w:gridSpan w:val="2"/>
          </w:tcPr>
          <w:p>
            <w:pPr>
              <w:jc w:val="right"/>
              <w:ind w:right="100"/>
              <w:spacing w:after="0"/>
              <w:rPr>
                <w:sz w:val="20"/>
                <w:szCs w:val="20"/>
                <w:color w:val="auto"/>
              </w:rPr>
            </w:pPr>
            <w:r>
              <w:rPr>
                <w:rFonts w:ascii="Arial" w:cs="Arial" w:eastAsia="Arial" w:hAnsi="Arial"/>
                <w:sz w:val="16"/>
                <w:szCs w:val="16"/>
                <w:color w:val="auto"/>
              </w:rPr>
              <w:t>(1,055)</w:t>
            </w:r>
          </w:p>
        </w:tc>
        <w:tc>
          <w:tcPr>
            <w:tcW w:w="1600" w:type="dxa"/>
            <w:vAlign w:val="bottom"/>
          </w:tcPr>
          <w:p>
            <w:pPr>
              <w:jc w:val="right"/>
              <w:spacing w:after="0"/>
              <w:rPr>
                <w:sz w:val="20"/>
                <w:szCs w:val="20"/>
                <w:color w:val="auto"/>
              </w:rPr>
            </w:pPr>
            <w:r>
              <w:rPr>
                <w:rFonts w:ascii="Arial" w:cs="Arial" w:eastAsia="Arial" w:hAnsi="Arial"/>
                <w:sz w:val="16"/>
                <w:szCs w:val="16"/>
                <w:color w:val="auto"/>
              </w:rPr>
              <w:t>(1,239)</w:t>
            </w:r>
          </w:p>
        </w:tc>
        <w:tc>
          <w:tcPr>
            <w:tcW w:w="40" w:type="dxa"/>
            <w:vAlign w:val="bottom"/>
          </w:tcPr>
          <w:p>
            <w:pPr>
              <w:spacing w:after="0"/>
              <w:rPr>
                <w:sz w:val="17"/>
                <w:szCs w:val="17"/>
                <w:color w:val="auto"/>
              </w:rPr>
            </w:pPr>
          </w:p>
        </w:tc>
      </w:tr>
      <w:tr>
        <w:trPr>
          <w:trHeight w:val="203"/>
        </w:trPr>
        <w:tc>
          <w:tcPr>
            <w:tcW w:w="596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1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(3,186)</w:t>
            </w:r>
          </w:p>
        </w:tc>
        <w:tc>
          <w:tcPr>
            <w:tcW w:w="18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(15,591)</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(18,777)</w:t>
            </w:r>
          </w:p>
        </w:tc>
        <w:tc>
          <w:tcPr>
            <w:tcW w:w="40" w:type="dxa"/>
            <w:vAlign w:val="bottom"/>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Depreciation</w:t>
            </w:r>
          </w:p>
        </w:tc>
        <w:tc>
          <w:tcPr>
            <w:tcW w:w="1900" w:type="dxa"/>
            <w:vAlign w:val="bottom"/>
            <w:gridSpan w:val="2"/>
          </w:tcPr>
          <w:p>
            <w:pPr>
              <w:jc w:val="right"/>
              <w:ind w:right="120"/>
              <w:spacing w:after="0"/>
              <w:rPr>
                <w:sz w:val="20"/>
                <w:szCs w:val="20"/>
                <w:color w:val="auto"/>
              </w:rPr>
            </w:pPr>
            <w:r>
              <w:rPr>
                <w:rFonts w:ascii="Arial" w:cs="Arial" w:eastAsia="Arial" w:hAnsi="Arial"/>
                <w:sz w:val="16"/>
                <w:szCs w:val="16"/>
                <w:color w:val="auto"/>
              </w:rPr>
              <w:t>(3,303)</w:t>
            </w:r>
          </w:p>
        </w:tc>
        <w:tc>
          <w:tcPr>
            <w:tcW w:w="1860" w:type="dxa"/>
            <w:vAlign w:val="bottom"/>
            <w:gridSpan w:val="2"/>
          </w:tcPr>
          <w:p>
            <w:pPr>
              <w:jc w:val="right"/>
              <w:ind w:right="100"/>
              <w:spacing w:after="0"/>
              <w:rPr>
                <w:sz w:val="20"/>
                <w:szCs w:val="20"/>
                <w:color w:val="auto"/>
              </w:rPr>
            </w:pPr>
            <w:r>
              <w:rPr>
                <w:rFonts w:ascii="Arial" w:cs="Arial" w:eastAsia="Arial" w:hAnsi="Arial"/>
                <w:sz w:val="16"/>
                <w:szCs w:val="16"/>
                <w:color w:val="auto"/>
              </w:rPr>
              <w:t>(16,786)</w:t>
            </w:r>
          </w:p>
        </w:tc>
        <w:tc>
          <w:tcPr>
            <w:tcW w:w="1600" w:type="dxa"/>
            <w:vAlign w:val="bottom"/>
          </w:tcPr>
          <w:p>
            <w:pPr>
              <w:jc w:val="right"/>
              <w:spacing w:after="0"/>
              <w:rPr>
                <w:sz w:val="20"/>
                <w:szCs w:val="20"/>
                <w:color w:val="auto"/>
              </w:rPr>
            </w:pPr>
            <w:r>
              <w:rPr>
                <w:rFonts w:ascii="Arial" w:cs="Arial" w:eastAsia="Arial" w:hAnsi="Arial"/>
                <w:sz w:val="16"/>
                <w:szCs w:val="16"/>
                <w:color w:val="auto"/>
              </w:rPr>
              <w:t>(20,089)</w:t>
            </w:r>
          </w:p>
        </w:tc>
        <w:tc>
          <w:tcPr>
            <w:tcW w:w="40" w:type="dxa"/>
            <w:vAlign w:val="bottom"/>
          </w:tcPr>
          <w:p>
            <w:pPr>
              <w:spacing w:after="0"/>
              <w:rPr>
                <w:sz w:val="17"/>
                <w:szCs w:val="17"/>
                <w:color w:val="auto"/>
              </w:rPr>
            </w:pPr>
          </w:p>
        </w:tc>
      </w:tr>
      <w:tr>
        <w:trPr>
          <w:trHeight w:val="203"/>
        </w:trPr>
        <w:tc>
          <w:tcPr>
            <w:tcW w:w="596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(207)</w:t>
            </w:r>
          </w:p>
        </w:tc>
        <w:tc>
          <w:tcPr>
            <w:tcW w:w="18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(4,585)</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(4,792)</w:t>
            </w:r>
          </w:p>
        </w:tc>
        <w:tc>
          <w:tcPr>
            <w:tcW w:w="40" w:type="dxa"/>
            <w:vAlign w:val="bottom"/>
          </w:tcPr>
          <w:p>
            <w:pPr>
              <w:spacing w:after="0"/>
              <w:rPr>
                <w:sz w:val="17"/>
                <w:szCs w:val="17"/>
                <w:color w:val="auto"/>
              </w:rPr>
            </w:pPr>
          </w:p>
        </w:tc>
      </w:tr>
      <w:tr>
        <w:trPr>
          <w:trHeight w:val="196"/>
        </w:trPr>
        <w:tc>
          <w:tcPr>
            <w:tcW w:w="5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7,835</w:t>
            </w:r>
          </w:p>
        </w:tc>
        <w:tc>
          <w:tcPr>
            <w:tcW w:w="18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39,044</w:t>
            </w:r>
          </w:p>
        </w:tc>
        <w:tc>
          <w:tcPr>
            <w:tcW w:w="160" w:type="dxa"/>
            <w:vAlign w:val="bottom"/>
            <w:tcBorders>
              <w:bottom w:val="single" w:sz="8" w:color="E5FFFF"/>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46,879</w:t>
            </w:r>
          </w:p>
        </w:tc>
        <w:tc>
          <w:tcPr>
            <w:tcW w:w="40" w:type="dxa"/>
            <w:vAlign w:val="bottom"/>
          </w:tcPr>
          <w:p>
            <w:pPr>
              <w:spacing w:after="0"/>
              <w:rPr>
                <w:sz w:val="17"/>
                <w:szCs w:val="17"/>
                <w:color w:val="auto"/>
              </w:rPr>
            </w:pPr>
          </w:p>
        </w:tc>
      </w:tr>
      <w:tr>
        <w:trPr>
          <w:trHeight w:val="196"/>
        </w:trPr>
        <w:tc>
          <w:tcPr>
            <w:tcW w:w="59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(2,552)</w:t>
            </w:r>
          </w:p>
        </w:tc>
        <w:tc>
          <w:tcPr>
            <w:tcW w:w="18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(13,888)</w:t>
            </w:r>
          </w:p>
        </w:tc>
        <w:tc>
          <w:tcPr>
            <w:tcW w:w="16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(16,440)</w:t>
            </w:r>
          </w:p>
        </w:tc>
        <w:tc>
          <w:tcPr>
            <w:tcW w:w="40" w:type="dxa"/>
            <w:vAlign w:val="bottom"/>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Financial income</w:t>
            </w:r>
          </w:p>
        </w:tc>
        <w:tc>
          <w:tcPr>
            <w:tcW w:w="172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519</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526</w:t>
            </w:r>
          </w:p>
        </w:tc>
        <w:tc>
          <w:tcPr>
            <w:tcW w:w="40" w:type="dxa"/>
            <w:vAlign w:val="bottom"/>
          </w:tcPr>
          <w:p>
            <w:pPr>
              <w:spacing w:after="0"/>
              <w:rPr>
                <w:sz w:val="17"/>
                <w:szCs w:val="17"/>
                <w:color w:val="auto"/>
              </w:rPr>
            </w:pPr>
          </w:p>
        </w:tc>
      </w:tr>
      <w:tr>
        <w:trPr>
          <w:trHeight w:val="203"/>
        </w:trPr>
        <w:tc>
          <w:tcPr>
            <w:tcW w:w="5960" w:type="dxa"/>
            <w:vAlign w:val="bottom"/>
            <w:shd w:val="clear" w:color="auto" w:fill="E5FFFF"/>
          </w:tcPr>
          <w:p>
            <w:pPr>
              <w:spacing w:after="0"/>
              <w:rPr>
                <w:sz w:val="20"/>
                <w:szCs w:val="20"/>
                <w:color w:val="auto"/>
              </w:rPr>
            </w:pPr>
            <w:r>
              <w:rPr>
                <w:rFonts w:ascii="Arial" w:cs="Arial" w:eastAsia="Arial" w:hAnsi="Arial"/>
                <w:sz w:val="16"/>
                <w:szCs w:val="16"/>
                <w:color w:val="auto"/>
              </w:rPr>
              <w:t>Gain on derivatives</w:t>
            </w:r>
          </w:p>
        </w:tc>
        <w:tc>
          <w:tcPr>
            <w:tcW w:w="190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6,327</w:t>
            </w:r>
          </w:p>
        </w:tc>
        <w:tc>
          <w:tcPr>
            <w:tcW w:w="16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6,327</w:t>
            </w:r>
          </w:p>
        </w:tc>
        <w:tc>
          <w:tcPr>
            <w:tcW w:w="40" w:type="dxa"/>
            <w:vAlign w:val="bottom"/>
          </w:tcPr>
          <w:p>
            <w:pPr>
              <w:spacing w:after="0"/>
              <w:rPr>
                <w:sz w:val="17"/>
                <w:szCs w:val="17"/>
                <w:color w:val="auto"/>
              </w:rPr>
            </w:pPr>
          </w:p>
        </w:tc>
      </w:tr>
      <w:tr>
        <w:trPr>
          <w:trHeight w:val="196"/>
        </w:trPr>
        <w:tc>
          <w:tcPr>
            <w:tcW w:w="5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(2,545)</w:t>
            </w:r>
          </w:p>
        </w:tc>
        <w:tc>
          <w:tcPr>
            <w:tcW w:w="18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(7,042)</w:t>
            </w:r>
          </w:p>
        </w:tc>
        <w:tc>
          <w:tcPr>
            <w:tcW w:w="160" w:type="dxa"/>
            <w:vAlign w:val="bottom"/>
            <w:tcBorders>
              <w:bottom w:val="single" w:sz="8" w:color="E5FFFF"/>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(9,587)</w:t>
            </w:r>
          </w:p>
        </w:tc>
        <w:tc>
          <w:tcPr>
            <w:tcW w:w="40" w:type="dxa"/>
            <w:vAlign w:val="bottom"/>
          </w:tcPr>
          <w:p>
            <w:pPr>
              <w:spacing w:after="0"/>
              <w:rPr>
                <w:sz w:val="17"/>
                <w:szCs w:val="17"/>
                <w:color w:val="auto"/>
              </w:rPr>
            </w:pPr>
          </w:p>
        </w:tc>
      </w:tr>
      <w:tr>
        <w:trPr>
          <w:trHeight w:val="196"/>
        </w:trPr>
        <w:tc>
          <w:tcPr>
            <w:tcW w:w="59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5,290</w:t>
            </w:r>
          </w:p>
        </w:tc>
        <w:tc>
          <w:tcPr>
            <w:tcW w:w="18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32,002</w:t>
            </w:r>
          </w:p>
        </w:tc>
        <w:tc>
          <w:tcPr>
            <w:tcW w:w="160" w:type="dxa"/>
            <w:vAlign w:val="bottom"/>
            <w:tcBorders>
              <w:bottom w:val="single" w:sz="8" w:color="E5FFFF"/>
            </w:tcBorders>
            <w:shd w:val="clear" w:color="auto" w:fill="E5FFFF"/>
          </w:tcPr>
          <w:p>
            <w:pPr>
              <w:spacing w:after="0"/>
              <w:rPr>
                <w:sz w:val="17"/>
                <w:szCs w:val="17"/>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37,292</w:t>
            </w:r>
          </w:p>
        </w:tc>
        <w:tc>
          <w:tcPr>
            <w:tcW w:w="4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5400" w:type="dxa"/>
            <w:vAlign w:val="bottom"/>
            <w:gridSpan w:val="8"/>
          </w:tcPr>
          <w:p>
            <w:pPr>
              <w:ind w:left="1160"/>
              <w:spacing w:after="0"/>
              <w:rPr>
                <w:sz w:val="20"/>
                <w:szCs w:val="20"/>
                <w:color w:val="auto"/>
              </w:rPr>
            </w:pPr>
            <w:r>
              <w:rPr>
                <w:rFonts w:ascii="Arial" w:cs="Arial" w:eastAsia="Arial" w:hAnsi="Arial"/>
                <w:sz w:val="16"/>
                <w:szCs w:val="16"/>
                <w:b w:val="1"/>
                <w:bCs w:val="1"/>
                <w:color w:val="auto"/>
              </w:rPr>
              <w:t>For the three months ended March 31, 2019</w:t>
            </w:r>
          </w:p>
        </w:tc>
      </w:tr>
      <w:tr>
        <w:trPr>
          <w:trHeight w:val="203"/>
        </w:trPr>
        <w:tc>
          <w:tcPr>
            <w:tcW w:w="5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IFRS Common</w:t>
            </w: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560" w:type="dxa"/>
            <w:vAlign w:val="bottom"/>
          </w:tcPr>
          <w:p>
            <w:pPr>
              <w:jc w:val="center"/>
              <w:ind w:left="79"/>
              <w:spacing w:after="0"/>
              <w:rPr>
                <w:sz w:val="20"/>
                <w:szCs w:val="20"/>
                <w:color w:val="auto"/>
              </w:rPr>
            </w:pPr>
            <w:r>
              <w:rPr>
                <w:rFonts w:ascii="Arial" w:cs="Arial" w:eastAsia="Arial" w:hAnsi="Arial"/>
                <w:sz w:val="16"/>
                <w:szCs w:val="16"/>
                <w:b w:val="1"/>
                <w:bCs w:val="1"/>
                <w:color w:val="auto"/>
                <w:w w:val="91"/>
              </w:rPr>
              <w:t>Results attributable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Partnership</w:t>
            </w:r>
          </w:p>
        </w:tc>
        <w:tc>
          <w:tcPr>
            <w:tcW w:w="16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Control Reported</w:t>
            </w:r>
          </w:p>
        </w:tc>
      </w:tr>
      <w:tr>
        <w:trPr>
          <w:trHeight w:val="213"/>
        </w:trPr>
        <w:tc>
          <w:tcPr>
            <w:tcW w:w="5960" w:type="dxa"/>
            <w:vAlign w:val="bottom"/>
          </w:tcPr>
          <w:p>
            <w:pPr>
              <w:spacing w:after="0"/>
              <w:rPr>
                <w:sz w:val="18"/>
                <w:szCs w:val="18"/>
                <w:color w:val="auto"/>
              </w:rPr>
            </w:pPr>
          </w:p>
        </w:tc>
        <w:tc>
          <w:tcPr>
            <w:tcW w:w="1560" w:type="dxa"/>
            <w:vAlign w:val="bottom"/>
          </w:tcPr>
          <w:p>
            <w:pPr>
              <w:jc w:val="center"/>
              <w:ind w:left="79"/>
              <w:spacing w:after="0"/>
              <w:rPr>
                <w:sz w:val="20"/>
                <w:szCs w:val="20"/>
                <w:color w:val="auto"/>
              </w:rPr>
            </w:pPr>
            <w:r>
              <w:rPr>
                <w:rFonts w:ascii="Arial" w:cs="Arial" w:eastAsia="Arial" w:hAnsi="Arial"/>
                <w:sz w:val="16"/>
                <w:szCs w:val="16"/>
                <w:b w:val="1"/>
                <w:bCs w:val="1"/>
                <w:color w:val="auto"/>
                <w:w w:val="90"/>
              </w:rPr>
              <w:t>to GasLog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Performance Results</w:t>
            </w:r>
          </w:p>
        </w:tc>
        <w:tc>
          <w:tcPr>
            <w:tcW w:w="16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6"/>
              </w:rPr>
              <w:t>Results</w:t>
            </w:r>
          </w:p>
        </w:tc>
      </w:tr>
      <w:tr>
        <w:trPr>
          <w:trHeight w:val="199"/>
        </w:trPr>
        <w:tc>
          <w:tcPr>
            <w:tcW w:w="5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560" w:type="dxa"/>
            <w:vAlign w:val="bottom"/>
            <w:tcBorders>
              <w:top w:val="single" w:sz="8" w:color="auto"/>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w w:val="87"/>
              </w:rPr>
              <w:t>—</w:t>
            </w:r>
          </w:p>
        </w:tc>
        <w:tc>
          <w:tcPr>
            <w:tcW w:w="1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16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Net pool allocation</w:t>
            </w:r>
          </w:p>
        </w:tc>
        <w:tc>
          <w:tcPr>
            <w:tcW w:w="15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560" w:type="dxa"/>
            <w:vAlign w:val="bottom"/>
            <w:shd w:val="clear" w:color="auto" w:fill="E5FFFF"/>
          </w:tcPr>
          <w:p>
            <w:pPr>
              <w:spacing w:after="0"/>
              <w:rPr>
                <w:sz w:val="17"/>
                <w:szCs w:val="17"/>
                <w:color w:val="auto"/>
              </w:rPr>
            </w:pPr>
          </w:p>
        </w:tc>
        <w:tc>
          <w:tcPr>
            <w:tcW w:w="3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(1,742)</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5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6"/>
                <w:szCs w:val="16"/>
                <w:color w:val="auto"/>
              </w:rPr>
              <w:t>(17,118)</w:t>
            </w:r>
          </w:p>
        </w:tc>
        <w:tc>
          <w:tcPr>
            <w:tcW w:w="1600" w:type="dxa"/>
            <w:vAlign w:val="bottom"/>
          </w:tcPr>
          <w:p>
            <w:pPr>
              <w:jc w:val="right"/>
              <w:spacing w:after="0"/>
              <w:rPr>
                <w:sz w:val="20"/>
                <w:szCs w:val="20"/>
                <w:color w:val="auto"/>
              </w:rPr>
            </w:pPr>
            <w:r>
              <w:rPr>
                <w:rFonts w:ascii="Arial" w:cs="Arial" w:eastAsia="Arial" w:hAnsi="Arial"/>
                <w:sz w:val="16"/>
                <w:szCs w:val="16"/>
                <w:color w:val="auto"/>
              </w:rPr>
              <w:t>(17,118)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560" w:type="dxa"/>
            <w:vAlign w:val="bottom"/>
            <w:shd w:val="clear" w:color="auto" w:fill="E5FFFF"/>
          </w:tcPr>
          <w:p>
            <w:pPr>
              <w:spacing w:after="0"/>
              <w:rPr>
                <w:sz w:val="17"/>
                <w:szCs w:val="17"/>
                <w:color w:val="auto"/>
              </w:rPr>
            </w:pPr>
          </w:p>
        </w:tc>
        <w:tc>
          <w:tcPr>
            <w:tcW w:w="3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(20,380)</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5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6"/>
                <w:szCs w:val="16"/>
                <w:color w:val="auto"/>
              </w:rPr>
              <w:t>(4,598)</w:t>
            </w:r>
          </w:p>
        </w:tc>
        <w:tc>
          <w:tcPr>
            <w:tcW w:w="1600" w:type="dxa"/>
            <w:vAlign w:val="bottom"/>
          </w:tcPr>
          <w:p>
            <w:pPr>
              <w:jc w:val="right"/>
              <w:spacing w:after="0"/>
              <w:rPr>
                <w:sz w:val="20"/>
                <w:szCs w:val="20"/>
                <w:color w:val="auto"/>
              </w:rPr>
            </w:pPr>
            <w:r>
              <w:rPr>
                <w:rFonts w:ascii="Arial" w:cs="Arial" w:eastAsia="Arial" w:hAnsi="Arial"/>
                <w:sz w:val="16"/>
                <w:szCs w:val="16"/>
                <w:color w:val="auto"/>
              </w:rPr>
              <w:t>(4,598)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560" w:type="dxa"/>
            <w:vAlign w:val="bottom"/>
            <w:tcBorders>
              <w:top w:val="single" w:sz="8" w:color="auto"/>
              <w:bottom w:val="single" w:sz="8" w:color="auto"/>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6"/>
                <w:szCs w:val="16"/>
                <w:color w:val="auto"/>
                <w:w w:val="87"/>
              </w:rPr>
              <w:t>—</w:t>
            </w:r>
          </w:p>
        </w:tc>
        <w:tc>
          <w:tcPr>
            <w:tcW w:w="1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42,521</w:t>
            </w:r>
          </w:p>
        </w:tc>
        <w:tc>
          <w:tcPr>
            <w:tcW w:w="16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960" w:type="dxa"/>
            <w:vAlign w:val="bottom"/>
          </w:tcPr>
          <w:p>
            <w:pPr>
              <w:spacing w:after="0"/>
              <w:rPr>
                <w:sz w:val="20"/>
                <w:szCs w:val="20"/>
                <w:color w:val="auto"/>
              </w:rPr>
            </w:pPr>
            <w:r>
              <w:rPr>
                <w:rFonts w:ascii="Arial" w:cs="Arial" w:eastAsia="Arial" w:hAnsi="Arial"/>
                <w:sz w:val="16"/>
                <w:szCs w:val="16"/>
                <w:color w:val="auto"/>
              </w:rPr>
              <w:t>Financial costs</w:t>
            </w:r>
          </w:p>
        </w:tc>
        <w:tc>
          <w:tcPr>
            <w:tcW w:w="15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(17,902)</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(17,902)</w:t>
            </w:r>
          </w:p>
        </w:tc>
        <w:tc>
          <w:tcPr>
            <w:tcW w:w="40" w:type="dxa"/>
            <w:vAlign w:val="bottom"/>
            <w:gridSpan w:val="2"/>
          </w:tcPr>
          <w:p>
            <w:pPr>
              <w:spacing w:after="0"/>
              <w:rPr>
                <w:sz w:val="17"/>
                <w:szCs w:val="17"/>
                <w:color w:val="auto"/>
              </w:rPr>
            </w:pPr>
          </w:p>
        </w:tc>
      </w:tr>
      <w:tr>
        <w:trPr>
          <w:trHeight w:val="203"/>
        </w:trPr>
        <w:tc>
          <w:tcPr>
            <w:tcW w:w="59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560" w:type="dxa"/>
            <w:vAlign w:val="bottom"/>
            <w:shd w:val="clear" w:color="auto" w:fill="E5FFFF"/>
          </w:tcPr>
          <w:p>
            <w:pPr>
              <w:spacing w:after="0"/>
              <w:rPr>
                <w:sz w:val="17"/>
                <w:szCs w:val="17"/>
                <w:color w:val="auto"/>
              </w:rPr>
            </w:pPr>
          </w:p>
        </w:tc>
        <w:tc>
          <w:tcPr>
            <w:tcW w:w="3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624</w:t>
            </w:r>
          </w:p>
        </w:tc>
        <w:tc>
          <w:tcPr>
            <w:tcW w:w="160" w:type="dxa"/>
            <w:vAlign w:val="bottom"/>
            <w:shd w:val="clear" w:color="auto" w:fill="E5FFFF"/>
          </w:tcPr>
          <w:p>
            <w:pPr>
              <w:spacing w:after="0"/>
              <w:rPr>
                <w:sz w:val="17"/>
                <w:szCs w:val="17"/>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Loss on derivatives</w:t>
            </w:r>
          </w:p>
        </w:tc>
        <w:tc>
          <w:tcPr>
            <w:tcW w:w="15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6"/>
                <w:szCs w:val="16"/>
                <w:color w:val="auto"/>
              </w:rPr>
              <w:t>(4,877)</w:t>
            </w:r>
          </w:p>
        </w:tc>
        <w:tc>
          <w:tcPr>
            <w:tcW w:w="1600" w:type="dxa"/>
            <w:vAlign w:val="bottom"/>
          </w:tcPr>
          <w:p>
            <w:pPr>
              <w:jc w:val="right"/>
              <w:spacing w:after="0"/>
              <w:rPr>
                <w:sz w:val="20"/>
                <w:szCs w:val="20"/>
                <w:color w:val="auto"/>
              </w:rPr>
            </w:pPr>
            <w:r>
              <w:rPr>
                <w:rFonts w:ascii="Arial" w:cs="Arial" w:eastAsia="Arial" w:hAnsi="Arial"/>
                <w:sz w:val="16"/>
                <w:szCs w:val="16"/>
                <w:color w:val="auto"/>
              </w:rPr>
              <w:t>(4,877)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560" w:type="dxa"/>
            <w:vAlign w:val="bottom"/>
            <w:tcBorders>
              <w:top w:val="single" w:sz="8" w:color="auto"/>
              <w:bottom w:val="single" w:sz="8" w:color="auto"/>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6"/>
                <w:szCs w:val="16"/>
                <w:color w:val="auto"/>
                <w:w w:val="87"/>
              </w:rPr>
              <w:t>—</w:t>
            </w:r>
          </w:p>
        </w:tc>
        <w:tc>
          <w:tcPr>
            <w:tcW w:w="18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(22,155)</w:t>
            </w:r>
          </w:p>
        </w:tc>
        <w:tc>
          <w:tcPr>
            <w:tcW w:w="16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(22,155)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96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16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4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2"/>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3"/>
    </w:lvl>
  </w:abstractNum>
  <w:abstractNum w:abstractNumId="19">
    <w:nsid w:val="2D1D5AE9"/>
    <w:multiLevelType w:val="hybridMultilevel"/>
    <w:lvl w:ilvl="0">
      <w:lvlJc w:val="left"/>
      <w:lvlText w:val="(%1)"/>
      <w:numFmt w:val="lowerLetter"/>
      <w:start w:val="3"/>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1)"/>
      <w:numFmt w:val="lowerRoman"/>
      <w:start w:val="3"/>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2019-12-03T06:08:44Z</dcterms:created>
  <dcterms:modified xsi:type="dcterms:W3CDTF">2019-12-03T06:08:44Z</dcterms:modified>
</cp:coreProperties>
</file>