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19"/>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72390</wp:posOffset>
            </wp:positionH>
            <wp:positionV relativeFrom="page">
              <wp:posOffset>72390</wp:posOffset>
            </wp:positionV>
            <wp:extent cx="762508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3619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144780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UNITED STATES</w:t>
      </w:r>
    </w:p>
    <w:p>
      <w:pPr>
        <w:spacing w:after="0" w:line="34" w:lineRule="exact"/>
        <w:rPr>
          <w:sz w:val="24"/>
          <w:szCs w:val="24"/>
          <w:color w:val="auto"/>
        </w:rPr>
      </w:pPr>
    </w:p>
    <w:p>
      <w:pPr>
        <w:jc w:val="center"/>
        <w:ind w:right="-1319"/>
        <w:spacing w:after="0"/>
        <w:rPr>
          <w:sz w:val="20"/>
          <w:szCs w:val="20"/>
          <w:color w:val="auto"/>
        </w:rPr>
      </w:pPr>
      <w:r>
        <w:rPr>
          <w:rFonts w:ascii="Arial" w:cs="Arial" w:eastAsia="Arial" w:hAnsi="Arial"/>
          <w:sz w:val="34"/>
          <w:szCs w:val="34"/>
          <w:b w:val="1"/>
          <w:bCs w:val="1"/>
          <w:color w:val="auto"/>
        </w:rPr>
        <w:t>SECURITIES AND EXCHANGE COMMISSION</w:t>
      </w:r>
    </w:p>
    <w:p>
      <w:pPr>
        <w:spacing w:after="0" w:line="1"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Washington, D.C. 20549</w:t>
      </w:r>
    </w:p>
    <w:p>
      <w:pPr>
        <w:spacing w:after="0" w:line="191" w:lineRule="exact"/>
        <w:rPr>
          <w:sz w:val="24"/>
          <w:szCs w:val="24"/>
          <w:color w:val="auto"/>
        </w:rPr>
      </w:pPr>
    </w:p>
    <w:p>
      <w:pPr>
        <w:jc w:val="center"/>
        <w:ind w:right="-1319"/>
        <w:spacing w:after="0"/>
        <w:rPr>
          <w:sz w:val="20"/>
          <w:szCs w:val="20"/>
          <w:color w:val="auto"/>
        </w:rPr>
      </w:pPr>
      <w:r>
        <w:rPr>
          <w:rFonts w:ascii="Arial" w:cs="Arial" w:eastAsia="Arial" w:hAnsi="Arial"/>
          <w:sz w:val="34"/>
          <w:szCs w:val="34"/>
          <w:b w:val="1"/>
          <w:bCs w:val="1"/>
          <w:color w:val="auto"/>
        </w:rPr>
        <w:t>Form 6-K</w:t>
      </w:r>
    </w:p>
    <w:p>
      <w:pPr>
        <w:spacing w:after="0" w:line="238" w:lineRule="exact"/>
        <w:rPr>
          <w:sz w:val="24"/>
          <w:szCs w:val="24"/>
          <w:color w:val="auto"/>
        </w:rPr>
      </w:pPr>
    </w:p>
    <w:p>
      <w:pPr>
        <w:jc w:val="center"/>
        <w:ind w:right="-1319"/>
        <w:spacing w:after="0"/>
        <w:rPr>
          <w:sz w:val="20"/>
          <w:szCs w:val="20"/>
          <w:color w:val="auto"/>
        </w:rPr>
      </w:pPr>
      <w:r>
        <w:rPr>
          <w:rFonts w:ascii="Arial" w:cs="Arial" w:eastAsia="Arial" w:hAnsi="Arial"/>
          <w:sz w:val="22"/>
          <w:szCs w:val="22"/>
          <w:b w:val="1"/>
          <w:bCs w:val="1"/>
          <w:color w:val="auto"/>
        </w:rPr>
        <w:t>REPORT OF FOREIGN PRIVATE ISSUER PURSUANT TO RULE 13a-16 OR</w:t>
      </w:r>
    </w:p>
    <w:p>
      <w:pPr>
        <w:spacing w:after="0" w:line="30" w:lineRule="exact"/>
        <w:rPr>
          <w:sz w:val="24"/>
          <w:szCs w:val="24"/>
          <w:color w:val="auto"/>
        </w:rPr>
      </w:pPr>
    </w:p>
    <w:p>
      <w:pPr>
        <w:jc w:val="center"/>
        <w:ind w:right="-1319"/>
        <w:spacing w:after="0"/>
        <w:rPr>
          <w:sz w:val="20"/>
          <w:szCs w:val="20"/>
          <w:color w:val="auto"/>
        </w:rPr>
      </w:pPr>
      <w:r>
        <w:rPr>
          <w:rFonts w:ascii="Arial" w:cs="Arial" w:eastAsia="Arial" w:hAnsi="Arial"/>
          <w:sz w:val="23"/>
          <w:szCs w:val="23"/>
          <w:b w:val="1"/>
          <w:bCs w:val="1"/>
          <w:color w:val="auto"/>
        </w:rPr>
        <w:t>15d-16 UNDER THE SECURITIES EXCHANGE ACT OF 1934</w:t>
      </w:r>
    </w:p>
    <w:p>
      <w:pPr>
        <w:spacing w:after="0" w:line="20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For the month of March 2019.</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Commission File Number 001-36433</w:t>
      </w:r>
    </w:p>
    <w:p>
      <w:pPr>
        <w:spacing w:after="0" w:line="213" w:lineRule="exact"/>
        <w:rPr>
          <w:sz w:val="24"/>
          <w:szCs w:val="24"/>
          <w:color w:val="auto"/>
        </w:rPr>
      </w:pPr>
    </w:p>
    <w:p>
      <w:pPr>
        <w:jc w:val="center"/>
        <w:ind w:right="-1319"/>
        <w:spacing w:after="0"/>
        <w:rPr>
          <w:sz w:val="20"/>
          <w:szCs w:val="20"/>
          <w:color w:val="auto"/>
        </w:rPr>
      </w:pPr>
      <w:r>
        <w:rPr>
          <w:rFonts w:ascii="Arial" w:cs="Arial" w:eastAsia="Arial" w:hAnsi="Arial"/>
          <w:sz w:val="34"/>
          <w:szCs w:val="34"/>
          <w:b w:val="1"/>
          <w:bCs w:val="1"/>
          <w:color w:val="auto"/>
        </w:rPr>
        <w:t>GasLog Partners LP</w:t>
      </w:r>
    </w:p>
    <w:p>
      <w:pPr>
        <w:spacing w:after="0" w:line="41" w:lineRule="exact"/>
        <w:rPr>
          <w:sz w:val="24"/>
          <w:szCs w:val="24"/>
          <w:color w:val="auto"/>
        </w:rPr>
      </w:pPr>
    </w:p>
    <w:p>
      <w:pPr>
        <w:jc w:val="center"/>
        <w:ind w:right="-1319"/>
        <w:spacing w:after="0"/>
        <w:rPr>
          <w:sz w:val="20"/>
          <w:szCs w:val="20"/>
          <w:color w:val="auto"/>
        </w:rPr>
      </w:pPr>
      <w:r>
        <w:rPr>
          <w:rFonts w:ascii="Arial" w:cs="Arial" w:eastAsia="Arial" w:hAnsi="Arial"/>
          <w:sz w:val="19"/>
          <w:szCs w:val="19"/>
          <w:color w:val="auto"/>
        </w:rPr>
        <w:t>(Translation of registrant’s name into English)</w:t>
      </w:r>
    </w:p>
    <w:p>
      <w:pPr>
        <w:spacing w:after="0" w:line="216"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c/o GasLog Monaco S.A.M.</w:t>
      </w:r>
    </w:p>
    <w:p>
      <w:pPr>
        <w:spacing w:after="0" w:line="29"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Gildo Pastor Center</w:t>
      </w:r>
    </w:p>
    <w:p>
      <w:pPr>
        <w:spacing w:after="0" w:line="10"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7 Rue du Gabian</w:t>
      </w:r>
    </w:p>
    <w:p>
      <w:pPr>
        <w:spacing w:after="0" w:line="10"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MC 98000, Monaco</w:t>
      </w:r>
    </w:p>
    <w:p>
      <w:pPr>
        <w:spacing w:after="0" w:line="10" w:lineRule="exact"/>
        <w:rPr>
          <w:sz w:val="24"/>
          <w:szCs w:val="24"/>
          <w:color w:val="auto"/>
        </w:rPr>
      </w:pPr>
    </w:p>
    <w:p>
      <w:pPr>
        <w:jc w:val="center"/>
        <w:ind w:right="-1319"/>
        <w:spacing w:after="0"/>
        <w:rPr>
          <w:sz w:val="20"/>
          <w:szCs w:val="20"/>
          <w:color w:val="auto"/>
        </w:rPr>
      </w:pPr>
      <w:r>
        <w:rPr>
          <w:rFonts w:ascii="Arial" w:cs="Arial" w:eastAsia="Arial" w:hAnsi="Arial"/>
          <w:sz w:val="19"/>
          <w:szCs w:val="19"/>
          <w:color w:val="auto"/>
        </w:rPr>
        <w:t>(Address of principal executive office)</w:t>
      </w:r>
    </w:p>
    <w:p>
      <w:pPr>
        <w:spacing w:after="0" w:line="225" w:lineRule="exact"/>
        <w:rPr>
          <w:sz w:val="24"/>
          <w:szCs w:val="24"/>
          <w:color w:val="auto"/>
        </w:rPr>
      </w:pPr>
    </w:p>
    <w:p>
      <w:pPr>
        <w:ind w:right="1720"/>
        <w:spacing w:after="0" w:line="501" w:lineRule="auto"/>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 Form 20-F x Form 40-F o</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4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625080" cy="36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36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464185</wp:posOffset>
            </wp:positionV>
            <wp:extent cx="7646670" cy="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680"/>
          </w:cols>
          <w:pgMar w:left="120" w:top="425" w:right="1440" w:bottom="1440" w:gutter="0" w:footer="0" w:header="0"/>
        </w:sectPr>
      </w:pPr>
    </w:p>
    <w:bookmarkStart w:id="1" w:name="page2"/>
    <w:bookmarkEnd w:id="1"/>
    <w:p>
      <w:pPr>
        <w:ind w:right="320"/>
        <w:spacing w:after="0" w:line="275" w:lineRule="auto"/>
        <w:rPr>
          <w:sz w:val="20"/>
          <w:szCs w:val="20"/>
          <w:color w:val="auto"/>
        </w:rPr>
      </w:pPr>
      <w:r>
        <w:rPr>
          <w:rFonts w:ascii="Arial" w:cs="Arial" w:eastAsia="Arial" w:hAnsi="Arial"/>
          <w:sz w:val="19"/>
          <w:szCs w:val="19"/>
          <w:color w:val="auto"/>
        </w:rPr>
        <w:t>The press release issued by GasLog Partners LP and GasLog Ltd on March 8, 2019 announcing GasLog Partners LP’s acquisition of the GasLog Glasgow from GasLog Ltd. for $214 Million is included as Exhibit 99.1 and is incorporated herein by reference.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40" w:type="dxa"/>
            <w:vAlign w:val="bottom"/>
          </w:tcPr>
          <w:p>
            <w:pPr>
              <w:jc w:val="center"/>
              <w:ind w:right="1474"/>
              <w:spacing w:after="0"/>
              <w:rPr>
                <w:sz w:val="20"/>
                <w:szCs w:val="20"/>
                <w:color w:val="auto"/>
              </w:rPr>
            </w:pPr>
            <w:r>
              <w:rPr>
                <w:rFonts w:ascii="Arial" w:cs="Arial" w:eastAsia="Arial" w:hAnsi="Arial"/>
                <w:sz w:val="19"/>
                <w:szCs w:val="19"/>
                <w:color w:val="auto"/>
              </w:rPr>
              <w:t>EXHIBIT LIST</w:t>
            </w:r>
          </w:p>
        </w:tc>
        <w:tc>
          <w:tcPr>
            <w:tcW w:w="40" w:type="dxa"/>
            <w:vAlign w:val="bottom"/>
          </w:tcPr>
          <w:p>
            <w:pPr>
              <w:spacing w:after="0"/>
              <w:rPr>
                <w:sz w:val="20"/>
                <w:szCs w:val="20"/>
                <w:color w:val="auto"/>
              </w:rPr>
            </w:pPr>
          </w:p>
        </w:tc>
      </w:tr>
      <w:tr>
        <w:trPr>
          <w:trHeight w:val="386"/>
        </w:trPr>
        <w:tc>
          <w:tcPr>
            <w:tcW w:w="12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Exhibit</w:t>
            </w:r>
          </w:p>
        </w:tc>
        <w:tc>
          <w:tcPr>
            <w:tcW w:w="360" w:type="dxa"/>
            <w:vAlign w:val="bottom"/>
          </w:tcPr>
          <w:p>
            <w:pPr>
              <w:spacing w:after="0"/>
              <w:rPr>
                <w:sz w:val="24"/>
                <w:szCs w:val="24"/>
                <w:color w:val="auto"/>
              </w:rPr>
            </w:pPr>
          </w:p>
        </w:tc>
        <w:tc>
          <w:tcPr>
            <w:tcW w:w="10440" w:type="dxa"/>
            <w:vAlign w:val="bottom"/>
            <w:tcBorders>
              <w:bottom w:val="single" w:sz="8" w:color="auto"/>
            </w:tcBorders>
          </w:tcPr>
          <w:p>
            <w:pPr>
              <w:ind w:left="4840"/>
              <w:spacing w:after="0"/>
              <w:rPr>
                <w:sz w:val="20"/>
                <w:szCs w:val="20"/>
                <w:color w:val="auto"/>
              </w:rPr>
            </w:pPr>
            <w:r>
              <w:rPr>
                <w:rFonts w:ascii="Arial" w:cs="Arial" w:eastAsia="Arial" w:hAnsi="Arial"/>
                <w:sz w:val="15"/>
                <w:szCs w:val="15"/>
                <w:b w:val="1"/>
                <w:bCs w:val="1"/>
                <w:color w:val="auto"/>
              </w:rPr>
              <w:t>Description</w:t>
            </w:r>
          </w:p>
        </w:tc>
        <w:tc>
          <w:tcPr>
            <w:tcW w:w="40" w:type="dxa"/>
            <w:vAlign w:val="bottom"/>
          </w:tcPr>
          <w:p>
            <w:pPr>
              <w:spacing w:after="0"/>
              <w:rPr>
                <w:sz w:val="24"/>
                <w:szCs w:val="24"/>
                <w:color w:val="auto"/>
              </w:rPr>
            </w:pPr>
          </w:p>
        </w:tc>
      </w:tr>
      <w:tr>
        <w:trPr>
          <w:trHeight w:val="450"/>
        </w:trPr>
        <w:tc>
          <w:tcPr>
            <w:tcW w:w="1200" w:type="dxa"/>
            <w:vAlign w:val="bottom"/>
          </w:tcPr>
          <w:p>
            <w:pPr>
              <w:spacing w:after="0"/>
              <w:rPr>
                <w:sz w:val="20"/>
                <w:szCs w:val="20"/>
                <w:color w:val="auto"/>
              </w:rPr>
            </w:pPr>
            <w:r>
              <w:rPr>
                <w:rFonts w:ascii="Arial" w:cs="Arial" w:eastAsia="Arial" w:hAnsi="Arial"/>
                <w:sz w:val="19"/>
                <w:szCs w:val="19"/>
                <w:color w:val="auto"/>
              </w:rPr>
              <w:t>99.1</w:t>
            </w:r>
          </w:p>
        </w:tc>
        <w:tc>
          <w:tcPr>
            <w:tcW w:w="10800" w:type="dxa"/>
            <w:vAlign w:val="bottom"/>
            <w:gridSpan w:val="2"/>
          </w:tcPr>
          <w:p>
            <w:pPr>
              <w:ind w:left="360"/>
              <w:spacing w:after="0"/>
              <w:rPr>
                <w:sz w:val="20"/>
                <w:szCs w:val="20"/>
                <w:color w:val="auto"/>
              </w:rPr>
            </w:pPr>
            <w:r>
              <w:rPr>
                <w:rFonts w:ascii="Arial" w:cs="Arial" w:eastAsia="Arial" w:hAnsi="Arial"/>
                <w:sz w:val="19"/>
                <w:szCs w:val="19"/>
                <w:color w:val="auto"/>
              </w:rPr>
              <w:t>Press Release dated March 8, 2019</w:t>
            </w:r>
          </w:p>
        </w:tc>
        <w:tc>
          <w:tcPr>
            <w:tcW w:w="40" w:type="dxa"/>
            <w:vAlign w:val="bottom"/>
          </w:tcPr>
          <w:p>
            <w:pPr>
              <w:spacing w:after="0"/>
              <w:rPr>
                <w:sz w:val="24"/>
                <w:szCs w:val="24"/>
                <w:color w:val="auto"/>
              </w:rPr>
            </w:pPr>
          </w:p>
        </w:tc>
      </w:tr>
      <w:tr>
        <w:trPr>
          <w:trHeight w:val="456"/>
        </w:trPr>
        <w:tc>
          <w:tcPr>
            <w:tcW w:w="1200" w:type="dxa"/>
            <w:vAlign w:val="bottom"/>
          </w:tcPr>
          <w:p>
            <w:pPr>
              <w:spacing w:after="0"/>
              <w:rPr>
                <w:sz w:val="24"/>
                <w:szCs w:val="24"/>
                <w:color w:val="auto"/>
              </w:rPr>
            </w:pPr>
          </w:p>
        </w:tc>
        <w:tc>
          <w:tcPr>
            <w:tcW w:w="10800" w:type="dxa"/>
            <w:vAlign w:val="bottom"/>
            <w:gridSpan w:val="2"/>
          </w:tcPr>
          <w:p>
            <w:pPr>
              <w:jc w:val="right"/>
              <w:ind w:right="5874"/>
              <w:spacing w:after="0"/>
              <w:rPr>
                <w:sz w:val="20"/>
                <w:szCs w:val="20"/>
                <w:color w:val="auto"/>
              </w:rPr>
            </w:pPr>
            <w:r>
              <w:rPr>
                <w:rFonts w:ascii="Arial" w:cs="Arial" w:eastAsia="Arial" w:hAnsi="Arial"/>
                <w:sz w:val="19"/>
                <w:szCs w:val="19"/>
                <w:color w:val="auto"/>
              </w:rPr>
              <w:t>2</w:t>
            </w:r>
          </w:p>
        </w:tc>
        <w:tc>
          <w:tcPr>
            <w:tcW w:w="40" w:type="dxa"/>
            <w:vAlign w:val="bottom"/>
          </w:tcPr>
          <w:p>
            <w:pPr>
              <w:spacing w:after="0"/>
              <w:rPr>
                <w:sz w:val="24"/>
                <w:szCs w:val="24"/>
                <w:color w:val="auto"/>
              </w:rPr>
            </w:pPr>
          </w:p>
        </w:tc>
      </w:tr>
      <w:tr>
        <w:trPr>
          <w:trHeight w:val="141"/>
        </w:trPr>
        <w:tc>
          <w:tcPr>
            <w:tcW w:w="120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04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3" w:right="80"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9"/>
          <w:szCs w:val="19"/>
          <w:b w:val="1"/>
          <w:bCs w:val="1"/>
          <w:color w:val="auto"/>
        </w:rPr>
        <w:t>SIGNATURES</w:t>
      </w:r>
    </w:p>
    <w:p>
      <w:pPr>
        <w:spacing w:after="0" w:line="244" w:lineRule="exact"/>
        <w:rPr>
          <w:sz w:val="20"/>
          <w:szCs w:val="20"/>
          <w:color w:val="auto"/>
        </w:rPr>
      </w:pPr>
    </w:p>
    <w:p>
      <w:pPr>
        <w:ind w:firstLine="523"/>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Date: March 8, 2019</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GASLOG PARTNERS LP,</w:t>
      </w:r>
    </w:p>
    <w:p>
      <w:pPr>
        <w:spacing w:after="0" w:line="225" w:lineRule="exact"/>
        <w:rPr>
          <w:sz w:val="20"/>
          <w:szCs w:val="20"/>
          <w:color w:val="auto"/>
        </w:rPr>
      </w:pPr>
    </w:p>
    <w:p>
      <w:pPr>
        <w:ind w:left="6420"/>
        <w:spacing w:after="0"/>
        <w:tabs>
          <w:tab w:leader="none" w:pos="6800" w:val="left"/>
        </w:tabs>
        <w:rPr>
          <w:sz w:val="20"/>
          <w:szCs w:val="20"/>
          <w:color w:val="auto"/>
        </w:rPr>
      </w:pPr>
      <w:r>
        <w:rPr>
          <w:rFonts w:ascii="Arial" w:cs="Arial" w:eastAsia="Arial" w:hAnsi="Arial"/>
          <w:sz w:val="19"/>
          <w:szCs w:val="19"/>
          <w:color w:val="auto"/>
        </w:rPr>
        <w:t>by</w:t>
        <w:tab/>
        <w:t>/s/ Andrew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15240</wp:posOffset>
            </wp:positionV>
            <wp:extent cx="3296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96285" cy="8890"/>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9"/>
          <w:szCs w:val="19"/>
          <w:color w:val="auto"/>
        </w:rPr>
        <w:t>Name: Andrew Orekar</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9"/>
          <w:szCs w:val="19"/>
          <w:color w:val="auto"/>
        </w:rPr>
        <w:t>Title:  Chief Executive Officer</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60"/>
          </w:cols>
          <w:pgMar w:left="120" w:top="207" w:right="760"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99.1</w:t>
      </w:r>
    </w:p>
    <w:p>
      <w:pPr>
        <w:spacing w:after="0" w:line="218"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u w:val="single" w:color="auto"/>
          <w:color w:val="auto"/>
        </w:rPr>
        <w:t>Press Release</w:t>
      </w:r>
    </w:p>
    <w:p>
      <w:pPr>
        <w:spacing w:after="0" w:line="238"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 xml:space="preserve">GasLog Partners LP Announces Acquisition Of The </w:t>
      </w:r>
      <w:r>
        <w:rPr>
          <w:rFonts w:ascii="Arial" w:cs="Arial" w:eastAsia="Arial" w:hAnsi="Arial"/>
          <w:sz w:val="19"/>
          <w:szCs w:val="19"/>
          <w:b w:val="1"/>
          <w:bCs w:val="1"/>
          <w:i w:val="1"/>
          <w:iCs w:val="1"/>
          <w:color w:val="auto"/>
        </w:rPr>
        <w:t>GasLog Glasgow</w:t>
      </w:r>
      <w:r>
        <w:rPr>
          <w:rFonts w:ascii="Arial" w:cs="Arial" w:eastAsia="Arial" w:hAnsi="Arial"/>
          <w:sz w:val="19"/>
          <w:szCs w:val="19"/>
          <w:b w:val="1"/>
          <w:bCs w:val="1"/>
          <w:color w:val="auto"/>
        </w:rPr>
        <w:t xml:space="preserve"> From GasLog Ltd. For $214 Million</w:t>
      </w:r>
    </w:p>
    <w:p>
      <w:pPr>
        <w:spacing w:after="0" w:line="238" w:lineRule="exact"/>
        <w:rPr>
          <w:sz w:val="20"/>
          <w:szCs w:val="20"/>
          <w:color w:val="auto"/>
        </w:rPr>
      </w:pPr>
    </w:p>
    <w:p>
      <w:pPr>
        <w:ind w:left="6" w:right="120"/>
        <w:spacing w:after="0" w:line="258" w:lineRule="auto"/>
        <w:rPr>
          <w:sz w:val="20"/>
          <w:szCs w:val="20"/>
          <w:color w:val="auto"/>
        </w:rPr>
      </w:pPr>
      <w:r>
        <w:rPr>
          <w:rFonts w:ascii="Arial" w:cs="Arial" w:eastAsia="Arial" w:hAnsi="Arial"/>
          <w:sz w:val="19"/>
          <w:szCs w:val="19"/>
          <w:b w:val="1"/>
          <w:bCs w:val="1"/>
          <w:color w:val="auto"/>
        </w:rPr>
        <w:t xml:space="preserve">MONACO — March 8, 2019 — </w:t>
      </w:r>
      <w:r>
        <w:rPr>
          <w:rFonts w:ascii="Arial" w:cs="Arial" w:eastAsia="Arial" w:hAnsi="Arial"/>
          <w:sz w:val="19"/>
          <w:szCs w:val="19"/>
          <w:color w:val="auto"/>
        </w:rPr>
        <w:t>GasLog Partners LP (NYSE:GLOP) (“GasLog Partners” or the “Partnership”) and GasLog Ltd. (NYSE:GLOG)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(“GasLog”) announced today that the Boards of Directors of both companies and the Conflicts Committee of GasLog Partners have approved entering into an agreement for the Partnership to purchase from GasLog 100% of the shares in the entity that owns and charters the </w:t>
      </w:r>
      <w:r>
        <w:rPr>
          <w:rFonts w:ascii="Arial" w:cs="Arial" w:eastAsia="Arial" w:hAnsi="Arial"/>
          <w:sz w:val="19"/>
          <w:szCs w:val="19"/>
          <w:i w:val="1"/>
          <w:iCs w:val="1"/>
          <w:color w:val="auto"/>
        </w:rPr>
        <w:t>GasLog Glasgow</w:t>
      </w:r>
      <w:r>
        <w:rPr>
          <w:rFonts w:ascii="Arial" w:cs="Arial" w:eastAsia="Arial" w:hAnsi="Arial"/>
          <w:sz w:val="19"/>
          <w:szCs w:val="19"/>
          <w:color w:val="auto"/>
        </w:rPr>
        <w:t xml:space="preserve"> (the “Acquisition”). The aggregate purchase price for the Acquisition will be $214 million, which includes $1 million for positive net working capital balances to be transferred with the vessel.</w:t>
      </w:r>
    </w:p>
    <w:p>
      <w:pPr>
        <w:spacing w:after="0" w:line="201" w:lineRule="exact"/>
        <w:rPr>
          <w:sz w:val="20"/>
          <w:szCs w:val="20"/>
          <w:color w:val="auto"/>
        </w:rPr>
      </w:pPr>
    </w:p>
    <w:p>
      <w:pPr>
        <w:jc w:val="both"/>
        <w:ind w:left="6" w:right="80"/>
        <w:spacing w:after="0" w:line="280" w:lineRule="auto"/>
        <w:rPr>
          <w:sz w:val="20"/>
          <w:szCs w:val="20"/>
          <w:color w:val="auto"/>
        </w:rPr>
      </w:pPr>
      <w:r>
        <w:rPr>
          <w:rFonts w:ascii="Arial" w:cs="Arial" w:eastAsia="Arial" w:hAnsi="Arial"/>
          <w:sz w:val="17"/>
          <w:szCs w:val="17"/>
          <w:color w:val="auto"/>
        </w:rPr>
        <w:t xml:space="preserve">The Partnership believes that the Acquisition will be immediately accretive to distributable cash flow per unit and is consistent with its strategy to grow cash distributions through drop-downs and third-party acquisitions. GasLog Partners estimates that the </w:t>
      </w:r>
      <w:r>
        <w:rPr>
          <w:rFonts w:ascii="Arial" w:cs="Arial" w:eastAsia="Arial" w:hAnsi="Arial"/>
          <w:sz w:val="17"/>
          <w:szCs w:val="17"/>
          <w:i w:val="1"/>
          <w:iCs w:val="1"/>
          <w:color w:val="auto"/>
        </w:rPr>
        <w:t>GasLog Glasgow</w:t>
      </w:r>
      <w:r>
        <w:rPr>
          <w:rFonts w:ascii="Arial" w:cs="Arial" w:eastAsia="Arial" w:hAnsi="Arial"/>
          <w:sz w:val="17"/>
          <w:szCs w:val="17"/>
          <w:color w:val="auto"/>
        </w:rPr>
        <w:t xml:space="preserve"> will add approximately $23.5 million to EBITDA</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in the first 12 months after closing. Accordingly, the Acquisition purchase price represents a multiple of approximately 9.1x estimated EBITDA. Upon closing, the Acquisition will be supportive of GasLog Partners’ guidance of 2% to 4% year-on-year distribution growth in 2019.</w:t>
      </w:r>
    </w:p>
    <w:p>
      <w:pPr>
        <w:spacing w:after="0" w:line="175" w:lineRule="exact"/>
        <w:rPr>
          <w:sz w:val="20"/>
          <w:szCs w:val="20"/>
          <w:color w:val="auto"/>
        </w:rPr>
      </w:pPr>
    </w:p>
    <w:p>
      <w:pPr>
        <w:ind w:left="6" w:right="20"/>
        <w:spacing w:after="0" w:line="263"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i w:val="1"/>
          <w:iCs w:val="1"/>
          <w:color w:val="auto"/>
        </w:rPr>
        <w:t>GasLog Glasgow</w:t>
      </w:r>
      <w:r>
        <w:rPr>
          <w:rFonts w:ascii="Arial" w:cs="Arial" w:eastAsia="Arial" w:hAnsi="Arial"/>
          <w:sz w:val="19"/>
          <w:szCs w:val="19"/>
          <w:color w:val="auto"/>
        </w:rPr>
        <w:t xml:space="preserve"> is a 174,000 cubic meter tri-fuel diesel electric liquefied natural gas (“LNG”) carrier built in 2016 and operated by GasLog since delivery. The vessel is currently on a multi-year time charter with a wholly owned subsidiary of Royal Dutch Shell plc (“Shell”) through June 2026. Shell has the option to extend the charter for a period of five years.</w:t>
      </w:r>
    </w:p>
    <w:p>
      <w:pPr>
        <w:spacing w:after="0" w:line="194" w:lineRule="exact"/>
        <w:rPr>
          <w:sz w:val="20"/>
          <w:szCs w:val="20"/>
          <w:color w:val="auto"/>
        </w:rPr>
      </w:pPr>
    </w:p>
    <w:p>
      <w:pPr>
        <w:jc w:val="both"/>
        <w:ind w:left="6" w:right="340"/>
        <w:spacing w:after="0" w:line="259" w:lineRule="auto"/>
        <w:rPr>
          <w:sz w:val="20"/>
          <w:szCs w:val="20"/>
          <w:color w:val="auto"/>
        </w:rPr>
      </w:pPr>
      <w:r>
        <w:rPr>
          <w:rFonts w:ascii="Arial" w:cs="Arial" w:eastAsia="Arial" w:hAnsi="Arial"/>
          <w:sz w:val="19"/>
          <w:szCs w:val="19"/>
          <w:color w:val="auto"/>
        </w:rPr>
        <w:t xml:space="preserve">Andy Orekar, Chief Executive Officer of GasLog Partners, stated, “I am very pleased to announce the accretive acquisition of the </w:t>
      </w:r>
      <w:r>
        <w:rPr>
          <w:rFonts w:ascii="Arial" w:cs="Arial" w:eastAsia="Arial" w:hAnsi="Arial"/>
          <w:sz w:val="19"/>
          <w:szCs w:val="19"/>
          <w:i w:val="1"/>
          <w:iCs w:val="1"/>
          <w:color w:val="auto"/>
        </w:rPr>
        <w:t>GasLog Glasgow</w:t>
      </w:r>
      <w:r>
        <w:rPr>
          <w:rFonts w:ascii="Arial" w:cs="Arial" w:eastAsia="Arial" w:hAnsi="Arial"/>
          <w:sz w:val="19"/>
          <w:szCs w:val="19"/>
          <w:color w:val="auto"/>
        </w:rPr>
        <w:t>. This 2016-built vessel is highly complementary to our strategy and its charter to Shell provides over seven years of stable cash flows at attractive fixed charter terms. The Acquisition will expand the Partnership’s fleet to 15 wholly owned LNG carriers, significantly grow our contracted EBITDA and increase our contracted days to approximately 92% for 2019 and 74% for 2020.”</w:t>
      </w:r>
    </w:p>
    <w:p>
      <w:pPr>
        <w:spacing w:after="0" w:line="198" w:lineRule="exact"/>
        <w:rPr>
          <w:sz w:val="20"/>
          <w:szCs w:val="20"/>
          <w:color w:val="auto"/>
        </w:rPr>
      </w:pPr>
    </w:p>
    <w:p>
      <w:pPr>
        <w:ind w:left="6" w:right="20"/>
        <w:spacing w:after="0" w:line="256" w:lineRule="auto"/>
        <w:rPr>
          <w:sz w:val="20"/>
          <w:szCs w:val="20"/>
          <w:color w:val="auto"/>
        </w:rPr>
      </w:pPr>
      <w:r>
        <w:rPr>
          <w:rFonts w:ascii="Arial" w:cs="Arial" w:eastAsia="Arial" w:hAnsi="Arial"/>
          <w:sz w:val="19"/>
          <w:szCs w:val="19"/>
          <w:color w:val="auto"/>
        </w:rPr>
        <w:t>Paul Wogan, Chief Executive Officer of GasLog, stated, “We continue to execute on our strategy of dropping vessels into GasLog Partners in order to recycle capital back to GasLog to fund our capital programme. In turn, this leads to further growth opportunities for the Partnership. Since the inception of the Partnership in 2014 — when we had a dropdown pipeline of 12 vessels with multi-year charters — we have sold 12 vessels to the Partnership. Today, our pipeline of future growth opportunities for GasLog Partners is 11 vessels. With the equity recycled to GasLog, we remain solidly on track to deliver on our target to more than double our consolidated run-rate EBITDA by 2022.”</w:t>
      </w:r>
    </w:p>
    <w:p>
      <w:pPr>
        <w:spacing w:after="0" w:line="204" w:lineRule="exact"/>
        <w:rPr>
          <w:sz w:val="20"/>
          <w:szCs w:val="20"/>
          <w:color w:val="auto"/>
        </w:rPr>
      </w:pPr>
    </w:p>
    <w:p>
      <w:pPr>
        <w:ind w:left="6" w:right="460"/>
        <w:spacing w:after="0" w:line="259" w:lineRule="auto"/>
        <w:rPr>
          <w:sz w:val="20"/>
          <w:szCs w:val="20"/>
          <w:color w:val="auto"/>
        </w:rPr>
      </w:pPr>
      <w:r>
        <w:rPr>
          <w:rFonts w:ascii="Arial" w:cs="Arial" w:eastAsia="Arial" w:hAnsi="Arial"/>
          <w:sz w:val="19"/>
          <w:szCs w:val="19"/>
          <w:color w:val="auto"/>
        </w:rPr>
        <w:t xml:space="preserve">GasLog Partners expects to finance the Acquisition from its available sources of liquidity, including proceeds from its 8.500% Series C Cumulative Redeemable Perpetual Fixed to Floating Rate Preference Units issued in November 2018, and the assumption of the </w:t>
      </w:r>
      <w:r>
        <w:rPr>
          <w:rFonts w:ascii="Arial" w:cs="Arial" w:eastAsia="Arial" w:hAnsi="Arial"/>
          <w:sz w:val="19"/>
          <w:szCs w:val="19"/>
          <w:i w:val="1"/>
          <w:iCs w:val="1"/>
          <w:color w:val="auto"/>
        </w:rPr>
        <w:t>GasLog Glasgow’s</w:t>
      </w:r>
      <w:r>
        <w:rPr>
          <w:rFonts w:ascii="Arial" w:cs="Arial" w:eastAsia="Arial" w:hAnsi="Arial"/>
          <w:sz w:val="19"/>
          <w:szCs w:val="19"/>
          <w:color w:val="auto"/>
        </w:rPr>
        <w:t xml:space="preserve"> $134 million of existing debt. The Acquisition is expected to close early in the second quarter of 2019 and is subject to the satisfaction of certain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19291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86" w:hanging="186"/>
        <w:spacing w:after="0"/>
        <w:tabs>
          <w:tab w:leader="none" w:pos="186" w:val="left"/>
        </w:tabs>
        <w:numPr>
          <w:ilvl w:val="0"/>
          <w:numId w:val="1"/>
        </w:numPr>
        <w:rPr>
          <w:rFonts w:ascii="Arial" w:cs="Arial" w:eastAsia="Arial" w:hAnsi="Arial"/>
          <w:sz w:val="22"/>
          <w:szCs w:val="22"/>
          <w:color w:val="auto"/>
          <w:vertAlign w:val="superscript"/>
        </w:rPr>
      </w:pPr>
      <w:r>
        <w:rPr>
          <w:rFonts w:ascii="Arial" w:cs="Arial" w:eastAsia="Arial" w:hAnsi="Arial"/>
          <w:sz w:val="17"/>
          <w:szCs w:val="17"/>
          <w:color w:val="auto"/>
        </w:rPr>
        <w:t>EBITDA is a non-GAAP financial measure. Please refer to Exhibit I for guidance on the underlying assumptions used to derive EBITDA.</w:t>
      </w:r>
    </w:p>
    <w:p>
      <w:pPr>
        <w:spacing w:after="0" w:line="209" w:lineRule="exact"/>
        <w:rPr>
          <w:sz w:val="20"/>
          <w:szCs w:val="20"/>
          <w:color w:val="auto"/>
        </w:rPr>
      </w:pPr>
    </w:p>
    <w:p>
      <w:pPr>
        <w:ind w:left="6"/>
        <w:spacing w:after="0"/>
        <w:rPr>
          <w:sz w:val="20"/>
          <w:szCs w:val="20"/>
          <w:color w:val="auto"/>
        </w:rPr>
      </w:pPr>
      <w:r>
        <w:rPr>
          <w:rFonts w:ascii="Arial" w:cs="Arial" w:eastAsia="Arial" w:hAnsi="Arial"/>
          <w:sz w:val="19"/>
          <w:szCs w:val="19"/>
          <w:b w:val="1"/>
          <w:bCs w:val="1"/>
          <w:u w:val="single" w:color="auto"/>
          <w:color w:val="auto"/>
        </w:rPr>
        <w:t>About GasLog Partners</w:t>
      </w:r>
    </w:p>
    <w:p>
      <w:pPr>
        <w:spacing w:after="0" w:line="244" w:lineRule="exact"/>
        <w:rPr>
          <w:sz w:val="20"/>
          <w:szCs w:val="20"/>
          <w:color w:val="auto"/>
        </w:rPr>
      </w:pPr>
    </w:p>
    <w:p>
      <w:pPr>
        <w:ind w:left="6" w:right="100"/>
        <w:spacing w:after="0" w:line="259" w:lineRule="auto"/>
        <w:rPr>
          <w:sz w:val="20"/>
          <w:szCs w:val="20"/>
          <w:color w:val="auto"/>
        </w:rPr>
      </w:pPr>
      <w:r>
        <w:rPr>
          <w:rFonts w:ascii="Arial" w:cs="Arial" w:eastAsia="Arial" w:hAnsi="Arial"/>
          <w:sz w:val="19"/>
          <w:szCs w:val="19"/>
          <w:color w:val="auto"/>
        </w:rPr>
        <w:t>GasLog Partners is a growth-oriented master limited partnership focused on owning, operating and acquiring LNG carriers under multi-year charters. Upon closing of the Acquisition, GasLog Partners’ fleet will consist of 15 LNG carriers with an average carrying capacity of approximately 158,000 cbm. GasLog Partners’ principal executive offices are located at Gildo Pastor Center, 7 Rue du Gabian, MC 98000, Monaco. Visit the GasLog Partners website at http://www.gaslogmlp.com.</w:t>
      </w:r>
    </w:p>
    <w:p>
      <w:pPr>
        <w:spacing w:after="0" w:line="192" w:lineRule="exact"/>
        <w:rPr>
          <w:sz w:val="20"/>
          <w:szCs w:val="20"/>
          <w:color w:val="auto"/>
        </w:rPr>
      </w:pPr>
    </w:p>
    <w:p>
      <w:pPr>
        <w:ind w:left="6"/>
        <w:spacing w:after="0"/>
        <w:rPr>
          <w:sz w:val="20"/>
          <w:szCs w:val="20"/>
          <w:color w:val="auto"/>
        </w:rPr>
      </w:pPr>
      <w:r>
        <w:rPr>
          <w:rFonts w:ascii="Arial" w:cs="Arial" w:eastAsia="Arial" w:hAnsi="Arial"/>
          <w:sz w:val="19"/>
          <w:szCs w:val="19"/>
          <w:b w:val="1"/>
          <w:bCs w:val="1"/>
          <w:u w:val="single" w:color="auto"/>
          <w:color w:val="auto"/>
        </w:rPr>
        <w:t>About GasLog</w:t>
      </w:r>
    </w:p>
    <w:p>
      <w:pPr>
        <w:spacing w:after="0" w:line="244" w:lineRule="exact"/>
        <w:rPr>
          <w:sz w:val="20"/>
          <w:szCs w:val="20"/>
          <w:color w:val="auto"/>
        </w:rPr>
      </w:pPr>
    </w:p>
    <w:p>
      <w:pPr>
        <w:ind w:left="6" w:right="160"/>
        <w:spacing w:after="0" w:line="274"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owned fleet consists of 34 LNG carriers (25 ships on the water and 9 on order). GasLog also has an additional LNG carrier which was sold to a subsidiary of Mitsui Co. Ltd. and leased back under a long-term bareboat charter. Upon closing of the Acquisition, GasLog’s consolidated fleet will include 15 LNG carriers in operation owned by GasLog’s subsidiary, GasLog Partners. GasLog’s principal executive offices are at Gildo Pastor Center, 7 Rue du Gabian, MC 98000, Monaco. Visit GasLog’s website at http://www.gaslogltd.com.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198755</wp:posOffset>
            </wp:positionV>
            <wp:extent cx="7646670" cy="31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0" w:right="120" w:bottom="144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u w:val="single" w:color="auto"/>
          <w:color w:val="auto"/>
        </w:rPr>
        <w:t>Forward-Looking Statements</w:t>
      </w:r>
    </w:p>
    <w:p>
      <w:pPr>
        <w:spacing w:after="0" w:line="244"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press release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Factors that might cause future results and outcomes to differ include, but are not limited to, the following:</w:t>
      </w:r>
    </w:p>
    <w:p>
      <w:pPr>
        <w:spacing w:after="0" w:line="238" w:lineRule="exact"/>
        <w:rPr>
          <w:sz w:val="20"/>
          <w:szCs w:val="20"/>
          <w:color w:val="auto"/>
        </w:rPr>
      </w:pPr>
    </w:p>
    <w:p>
      <w:pPr>
        <w:ind w:left="680" w:hanging="344"/>
        <w:spacing w:after="0" w:line="257" w:lineRule="auto"/>
        <w:tabs>
          <w:tab w:leader="none" w:pos="642" w:val="left"/>
        </w:tabs>
        <w:numPr>
          <w:ilvl w:val="0"/>
          <w:numId w:val="2"/>
        </w:numPr>
        <w:rPr>
          <w:rFonts w:ascii="Arial" w:cs="Arial" w:eastAsia="Arial" w:hAnsi="Arial"/>
          <w:sz w:val="19"/>
          <w:szCs w:val="19"/>
          <w:color w:val="auto"/>
        </w:rPr>
      </w:pPr>
      <w:r>
        <w:rPr>
          <w:rFonts w:ascii="Arial" w:cs="Arial" w:eastAsia="Arial" w:hAnsi="Arial"/>
          <w:sz w:val="19"/>
          <w:szCs w:val="19"/>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fluctuations in spot and multi-year charter hire rates and vessel values;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increased exposure to the spot market and fluctuations in spot charter rates;</w:t>
      </w:r>
    </w:p>
    <w:p>
      <w:pPr>
        <w:spacing w:after="0" w:line="9" w:lineRule="exact"/>
        <w:rPr>
          <w:rFonts w:ascii="Arial" w:cs="Arial" w:eastAsia="Arial" w:hAnsi="Arial"/>
          <w:sz w:val="19"/>
          <w:szCs w:val="19"/>
          <w:color w:val="auto"/>
        </w:rPr>
      </w:pPr>
    </w:p>
    <w:p>
      <w:pPr>
        <w:ind w:left="680" w:right="440" w:hanging="344"/>
        <w:spacing w:after="0" w:line="250" w:lineRule="auto"/>
        <w:tabs>
          <w:tab w:leader="none" w:pos="642"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ability to maximize the use of our vessels, including the re-deployment or disposition of vessels which are not under multi-year charters, including the risk that certain of our vessels may no longer have the latest technology which may impact the rate at which we can charter such vessels;</w:t>
      </w:r>
    </w:p>
    <w:p>
      <w:pPr>
        <w:spacing w:after="0" w:line="1"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changes in our operating expenses, including crew wages, maintenance, dry-docking and insurance costs and bunker prices;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number of off-hire days and dry-docking requirements including our ability to complete scheduled dry-dockings on time and within budget;</w:t>
      </w:r>
    </w:p>
    <w:p>
      <w:pPr>
        <w:spacing w:after="0" w:line="21" w:lineRule="exact"/>
        <w:rPr>
          <w:rFonts w:ascii="Arial" w:cs="Arial" w:eastAsia="Arial" w:hAnsi="Arial"/>
          <w:sz w:val="18"/>
          <w:szCs w:val="18"/>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planned capital expenditures and availability of capital resources to fund capital expenditures;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ability to maintain long term relationships and enter into time charters with new and existing customers;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fluctuations in prices for crude oil, petroleum products and natural gas, including LNG;</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changes in the ownership of our charterers;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customers’ performance of their obligations under our time charters and other contracts;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future operating performance and expenses, financial condition, liquidity and cash available for dividends and distributions;</w:t>
      </w:r>
    </w:p>
    <w:p>
      <w:pPr>
        <w:spacing w:after="0" w:line="9" w:lineRule="exact"/>
        <w:rPr>
          <w:rFonts w:ascii="Arial" w:cs="Arial" w:eastAsia="Arial" w:hAnsi="Arial"/>
          <w:sz w:val="19"/>
          <w:szCs w:val="19"/>
          <w:color w:val="auto"/>
        </w:rPr>
      </w:pPr>
    </w:p>
    <w:p>
      <w:pPr>
        <w:ind w:left="680" w:right="860" w:hanging="344"/>
        <w:spacing w:after="0" w:line="250" w:lineRule="auto"/>
        <w:tabs>
          <w:tab w:leader="none" w:pos="642"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1" w:lineRule="exact"/>
        <w:rPr>
          <w:rFonts w:ascii="Arial" w:cs="Arial" w:eastAsia="Arial" w:hAnsi="Arial"/>
          <w:sz w:val="19"/>
          <w:szCs w:val="19"/>
          <w:color w:val="auto"/>
        </w:rPr>
      </w:pPr>
    </w:p>
    <w:p>
      <w:pPr>
        <w:ind w:left="680" w:right="520" w:hanging="344"/>
        <w:spacing w:after="0" w:line="250" w:lineRule="auto"/>
        <w:tabs>
          <w:tab w:leader="none" w:pos="642" w:val="left"/>
        </w:tabs>
        <w:numPr>
          <w:ilvl w:val="0"/>
          <w:numId w:val="2"/>
        </w:numPr>
        <w:rPr>
          <w:rFonts w:ascii="Arial" w:cs="Arial" w:eastAsia="Arial" w:hAnsi="Arial"/>
          <w:sz w:val="19"/>
          <w:szCs w:val="19"/>
          <w:color w:val="auto"/>
        </w:rPr>
      </w:pPr>
      <w:r>
        <w:rPr>
          <w:rFonts w:ascii="Arial" w:cs="Arial" w:eastAsia="Arial" w:hAnsi="Arial"/>
          <w:sz w:val="19"/>
          <w:szCs w:val="19"/>
          <w:color w:val="auto"/>
        </w:rPr>
        <w:t>future, pending or recent acquisitions of or orders for ships or other assets, business strategy, areas of possible expansion and expected capital spending;</w:t>
      </w:r>
    </w:p>
    <w:p>
      <w:pPr>
        <w:spacing w:after="0" w:line="1"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time that it may take to construct and deliver newbuildings and the useful lives of our ships;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fluctuations in currencies and interest rates;</w:t>
      </w:r>
    </w:p>
    <w:p>
      <w:pPr>
        <w:spacing w:after="0" w:line="9" w:lineRule="exact"/>
        <w:rPr>
          <w:rFonts w:ascii="Arial" w:cs="Arial" w:eastAsia="Arial" w:hAnsi="Arial"/>
          <w:sz w:val="19"/>
          <w:szCs w:val="19"/>
          <w:color w:val="auto"/>
        </w:rPr>
      </w:pPr>
    </w:p>
    <w:p>
      <w:pPr>
        <w:ind w:left="680" w:right="200" w:hanging="344"/>
        <w:spacing w:after="0" w:line="250" w:lineRule="auto"/>
        <w:tabs>
          <w:tab w:leader="none" w:pos="642"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risks inherent in ship operation, including the discharge of pollutants;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ability to retain key employees and the availability of skilled labor, ship crews and management;</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potential disruption of shipping routes due to accidents, political events, piracy or acts by terrorists;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potential liability from future litigation;</w:t>
      </w:r>
    </w:p>
    <w:p>
      <w:pPr>
        <w:spacing w:after="0" w:line="9" w:lineRule="exact"/>
        <w:rPr>
          <w:rFonts w:ascii="Arial" w:cs="Arial" w:eastAsia="Arial" w:hAnsi="Arial"/>
          <w:sz w:val="19"/>
          <w:szCs w:val="19"/>
          <w:color w:val="auto"/>
        </w:rPr>
      </w:pPr>
    </w:p>
    <w:p>
      <w:pPr>
        <w:ind w:left="680" w:right="40" w:hanging="344"/>
        <w:spacing w:after="0" w:line="250" w:lineRule="auto"/>
        <w:tabs>
          <w:tab w:leader="none" w:pos="642" w:val="left"/>
        </w:tabs>
        <w:numPr>
          <w:ilvl w:val="0"/>
          <w:numId w:val="2"/>
        </w:numPr>
        <w:rPr>
          <w:rFonts w:ascii="Arial" w:cs="Arial" w:eastAsia="Arial" w:hAnsi="Arial"/>
          <w:sz w:val="19"/>
          <w:szCs w:val="19"/>
          <w:color w:val="auto"/>
        </w:rPr>
      </w:pPr>
      <w:r>
        <w:rPr>
          <w:rFonts w:ascii="Arial" w:cs="Arial" w:eastAsia="Arial" w:hAnsi="Arial"/>
          <w:sz w:val="19"/>
          <w:szCs w:val="19"/>
          <w:color w:val="auto"/>
        </w:rPr>
        <w:t>any malfunction or disruption of information technology systems and networks that our operations rely on or any impact of a possible cybersecurity event; and</w:t>
      </w:r>
    </w:p>
    <w:p>
      <w:pPr>
        <w:spacing w:after="0" w:line="1" w:lineRule="exact"/>
        <w:rPr>
          <w:rFonts w:ascii="Arial" w:cs="Arial" w:eastAsia="Arial" w:hAnsi="Arial"/>
          <w:sz w:val="19"/>
          <w:szCs w:val="19"/>
          <w:color w:val="auto"/>
        </w:rPr>
      </w:pPr>
    </w:p>
    <w:p>
      <w:pPr>
        <w:ind w:left="680" w:right="40" w:hanging="344"/>
        <w:spacing w:after="0" w:line="261" w:lineRule="auto"/>
        <w:tabs>
          <w:tab w:leader="none" w:pos="642" w:val="left"/>
        </w:tabs>
        <w:numPr>
          <w:ilvl w:val="0"/>
          <w:numId w:val="2"/>
        </w:numPr>
        <w:rPr>
          <w:rFonts w:ascii="Arial" w:cs="Arial" w:eastAsia="Arial" w:hAnsi="Arial"/>
          <w:sz w:val="19"/>
          <w:szCs w:val="19"/>
          <w:color w:val="auto"/>
        </w:rPr>
      </w:pPr>
      <w:r>
        <w:rPr>
          <w:rFonts w:ascii="Arial" w:cs="Arial" w:eastAsia="Arial" w:hAnsi="Arial"/>
          <w:sz w:val="19"/>
          <w:szCs w:val="19"/>
          <w:color w:val="auto"/>
        </w:rPr>
        <w:t>other risks and uncertainties described in the GasLog Ltd. Annual Report on Form 20-F filed with the SEC on March 5, 2019 and GasLog Partners’ Annual Report on Form 20-F filed with the SEC on February 26, 2019 and available at http://www.sec.gov.</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GasLog and GasLog Partners undertake no obligation to update or revise any forward-looking statements contained in this press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646670" cy="31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20"/>
          </w:cols>
          <w:pgMar w:left="120" w:top="207" w:right="200" w:bottom="1440" w:gutter="0" w:footer="0" w:header="0"/>
        </w:sectPr>
      </w:pPr>
    </w:p>
    <w:bookmarkStart w:id="5" w:name="page6"/>
    <w:bookmarkEnd w:id="5"/>
    <w:p>
      <w:pPr>
        <w:ind w:right="80"/>
        <w:spacing w:after="0" w:line="259" w:lineRule="auto"/>
        <w:rPr>
          <w:sz w:val="20"/>
          <w:szCs w:val="20"/>
          <w:color w:val="auto"/>
        </w:rPr>
      </w:pPr>
      <w:r>
        <w:rPr>
          <w:rFonts w:ascii="Arial" w:cs="Arial" w:eastAsia="Arial" w:hAnsi="Arial"/>
          <w:sz w:val="19"/>
          <w:szCs w:val="19"/>
          <w:color w:val="auto"/>
        </w:rPr>
        <w:t>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EXHIBIT I</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Non-GAAP Financial Measures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EBITDA</w:t>
      </w:r>
    </w:p>
    <w:p>
      <w:pPr>
        <w:spacing w:after="0" w:line="238"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EBITDA is defined as earnings before interest income and expense, gain/loss on interest rate swaps, taxes, depreciation and amortization. EBITDA, which is a non-GAAP financial measure, is used as a supplemental financial measure by management and external users of financial statements, such as investors, to assess our financial and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units. This increased comparability is achieved by excluding the potentially disparate effects between periods of interest, gain/loss on interest rate swaps, taxes, depreciation and amortization, which items are affected by various and possibly changing financing methods, financial market conditions, capital structure and historical cost basis and which items may significantly affect results of operations between periods.</w:t>
      </w:r>
    </w:p>
    <w:p>
      <w:pPr>
        <w:spacing w:after="0" w:line="194"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EBITDA has limitations as an analytical tool and should not be considered as an alternative to, or as a substitute for, or superior to profit, profit from operations, earnings per unit or any other measure of financial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 It is not adjusted for all non-cash income or expense items that are reflected in our statement of cash flows and other companies in our industry may calculate this measure differently to how we do, limiting its usefulness as a comparative measure.</w:t>
      </w:r>
    </w:p>
    <w:p>
      <w:pPr>
        <w:spacing w:after="0" w:line="178" w:lineRule="exact"/>
        <w:rPr>
          <w:sz w:val="20"/>
          <w:szCs w:val="20"/>
          <w:color w:val="auto"/>
        </w:rPr>
      </w:pPr>
    </w:p>
    <w:p>
      <w:pPr>
        <w:ind w:right="160"/>
        <w:spacing w:after="0" w:line="275" w:lineRule="auto"/>
        <w:rPr>
          <w:sz w:val="20"/>
          <w:szCs w:val="20"/>
          <w:color w:val="auto"/>
        </w:rPr>
      </w:pPr>
      <w:r>
        <w:rPr>
          <w:rFonts w:ascii="Arial" w:cs="Arial" w:eastAsia="Arial" w:hAnsi="Arial"/>
          <w:sz w:val="19"/>
          <w:szCs w:val="19"/>
          <w:color w:val="auto"/>
        </w:rPr>
        <w:t>For the entity owning GasLog Glasgow, estimated EBITDA for the first 12 months of operation following the completion of the Acquisition is based on the following assumptions:</w:t>
      </w:r>
    </w:p>
    <w:p>
      <w:pPr>
        <w:spacing w:after="0" w:line="184" w:lineRule="exact"/>
        <w:rPr>
          <w:sz w:val="20"/>
          <w:szCs w:val="20"/>
          <w:color w:val="auto"/>
        </w:rPr>
      </w:pPr>
    </w:p>
    <w:p>
      <w:pPr>
        <w:ind w:left="640" w:hanging="304"/>
        <w:spacing w:after="0"/>
        <w:tabs>
          <w:tab w:leader="none" w:pos="640" w:val="left"/>
        </w:tabs>
        <w:numPr>
          <w:ilvl w:val="0"/>
          <w:numId w:val="3"/>
        </w:numPr>
        <w:rPr>
          <w:rFonts w:ascii="Arial" w:cs="Arial" w:eastAsia="Arial" w:hAnsi="Arial"/>
          <w:sz w:val="19"/>
          <w:szCs w:val="19"/>
          <w:color w:val="auto"/>
        </w:rPr>
      </w:pPr>
      <w:r>
        <w:rPr>
          <w:rFonts w:ascii="Arial" w:cs="Arial" w:eastAsia="Arial" w:hAnsi="Arial"/>
          <w:sz w:val="19"/>
          <w:szCs w:val="19"/>
          <w:color w:val="auto"/>
        </w:rPr>
        <w:t>closing of the Acquisition in the second quarter of 2019 and timely receipt of charter hire specified in the charter contracts;</w:t>
      </w:r>
    </w:p>
    <w:p>
      <w:pPr>
        <w:spacing w:after="0" w:line="22" w:lineRule="exact"/>
        <w:rPr>
          <w:rFonts w:ascii="Arial" w:cs="Arial" w:eastAsia="Arial" w:hAnsi="Arial"/>
          <w:sz w:val="19"/>
          <w:szCs w:val="19"/>
          <w:color w:val="auto"/>
        </w:rPr>
      </w:pPr>
    </w:p>
    <w:p>
      <w:pPr>
        <w:ind w:left="640" w:hanging="304"/>
        <w:spacing w:after="0"/>
        <w:tabs>
          <w:tab w:leader="none" w:pos="640" w:val="left"/>
        </w:tabs>
        <w:numPr>
          <w:ilvl w:val="0"/>
          <w:numId w:val="3"/>
        </w:numPr>
        <w:rPr>
          <w:rFonts w:ascii="Arial" w:cs="Arial" w:eastAsia="Arial" w:hAnsi="Arial"/>
          <w:sz w:val="19"/>
          <w:szCs w:val="19"/>
          <w:color w:val="auto"/>
        </w:rPr>
      </w:pPr>
      <w:r>
        <w:rPr>
          <w:rFonts w:ascii="Arial" w:cs="Arial" w:eastAsia="Arial" w:hAnsi="Arial"/>
          <w:sz w:val="19"/>
          <w:szCs w:val="19"/>
          <w:color w:val="auto"/>
        </w:rPr>
        <w:t>utilization of 363 days and no drydocking;</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3"/>
        </w:numPr>
        <w:rPr>
          <w:rFonts w:ascii="Arial" w:cs="Arial" w:eastAsia="Arial" w:hAnsi="Arial"/>
          <w:sz w:val="19"/>
          <w:szCs w:val="19"/>
          <w:color w:val="auto"/>
        </w:rPr>
      </w:pPr>
      <w:r>
        <w:rPr>
          <w:rFonts w:ascii="Arial" w:cs="Arial" w:eastAsia="Arial" w:hAnsi="Arial"/>
          <w:sz w:val="19"/>
          <w:szCs w:val="19"/>
          <w:color w:val="auto"/>
        </w:rPr>
        <w:t>vessel operating and supervision costs and charter commissions per current internal estimates; and</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3"/>
        </w:numPr>
        <w:rPr>
          <w:rFonts w:ascii="Arial" w:cs="Arial" w:eastAsia="Arial" w:hAnsi="Arial"/>
          <w:sz w:val="19"/>
          <w:szCs w:val="19"/>
          <w:color w:val="auto"/>
        </w:rPr>
      </w:pPr>
      <w:r>
        <w:rPr>
          <w:rFonts w:ascii="Arial" w:cs="Arial" w:eastAsia="Arial" w:hAnsi="Arial"/>
          <w:sz w:val="19"/>
          <w:szCs w:val="19"/>
          <w:color w:val="auto"/>
        </w:rPr>
        <w:t>general and administrative expenses based on management’s current internal estimates.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GasLog and GasLog Partners consider the above assumptions to be reasonable as of March 8, 2019, but if these assumptions prove to be incorrect, actual EBITDA for the entity owning the vessel could differ materially from our estimates. The prospective financial information was not prepared with a view toward public disclosure or with a view toward complying with the guidelines established by the American Institute of Certified Public Accountants, but, in the view of management, was prepared on a reasonable basis and reflects the best currently available estimates and judgments. However, this information is not fact and should not be relied upon as being necessarily indicative of future results, and readers of this document are cautioned not to place undue reliance on the prospective financial information. Neither our independent auditors nor any other independent accountants have compiled, examined, or performed any procedures with respect to the prospective financial information contained above, nor have they expressed any opinion or any other form of assurance on such information or its achievability and assume no responsibility for, and disclaim any association with, such prospective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Contacts:</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Alastair Maxwell</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Chief Financial Officer</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Phone: +44-203-388-3105</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Head of Investor Relations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Phone: +44-203-388-3116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646670" cy="31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Deputy Head of Investor Relations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Phone: +1 212-223-0643</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Email: 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646670" cy="31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sectPr>
      <w:pgSz w:w="12240" w:h="15840" w:orient="portrait"/>
      <w:cols w:equalWidth="0" w:num="1">
        <w:col w:w="10680"/>
      </w:cols>
      <w:pgMar w:left="120" w:top="2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2019-12-15T17:27:07Z</dcterms:created>
  <dcterms:modified xsi:type="dcterms:W3CDTF">2019-12-15T17:27:07Z</dcterms:modified>
</cp:coreProperties>
</file>