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340" w:right="112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February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9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Indicate by check mark whether the registrant files or will file annual reports under cover of Form 20-F or Form 40-F.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60"/>
        </w:trPr>
        <w:tc>
          <w:tcPr>
            <w:tcW w:w="908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Form 20-F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     Form 40-F   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0"/>
        </w:trPr>
        <w:tc>
          <w:tcPr>
            <w:tcW w:w="9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Indicate by check mark if the registrant is submitting the Form 6-K in paper as permitted by Regulation S-T Rule 101(b)(1):</w:t>
            </w:r>
          </w:p>
        </w:tc>
        <w:tc>
          <w:tcPr>
            <w:tcW w:w="2160" w:type="dxa"/>
            <w:vAlign w:val="bottom"/>
          </w:tcPr>
          <w:p>
            <w:pPr>
              <w:ind w:left="1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303"/>
        </w:trPr>
        <w:tc>
          <w:tcPr>
            <w:tcW w:w="9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Indicate by check mark if the registrant is submitting the Form 6-K in paper as permitted by Regulation S-T Rule 101(b)(7):</w:t>
            </w:r>
          </w:p>
        </w:tc>
        <w:tc>
          <w:tcPr>
            <w:tcW w:w="2160" w:type="dxa"/>
            <w:vAlign w:val="bottom"/>
          </w:tcPr>
          <w:p>
            <w:pPr>
              <w:ind w:left="1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183"/>
        </w:trPr>
        <w:tc>
          <w:tcPr>
            <w:tcW w:w="9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8"/>
        </w:trPr>
        <w:tc>
          <w:tcPr>
            <w:tcW w:w="9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675"/>
        </w:trPr>
        <w:tc>
          <w:tcPr>
            <w:tcW w:w="9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725" w:right="339" w:bottom="1440" w:gutter="0" w:footer="0" w:header="0"/>
        </w:sectPr>
      </w:pPr>
    </w:p>
    <w:bookmarkStart w:id="1" w:name="page2"/>
    <w:bookmarkEnd w:id="1"/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February 26, 2024 announcing the Series A, B and C Preference Units distributions payable on March 15, 2024 is attached hereto as Exhibit 99.1.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 dated February 26,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80"/>
          </w:cols>
          <w:pgMar w:left="320" w:top="904" w:right="699" w:bottom="1440" w:gutter="0" w:footer="0" w:header="0"/>
        </w:sectPr>
      </w:pPr>
    </w:p>
    <w:bookmarkStart w:id="2" w:name="page3"/>
    <w:bookmarkEnd w:id="2"/>
    <w:p>
      <w:pPr>
        <w:jc w:val="center"/>
        <w:ind w:right="-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February 26, 2024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17145</wp:posOffset>
            </wp:positionV>
            <wp:extent cx="31286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320" w:top="904" w:right="979" w:bottom="1440" w:gutter="0" w:footer="0" w:header="0"/>
        </w:sectPr>
      </w:pPr>
    </w:p>
    <w:bookmarkStart w:id="3" w:name="page4"/>
    <w:bookmarkEnd w:id="3"/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Declares Distributions on Series A, B and C Preference Units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20"/>
        <w:spacing w:after="0" w:line="3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 xml:space="preserve">Majuro, Marshall Islands, February 26, 2024, GasLog Partners LP (“GasLog Partners” or the “Partnership”) (NYSE: GLOP),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an international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owner, operator and acquirer of liquefied natural gas (“LNG”) carriers, today announced the quarterly distributions on its preference units as follows: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53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Series of Preference Units</w:t>
            </w:r>
          </w:p>
        </w:tc>
        <w:tc>
          <w:tcPr>
            <w:tcW w:w="24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Distribution</w:t>
            </w: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Record Date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Payment Date</w:t>
            </w:r>
          </w:p>
        </w:tc>
      </w:tr>
      <w:tr>
        <w:trPr>
          <w:trHeight w:val="191"/>
        </w:trPr>
        <w:tc>
          <w:tcPr>
            <w:tcW w:w="53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A Cumulative Redeemable Perpetual Fixed to Floating Rate</w:t>
            </w: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$0.5390625 per preference unit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8, 2024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15, 2024</w:t>
            </w:r>
          </w:p>
        </w:tc>
      </w:tr>
      <w:tr>
        <w:trPr>
          <w:trHeight w:val="234"/>
        </w:trPr>
        <w:tc>
          <w:tcPr>
            <w:tcW w:w="5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53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B Cumulative Redeemable Perpetual Fixed to Floating Rate</w:t>
            </w: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$0.7253680 per preference unit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8, 2024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15, 2024</w:t>
            </w:r>
          </w:p>
        </w:tc>
      </w:tr>
      <w:tr>
        <w:trPr>
          <w:trHeight w:val="234"/>
        </w:trPr>
        <w:tc>
          <w:tcPr>
            <w:tcW w:w="5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53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C Cumulative Redeemable Perpetual Fixed to Floating Rate</w:t>
            </w:r>
          </w:p>
        </w:tc>
        <w:tc>
          <w:tcPr>
            <w:tcW w:w="24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$0.53125 per preference unit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8, 2024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March 15, 2024</w:t>
            </w:r>
          </w:p>
        </w:tc>
      </w:tr>
      <w:tr>
        <w:trPr>
          <w:trHeight w:val="234"/>
        </w:trPr>
        <w:tc>
          <w:tcPr>
            <w:tcW w:w="5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85"/>
        </w:trPr>
        <w:tc>
          <w:tcPr>
            <w:tcW w:w="5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About GasLog Partners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6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owner, operator and acquirer of LNG carriers. The Partnership’s fleet consists of eleven wholly-owned LNG carriers as well as three vessels on bareboat charters, with an average carrying capacity of approximately 159,000 cbm. GasLog Partners is a publicly traded master limited partnership (NYSE: GLOP)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563C1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2024-02-26T15:03:14Z</dcterms:created>
  <dcterms:modified xsi:type="dcterms:W3CDTF">2024-02-26T15:03:14Z</dcterms:modified>
</cp:coreProperties>
</file>