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15d-16 UNDER THE SECURITIES EXCHANGE ACT OF 1934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February 2021.</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001-36433</w:t>
      </w:r>
    </w:p>
    <w:p>
      <w:pPr>
        <w:spacing w:after="0" w:line="2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GasLog Partners LP</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 GasLog LNG Services Ltd.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 __________</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701675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22" w:right="1440" w:bottom="1440" w:gutter="0" w:footer="0" w:header="0"/>
        </w:sectPr>
      </w:pPr>
    </w:p>
    <w:bookmarkStart w:id="1" w:name="page2"/>
    <w:bookmarkEnd w:id="1"/>
    <w:p>
      <w:pPr>
        <w:ind w:right="100"/>
        <w:spacing w:after="0" w:line="282" w:lineRule="auto"/>
        <w:rPr>
          <w:sz w:val="20"/>
          <w:szCs w:val="20"/>
          <w:color w:val="auto"/>
        </w:rPr>
      </w:pPr>
      <w:r>
        <w:rPr>
          <w:rFonts w:ascii="Times New Roman" w:cs="Times New Roman" w:eastAsia="Times New Roman" w:hAnsi="Times New Roman"/>
          <w:sz w:val="18"/>
          <w:szCs w:val="18"/>
          <w:color w:val="auto"/>
        </w:rPr>
        <w:t>The press release issued by GasLog Partners LP. on February 22, 2021 confirming the Series A, Series B and Series C Preference Distributions payable on March 15, 2021 is attached hereto as Exhibit 99.1.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INCORPORATION BY REFERENCE</w:t>
      </w:r>
    </w:p>
    <w:p>
      <w:pPr>
        <w:spacing w:after="0" w:line="225" w:lineRule="exact"/>
        <w:rPr>
          <w:sz w:val="20"/>
          <w:szCs w:val="20"/>
          <w:color w:val="auto"/>
        </w:rPr>
      </w:pPr>
    </w:p>
    <w:p>
      <w:pPr>
        <w:jc w:val="both"/>
        <w:ind w:firstLine="376"/>
        <w:spacing w:after="0" w:line="258" w:lineRule="auto"/>
        <w:rPr>
          <w:sz w:val="20"/>
          <w:szCs w:val="20"/>
          <w:color w:val="auto"/>
        </w:rPr>
      </w:pPr>
      <w:r>
        <w:rPr>
          <w:rFonts w:ascii="Times New Roman" w:cs="Times New Roman" w:eastAsia="Times New Roman" w:hAnsi="Times New Roman"/>
          <w:sz w:val="18"/>
          <w:szCs w:val="18"/>
          <w:color w:val="auto"/>
        </w:rPr>
        <w:t>Exhibit 99.1 to this Report on Form 6-K shall be incorporated by reference into our registration statement on Form F-3 (File No. 333-249399), filed with the Securities and Exchange Commission (the “SEC”) on October 9, 2020,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25" w:lineRule="exact"/>
        <w:rPr>
          <w:sz w:val="20"/>
          <w:szCs w:val="20"/>
          <w:color w:val="auto"/>
        </w:rPr>
      </w:pPr>
    </w:p>
    <w:p>
      <w:pPr>
        <w:spacing w:after="0"/>
        <w:tabs>
          <w:tab w:leader="none" w:pos="1000" w:val="left"/>
        </w:tabs>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4">
        <w:r>
          <w:rPr>
            <w:rFonts w:ascii="Times New Roman" w:cs="Times New Roman" w:eastAsia="Times New Roman" w:hAnsi="Times New Roman"/>
            <w:sz w:val="17"/>
            <w:szCs w:val="17"/>
            <w:u w:val="single" w:color="auto"/>
            <w:color w:val="0000EE"/>
          </w:rPr>
          <w:t>Press Release dated February 22,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49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2021</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GASLOG PARTNERS LP,</w:t>
      </w: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 Paul A. Wogan</w:t>
      </w:r>
    </w:p>
    <w:p>
      <w:pPr>
        <w:spacing w:after="0" w:line="22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-127635</wp:posOffset>
            </wp:positionV>
            <wp:extent cx="33858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7" w:lineRule="exact"/>
        <w:rPr>
          <w:sz w:val="20"/>
          <w:szCs w:val="20"/>
          <w:color w:val="auto"/>
        </w:rPr>
      </w:pPr>
    </w:p>
    <w:p>
      <w:pPr>
        <w:ind w:left="590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900" w:right="7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GasLog Partners LP Declares Distributions on Series A, B and C Preference Units</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Piraeus, Greece, February 22, 2021 — </w:t>
      </w:r>
      <w:r>
        <w:rPr>
          <w:rFonts w:ascii="Times New Roman" w:cs="Times New Roman" w:eastAsia="Times New Roman" w:hAnsi="Times New Roman"/>
          <w:sz w:val="18"/>
          <w:szCs w:val="18"/>
          <w:color w:val="auto"/>
        </w:rPr>
        <w:t>GasLog Partners LP (“GasLog Partners” or the “Partnership”) (NYSE: GLOP) today announced the quarterly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on its preference units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60" w:type="dxa"/>
            <w:vAlign w:val="bottom"/>
            <w:tcBorders>
              <w:right w:val="single" w:sz="8" w:color="auto"/>
            </w:tcBorders>
          </w:tcPr>
          <w:p>
            <w:pPr>
              <w:spacing w:after="0"/>
              <w:rPr>
                <w:sz w:val="24"/>
                <w:szCs w:val="24"/>
                <w:color w:val="auto"/>
              </w:rPr>
            </w:pPr>
          </w:p>
        </w:tc>
        <w:tc>
          <w:tcPr>
            <w:tcW w:w="4900" w:type="dxa"/>
            <w:vAlign w:val="bottom"/>
            <w:tcBorders>
              <w:top w:val="single" w:sz="8" w:color="auto"/>
              <w:right w:val="single" w:sz="8" w:color="auto"/>
            </w:tcBorders>
          </w:tcPr>
          <w:p>
            <w:pPr>
              <w:spacing w:after="0"/>
              <w:rPr>
                <w:sz w:val="24"/>
                <w:szCs w:val="24"/>
                <w:color w:val="auto"/>
              </w:rPr>
            </w:pPr>
          </w:p>
        </w:tc>
        <w:tc>
          <w:tcPr>
            <w:tcW w:w="174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2060" w:type="dxa"/>
            <w:vAlign w:val="bottom"/>
            <w:tcBorders>
              <w:top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2180" w:type="dxa"/>
            <w:vAlign w:val="bottom"/>
            <w:tcBorders>
              <w:top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Payment Date</w:t>
            </w:r>
          </w:p>
        </w:tc>
      </w:tr>
      <w:tr>
        <w:trPr>
          <w:trHeight w:val="54"/>
        </w:trPr>
        <w:tc>
          <w:tcPr>
            <w:tcW w:w="360" w:type="dxa"/>
            <w:vAlign w:val="bottom"/>
            <w:tcBorders>
              <w:right w:val="single" w:sz="8" w:color="auto"/>
            </w:tcBorders>
          </w:tcPr>
          <w:p>
            <w:pPr>
              <w:spacing w:after="0"/>
              <w:rPr>
                <w:sz w:val="4"/>
                <w:szCs w:val="4"/>
                <w:color w:val="auto"/>
              </w:rPr>
            </w:pPr>
          </w:p>
        </w:tc>
        <w:tc>
          <w:tcPr>
            <w:tcW w:w="490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r>
      <w:tr>
        <w:trPr>
          <w:trHeight w:val="191"/>
        </w:trPr>
        <w:tc>
          <w:tcPr>
            <w:tcW w:w="360" w:type="dxa"/>
            <w:vAlign w:val="bottom"/>
            <w:tcBorders>
              <w:right w:val="single" w:sz="8" w:color="auto"/>
            </w:tcBorders>
          </w:tcPr>
          <w:p>
            <w:pPr>
              <w:spacing w:after="0"/>
              <w:rPr>
                <w:sz w:val="16"/>
                <w:szCs w:val="16"/>
                <w:color w:val="auto"/>
              </w:rPr>
            </w:pPr>
          </w:p>
        </w:tc>
        <w:tc>
          <w:tcPr>
            <w:tcW w:w="49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8.625% Series A Cumulative Redeemable Perpetual Fixed to</w:t>
            </w:r>
          </w:p>
        </w:tc>
        <w:tc>
          <w:tcPr>
            <w:tcW w:w="17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$0.5390625 per</w:t>
            </w:r>
          </w:p>
        </w:tc>
        <w:tc>
          <w:tcPr>
            <w:tcW w:w="20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March 8, 2021</w:t>
            </w:r>
          </w:p>
        </w:tc>
        <w:tc>
          <w:tcPr>
            <w:tcW w:w="2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March 15, 2021</w:t>
            </w:r>
          </w:p>
        </w:tc>
      </w:tr>
      <w:tr>
        <w:trPr>
          <w:trHeight w:val="234"/>
        </w:trPr>
        <w:tc>
          <w:tcPr>
            <w:tcW w:w="36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Floating Rate Preference Units</w:t>
            </w:r>
          </w:p>
        </w:tc>
        <w:tc>
          <w:tcPr>
            <w:tcW w:w="1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preference unit</w:t>
            </w:r>
          </w:p>
        </w:tc>
        <w:tc>
          <w:tcPr>
            <w:tcW w:w="2060" w:type="dxa"/>
            <w:vAlign w:val="bottom"/>
            <w:tcBorders>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r>
      <w:tr>
        <w:trPr>
          <w:trHeight w:val="135"/>
        </w:trPr>
        <w:tc>
          <w:tcPr>
            <w:tcW w:w="360" w:type="dxa"/>
            <w:vAlign w:val="bottom"/>
            <w:tcBorders>
              <w:right w:val="single" w:sz="8" w:color="auto"/>
            </w:tcBorders>
          </w:tcPr>
          <w:p>
            <w:pPr>
              <w:spacing w:after="0"/>
              <w:rPr>
                <w:sz w:val="11"/>
                <w:szCs w:val="11"/>
                <w:color w:val="auto"/>
              </w:rPr>
            </w:pPr>
          </w:p>
        </w:tc>
        <w:tc>
          <w:tcPr>
            <w:tcW w:w="4900" w:type="dxa"/>
            <w:vAlign w:val="bottom"/>
            <w:tcBorders>
              <w:bottom w:val="single" w:sz="8" w:color="auto"/>
              <w:right w:val="single" w:sz="8" w:color="auto"/>
            </w:tcBorders>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r>
      <w:tr>
        <w:trPr>
          <w:trHeight w:val="191"/>
        </w:trPr>
        <w:tc>
          <w:tcPr>
            <w:tcW w:w="360" w:type="dxa"/>
            <w:vAlign w:val="bottom"/>
            <w:tcBorders>
              <w:right w:val="single" w:sz="8" w:color="auto"/>
            </w:tcBorders>
          </w:tcPr>
          <w:p>
            <w:pPr>
              <w:spacing w:after="0"/>
              <w:rPr>
                <w:sz w:val="16"/>
                <w:szCs w:val="16"/>
                <w:color w:val="auto"/>
              </w:rPr>
            </w:pPr>
          </w:p>
        </w:tc>
        <w:tc>
          <w:tcPr>
            <w:tcW w:w="49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8.200% Series B Cumulative Redeemable Perpetual Fixed to</w:t>
            </w:r>
          </w:p>
        </w:tc>
        <w:tc>
          <w:tcPr>
            <w:tcW w:w="17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$0.5125 per</w:t>
            </w:r>
          </w:p>
        </w:tc>
        <w:tc>
          <w:tcPr>
            <w:tcW w:w="20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March 8, 2021</w:t>
            </w:r>
          </w:p>
        </w:tc>
        <w:tc>
          <w:tcPr>
            <w:tcW w:w="2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March 15, 2021</w:t>
            </w:r>
          </w:p>
        </w:tc>
      </w:tr>
      <w:tr>
        <w:trPr>
          <w:trHeight w:val="234"/>
        </w:trPr>
        <w:tc>
          <w:tcPr>
            <w:tcW w:w="36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Floating Rate Preference Units</w:t>
            </w:r>
          </w:p>
        </w:tc>
        <w:tc>
          <w:tcPr>
            <w:tcW w:w="1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preference unit</w:t>
            </w:r>
          </w:p>
        </w:tc>
        <w:tc>
          <w:tcPr>
            <w:tcW w:w="2060" w:type="dxa"/>
            <w:vAlign w:val="bottom"/>
            <w:tcBorders>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r>
      <w:tr>
        <w:trPr>
          <w:trHeight w:val="135"/>
        </w:trPr>
        <w:tc>
          <w:tcPr>
            <w:tcW w:w="360" w:type="dxa"/>
            <w:vAlign w:val="bottom"/>
            <w:tcBorders>
              <w:right w:val="single" w:sz="8" w:color="auto"/>
            </w:tcBorders>
          </w:tcPr>
          <w:p>
            <w:pPr>
              <w:spacing w:after="0"/>
              <w:rPr>
                <w:sz w:val="11"/>
                <w:szCs w:val="11"/>
                <w:color w:val="auto"/>
              </w:rPr>
            </w:pPr>
          </w:p>
        </w:tc>
        <w:tc>
          <w:tcPr>
            <w:tcW w:w="4900" w:type="dxa"/>
            <w:vAlign w:val="bottom"/>
            <w:tcBorders>
              <w:bottom w:val="single" w:sz="8" w:color="auto"/>
              <w:right w:val="single" w:sz="8" w:color="auto"/>
            </w:tcBorders>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r>
      <w:tr>
        <w:trPr>
          <w:trHeight w:val="191"/>
        </w:trPr>
        <w:tc>
          <w:tcPr>
            <w:tcW w:w="360" w:type="dxa"/>
            <w:vAlign w:val="bottom"/>
            <w:tcBorders>
              <w:right w:val="single" w:sz="8" w:color="auto"/>
            </w:tcBorders>
          </w:tcPr>
          <w:p>
            <w:pPr>
              <w:spacing w:after="0"/>
              <w:rPr>
                <w:sz w:val="16"/>
                <w:szCs w:val="16"/>
                <w:color w:val="auto"/>
              </w:rPr>
            </w:pPr>
          </w:p>
        </w:tc>
        <w:tc>
          <w:tcPr>
            <w:tcW w:w="49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8.500% Series C Cumulative Redeemable Perpetual Fixed to</w:t>
            </w:r>
          </w:p>
        </w:tc>
        <w:tc>
          <w:tcPr>
            <w:tcW w:w="17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$0.53125 per</w:t>
            </w:r>
          </w:p>
        </w:tc>
        <w:tc>
          <w:tcPr>
            <w:tcW w:w="20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March 8, 2021</w:t>
            </w:r>
          </w:p>
        </w:tc>
        <w:tc>
          <w:tcPr>
            <w:tcW w:w="2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March 15, 2021</w:t>
            </w:r>
          </w:p>
        </w:tc>
      </w:tr>
      <w:tr>
        <w:trPr>
          <w:trHeight w:val="234"/>
        </w:trPr>
        <w:tc>
          <w:tcPr>
            <w:tcW w:w="36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Floating Rate Preference Units</w:t>
            </w:r>
          </w:p>
        </w:tc>
        <w:tc>
          <w:tcPr>
            <w:tcW w:w="1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preference unit</w:t>
            </w:r>
          </w:p>
        </w:tc>
        <w:tc>
          <w:tcPr>
            <w:tcW w:w="2060" w:type="dxa"/>
            <w:vAlign w:val="bottom"/>
            <w:tcBorders>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r>
      <w:tr>
        <w:trPr>
          <w:trHeight w:val="135"/>
        </w:trPr>
        <w:tc>
          <w:tcPr>
            <w:tcW w:w="360" w:type="dxa"/>
            <w:vAlign w:val="bottom"/>
            <w:tcBorders>
              <w:right w:val="single" w:sz="8" w:color="auto"/>
            </w:tcBorders>
          </w:tcPr>
          <w:p>
            <w:pPr>
              <w:spacing w:after="0"/>
              <w:rPr>
                <w:sz w:val="11"/>
                <w:szCs w:val="11"/>
                <w:color w:val="auto"/>
              </w:rPr>
            </w:pPr>
          </w:p>
        </w:tc>
        <w:tc>
          <w:tcPr>
            <w:tcW w:w="4900" w:type="dxa"/>
            <w:vAlign w:val="bottom"/>
            <w:tcBorders>
              <w:bottom w:val="single" w:sz="8" w:color="auto"/>
              <w:right w:val="single" w:sz="8" w:color="auto"/>
            </w:tcBorders>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r>
      <w:tr>
        <w:trPr>
          <w:trHeight w:val="42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17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1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Nelson</w:t>
            </w:r>
          </w:p>
        </w:tc>
        <w:tc>
          <w:tcPr>
            <w:tcW w:w="17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Head of Investor Relations</w:t>
            </w:r>
          </w:p>
        </w:tc>
        <w:tc>
          <w:tcPr>
            <w:tcW w:w="1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Phone: +1 212-223-0643</w:t>
            </w:r>
          </w:p>
        </w:tc>
        <w:tc>
          <w:tcPr>
            <w:tcW w:w="17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32"/>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ir@gaslogmlp.com</w:t>
            </w:r>
          </w:p>
        </w:tc>
        <w:tc>
          <w:tcPr>
            <w:tcW w:w="17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GasLog Partners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GasLog Partners is a growth-oriented owner, operator and acquirer of LNG carriers. The Partnership’s fleet consists of 15 LNG carriers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The Partnership’s principal executive offices are located at 69 Akti Miaouli, 18537, Piraeus, Greece. Visit GasLog Partners’ website at </w:t>
      </w:r>
      <w:r>
        <w:rPr>
          <w:rFonts w:ascii="Times New Roman" w:cs="Times New Roman" w:eastAsia="Times New Roman" w:hAnsi="Times New Roman"/>
          <w:sz w:val="18"/>
          <w:szCs w:val="18"/>
          <w:u w:val="single" w:color="auto"/>
          <w:color w:val="auto"/>
        </w:rPr>
        <w:t>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2021-02-22T05:46:19Z</dcterms:created>
  <dcterms:modified xsi:type="dcterms:W3CDTF">2021-02-22T05:46:19Z</dcterms:modified>
</cp:coreProperties>
</file>