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49" w:lineRule="exact"/>
        <w:rPr>
          <w:sz w:val="24"/>
          <w:szCs w:val="24"/>
          <w:color w:val="auto"/>
        </w:rPr>
      </w:pPr>
    </w:p>
    <w:p>
      <w:pPr>
        <w:ind w:left="4620"/>
        <w:spacing w:after="0"/>
        <w:rPr>
          <w:sz w:val="20"/>
          <w:szCs w:val="20"/>
          <w:color w:val="auto"/>
        </w:rPr>
      </w:pPr>
      <w:r>
        <w:rPr>
          <w:rFonts w:ascii="Arial" w:cs="Arial" w:eastAsia="Arial" w:hAnsi="Arial"/>
          <w:sz w:val="18"/>
          <w:szCs w:val="18"/>
          <w:u w:val="single" w:color="auto"/>
          <w:color w:val="auto"/>
        </w:rPr>
        <w:t>______________________</w:t>
      </w: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8-A</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REGISTRATION OF CERTAIN CLASSES OF SECURITIES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12(b) OR 12(g) OF THE SECURITIES</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3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GasLog Partners LP</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23" w:right="239" w:bottom="1440" w:gutter="0" w:footer="0" w:header="0"/>
        </w:sectPr>
      </w:pPr>
    </w:p>
    <w:p>
      <w:pPr>
        <w:spacing w:after="0" w:line="390"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Republic of the Marshall Islands</w:t>
      </w:r>
    </w:p>
    <w:p>
      <w:pPr>
        <w:spacing w:after="0" w:line="20" w:lineRule="exact"/>
        <w:rPr>
          <w:sz w:val="24"/>
          <w:szCs w:val="24"/>
          <w:color w:val="auto"/>
        </w:rPr>
      </w:pPr>
    </w:p>
    <w:p>
      <w:pPr>
        <w:jc w:val="center"/>
        <w:ind w:right="680"/>
        <w:spacing w:after="0"/>
        <w:rPr>
          <w:sz w:val="20"/>
          <w:szCs w:val="20"/>
          <w:color w:val="auto"/>
        </w:rPr>
      </w:pPr>
      <w:r>
        <w:rPr>
          <w:rFonts w:ascii="Arial" w:cs="Arial" w:eastAsia="Arial" w:hAnsi="Arial"/>
          <w:sz w:val="17"/>
          <w:szCs w:val="17"/>
          <w:color w:val="auto"/>
        </w:rPr>
        <w:t>(State of Incorporation or Organization)</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p>
    <w:p>
      <w:pPr>
        <w:jc w:val="center"/>
        <w:ind w:right="142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520" w:space="720"/>
            <w:col w:w="4180"/>
          </w:cols>
          <w:pgMar w:left="240" w:top="223" w:right="239" w:bottom="1440" w:gutter="0" w:footer="0" w:header="0"/>
          <w:type w:val="continuous"/>
        </w:sectPr>
      </w:pPr>
    </w:p>
    <w:p>
      <w:pPr>
        <w:spacing w:after="0" w:line="9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 GasLog Monaco S.A.M.</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Gildo Pastor Center</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7 Rue du Gabian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MC 98000, Monaco</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3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to be registered pursuant to Section 12(b) of the Act:</w:t>
      </w:r>
    </w:p>
    <w:p>
      <w:pPr>
        <w:spacing w:after="0" w:line="200" w:lineRule="exact"/>
        <w:rPr>
          <w:sz w:val="24"/>
          <w:szCs w:val="24"/>
          <w:color w:val="auto"/>
        </w:rPr>
      </w:pP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jc w:val="center"/>
              <w:ind w:right="30"/>
              <w:spacing w:after="0"/>
              <w:rPr>
                <w:sz w:val="20"/>
                <w:szCs w:val="20"/>
                <w:color w:val="auto"/>
              </w:rPr>
            </w:pPr>
            <w:r>
              <w:rPr>
                <w:rFonts w:ascii="Arial" w:cs="Arial" w:eastAsia="Arial" w:hAnsi="Arial"/>
                <w:sz w:val="18"/>
                <w:szCs w:val="18"/>
                <w:color w:val="auto"/>
                <w:w w:val="99"/>
              </w:rPr>
              <w:t>Title of each class</w:t>
            </w:r>
          </w:p>
        </w:tc>
        <w:tc>
          <w:tcPr>
            <w:tcW w:w="5460" w:type="dxa"/>
            <w:vAlign w:val="bottom"/>
          </w:tcPr>
          <w:p>
            <w:pPr>
              <w:jc w:val="center"/>
              <w:ind w:right="50"/>
              <w:spacing w:after="0"/>
              <w:rPr>
                <w:sz w:val="20"/>
                <w:szCs w:val="20"/>
                <w:color w:val="auto"/>
              </w:rPr>
            </w:pPr>
            <w:r>
              <w:rPr>
                <w:rFonts w:ascii="Arial" w:cs="Arial" w:eastAsia="Arial" w:hAnsi="Arial"/>
                <w:sz w:val="18"/>
                <w:szCs w:val="18"/>
                <w:color w:val="auto"/>
              </w:rPr>
              <w:t>Name of each exchange on which</w:t>
            </w:r>
          </w:p>
        </w:tc>
      </w:tr>
      <w:tr>
        <w:trPr>
          <w:trHeight w:val="201"/>
        </w:trPr>
        <w:tc>
          <w:tcPr>
            <w:tcW w:w="596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99"/>
              </w:rPr>
              <w:t>to be so registered</w:t>
            </w:r>
          </w:p>
        </w:tc>
        <w:tc>
          <w:tcPr>
            <w:tcW w:w="546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99"/>
              </w:rPr>
              <w:t>each class is to be registered</w:t>
            </w:r>
          </w:p>
        </w:tc>
      </w:tr>
      <w:tr>
        <w:trPr>
          <w:trHeight w:val="203"/>
        </w:trPr>
        <w:tc>
          <w:tcPr>
            <w:tcW w:w="596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8.625% Series A Cumulative Redeemable Perpetual Fixed to</w:t>
            </w:r>
          </w:p>
        </w:tc>
        <w:tc>
          <w:tcPr>
            <w:tcW w:w="546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New York Stock Exchange</w:t>
            </w:r>
          </w:p>
        </w:tc>
      </w:tr>
      <w:tr>
        <w:trPr>
          <w:trHeight w:val="253"/>
        </w:trPr>
        <w:tc>
          <w:tcPr>
            <w:tcW w:w="596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Floating Rate Preference Units</w:t>
            </w:r>
          </w:p>
        </w:tc>
        <w:tc>
          <w:tcPr>
            <w:tcW w:w="5460" w:type="dxa"/>
            <w:vAlign w:val="bottom"/>
          </w:tcPr>
          <w:p>
            <w:pPr>
              <w:spacing w:after="0"/>
              <w:rPr>
                <w:sz w:val="21"/>
                <w:szCs w:val="21"/>
                <w:color w:val="auto"/>
              </w:rPr>
            </w:pPr>
          </w:p>
        </w:tc>
      </w:tr>
      <w:tr>
        <w:trPr>
          <w:trHeight w:val="465"/>
        </w:trPr>
        <w:tc>
          <w:tcPr>
            <w:tcW w:w="5960" w:type="dxa"/>
            <w:vAlign w:val="bottom"/>
          </w:tcPr>
          <w:p>
            <w:pPr>
              <w:jc w:val="center"/>
              <w:spacing w:after="0"/>
              <w:rPr>
                <w:sz w:val="20"/>
                <w:szCs w:val="20"/>
                <w:color w:val="auto"/>
              </w:rPr>
            </w:pPr>
            <w:r>
              <w:rPr>
                <w:rFonts w:ascii="Arial" w:cs="Arial" w:eastAsia="Arial" w:hAnsi="Arial"/>
                <w:sz w:val="18"/>
                <w:szCs w:val="18"/>
                <w:color w:val="auto"/>
                <w:w w:val="99"/>
              </w:rPr>
              <w:t>If this form relates to the registration of a class of securities pursuant to</w:t>
            </w:r>
          </w:p>
        </w:tc>
        <w:tc>
          <w:tcPr>
            <w:tcW w:w="5460" w:type="dxa"/>
            <w:vAlign w:val="bottom"/>
          </w:tcPr>
          <w:p>
            <w:pPr>
              <w:jc w:val="center"/>
              <w:spacing w:after="0"/>
              <w:rPr>
                <w:sz w:val="20"/>
                <w:szCs w:val="20"/>
                <w:color w:val="auto"/>
              </w:rPr>
            </w:pPr>
            <w:r>
              <w:rPr>
                <w:rFonts w:ascii="Arial" w:cs="Arial" w:eastAsia="Arial" w:hAnsi="Arial"/>
                <w:sz w:val="18"/>
                <w:szCs w:val="18"/>
                <w:color w:val="auto"/>
              </w:rPr>
              <w:t>If this form relates to the registration of a class of securities</w:t>
            </w:r>
          </w:p>
        </w:tc>
      </w:tr>
      <w:tr>
        <w:trPr>
          <w:trHeight w:val="203"/>
        </w:trPr>
        <w:tc>
          <w:tcPr>
            <w:tcW w:w="5960" w:type="dxa"/>
            <w:vAlign w:val="bottom"/>
          </w:tcPr>
          <w:p>
            <w:pPr>
              <w:jc w:val="center"/>
              <w:spacing w:after="0" w:line="202" w:lineRule="exact"/>
              <w:rPr>
                <w:sz w:val="20"/>
                <w:szCs w:val="20"/>
                <w:color w:val="auto"/>
              </w:rPr>
            </w:pPr>
            <w:r>
              <w:rPr>
                <w:rFonts w:ascii="Arial" w:cs="Arial" w:eastAsia="Arial" w:hAnsi="Arial"/>
                <w:sz w:val="18"/>
                <w:szCs w:val="18"/>
                <w:color w:val="auto"/>
              </w:rPr>
              <w:t>Section 12(b) of the Securities Exchange Act of 1934, as amended, and</w:t>
            </w:r>
          </w:p>
        </w:tc>
        <w:tc>
          <w:tcPr>
            <w:tcW w:w="5460" w:type="dxa"/>
            <w:vAlign w:val="bottom"/>
          </w:tcPr>
          <w:p>
            <w:pPr>
              <w:jc w:val="center"/>
              <w:spacing w:after="0" w:line="202" w:lineRule="exact"/>
              <w:rPr>
                <w:sz w:val="20"/>
                <w:szCs w:val="20"/>
                <w:color w:val="auto"/>
              </w:rPr>
            </w:pPr>
            <w:r>
              <w:rPr>
                <w:rFonts w:ascii="Arial" w:cs="Arial" w:eastAsia="Arial" w:hAnsi="Arial"/>
                <w:sz w:val="18"/>
                <w:szCs w:val="18"/>
                <w:color w:val="auto"/>
                <w:w w:val="99"/>
              </w:rPr>
              <w:t>pursuant to Section 12(g) of the Securities Exchange Act of 1934,</w:t>
            </w:r>
          </w:p>
        </w:tc>
      </w:tr>
      <w:tr>
        <w:trPr>
          <w:trHeight w:val="185"/>
        </w:trPr>
        <w:tc>
          <w:tcPr>
            <w:tcW w:w="5960" w:type="dxa"/>
            <w:vAlign w:val="bottom"/>
          </w:tcPr>
          <w:p>
            <w:pPr>
              <w:jc w:val="center"/>
              <w:spacing w:after="0" w:line="185" w:lineRule="exact"/>
              <w:rPr>
                <w:sz w:val="20"/>
                <w:szCs w:val="20"/>
                <w:color w:val="auto"/>
              </w:rPr>
            </w:pPr>
            <w:r>
              <w:rPr>
                <w:rFonts w:ascii="Arial" w:cs="Arial" w:eastAsia="Arial" w:hAnsi="Arial"/>
                <w:sz w:val="18"/>
                <w:szCs w:val="18"/>
                <w:color w:val="auto"/>
                <w:w w:val="99"/>
              </w:rPr>
              <w:t>is effective pursuant to General Instruction A.(c), please check the</w:t>
            </w:r>
          </w:p>
        </w:tc>
        <w:tc>
          <w:tcPr>
            <w:tcW w:w="5460" w:type="dxa"/>
            <w:vAlign w:val="bottom"/>
          </w:tcPr>
          <w:p>
            <w:pPr>
              <w:jc w:val="center"/>
              <w:spacing w:after="0" w:line="185" w:lineRule="exact"/>
              <w:rPr>
                <w:sz w:val="20"/>
                <w:szCs w:val="20"/>
                <w:color w:val="auto"/>
              </w:rPr>
            </w:pPr>
            <w:r>
              <w:rPr>
                <w:rFonts w:ascii="Arial" w:cs="Arial" w:eastAsia="Arial" w:hAnsi="Arial"/>
                <w:sz w:val="18"/>
                <w:szCs w:val="18"/>
                <w:color w:val="auto"/>
                <w:w w:val="99"/>
              </w:rPr>
              <w:t>as amended, and is effective pursuant to General Instruction A.</w:t>
            </w:r>
          </w:p>
        </w:tc>
      </w:tr>
      <w:tr>
        <w:trPr>
          <w:trHeight w:val="283"/>
        </w:trPr>
        <w:tc>
          <w:tcPr>
            <w:tcW w:w="5960" w:type="dxa"/>
            <w:vAlign w:val="bottom"/>
          </w:tcPr>
          <w:p>
            <w:pPr>
              <w:jc w:val="center"/>
              <w:spacing w:after="0" w:line="207" w:lineRule="exact"/>
              <w:rPr>
                <w:sz w:val="20"/>
                <w:szCs w:val="20"/>
                <w:color w:val="auto"/>
              </w:rPr>
            </w:pPr>
            <w:r>
              <w:rPr>
                <w:rFonts w:ascii="Arial" w:cs="Arial" w:eastAsia="Arial" w:hAnsi="Arial"/>
                <w:sz w:val="18"/>
                <w:szCs w:val="18"/>
                <w:color w:val="auto"/>
                <w:w w:val="98"/>
              </w:rPr>
              <w:t xml:space="preserve">following box. </w:t>
            </w:r>
            <w:r>
              <w:rPr>
                <w:rFonts w:ascii="MS PGothic" w:cs="MS PGothic" w:eastAsia="MS PGothic" w:hAnsi="MS PGothic"/>
                <w:sz w:val="18"/>
                <w:szCs w:val="18"/>
                <w:color w:val="auto"/>
                <w:w w:val="98"/>
              </w:rPr>
              <w:t>☒</w:t>
            </w:r>
          </w:p>
        </w:tc>
        <w:tc>
          <w:tcPr>
            <w:tcW w:w="5460" w:type="dxa"/>
            <w:vAlign w:val="bottom"/>
          </w:tcPr>
          <w:p>
            <w:pPr>
              <w:jc w:val="center"/>
              <w:spacing w:after="0"/>
              <w:rPr>
                <w:sz w:val="20"/>
                <w:szCs w:val="20"/>
                <w:color w:val="auto"/>
              </w:rPr>
            </w:pPr>
            <w:r>
              <w:rPr>
                <w:rFonts w:ascii="Arial" w:cs="Arial" w:eastAsia="Arial" w:hAnsi="Arial"/>
                <w:sz w:val="18"/>
                <w:szCs w:val="18"/>
                <w:color w:val="auto"/>
              </w:rPr>
              <w:t xml:space="preserve">(d), please check the following box. </w:t>
            </w:r>
            <w:r>
              <w:rPr>
                <w:rFonts w:ascii="Times New Roman" w:cs="Times New Roman" w:eastAsia="Times New Roman" w:hAnsi="Times New Roman"/>
                <w:sz w:val="18"/>
                <w:szCs w:val="18"/>
                <w:color w:val="auto"/>
              </w:rPr>
              <w:t>o</w:t>
            </w:r>
          </w:p>
        </w:tc>
      </w:tr>
      <w:tr>
        <w:trPr>
          <w:trHeight w:val="464"/>
        </w:trPr>
        <w:tc>
          <w:tcPr>
            <w:tcW w:w="5960" w:type="dxa"/>
            <w:vAlign w:val="bottom"/>
          </w:tcPr>
          <w:p>
            <w:pPr>
              <w:jc w:val="center"/>
              <w:ind w:right="30"/>
              <w:spacing w:after="0"/>
              <w:rPr>
                <w:sz w:val="20"/>
                <w:szCs w:val="20"/>
                <w:color w:val="auto"/>
              </w:rPr>
            </w:pPr>
            <w:r>
              <w:rPr>
                <w:rFonts w:ascii="Arial" w:cs="Arial" w:eastAsia="Arial" w:hAnsi="Arial"/>
                <w:sz w:val="18"/>
                <w:szCs w:val="18"/>
                <w:color w:val="auto"/>
                <w:w w:val="99"/>
              </w:rPr>
              <w:t>Securities Act registration statement file</w:t>
            </w:r>
          </w:p>
        </w:tc>
        <w:tc>
          <w:tcPr>
            <w:tcW w:w="5460" w:type="dxa"/>
            <w:vAlign w:val="bottom"/>
          </w:tcPr>
          <w:p>
            <w:pPr>
              <w:jc w:val="center"/>
              <w:ind w:right="50"/>
              <w:spacing w:after="0"/>
              <w:rPr>
                <w:sz w:val="20"/>
                <w:szCs w:val="20"/>
                <w:color w:val="auto"/>
              </w:rPr>
            </w:pPr>
            <w:r>
              <w:rPr>
                <w:rFonts w:ascii="Arial" w:cs="Arial" w:eastAsia="Arial" w:hAnsi="Arial"/>
                <w:sz w:val="18"/>
                <w:szCs w:val="18"/>
                <w:color w:val="auto"/>
                <w:w w:val="99"/>
              </w:rPr>
              <w:t>333-204616</w:t>
            </w:r>
          </w:p>
        </w:tc>
      </w:tr>
      <w:tr>
        <w:trPr>
          <w:trHeight w:val="243"/>
        </w:trPr>
        <w:tc>
          <w:tcPr>
            <w:tcW w:w="5960" w:type="dxa"/>
            <w:vAlign w:val="bottom"/>
          </w:tcPr>
          <w:p>
            <w:pPr>
              <w:jc w:val="center"/>
              <w:ind w:right="50"/>
              <w:spacing w:after="0"/>
              <w:rPr>
                <w:sz w:val="20"/>
                <w:szCs w:val="20"/>
                <w:color w:val="auto"/>
              </w:rPr>
            </w:pPr>
            <w:r>
              <w:rPr>
                <w:rFonts w:ascii="Arial" w:cs="Arial" w:eastAsia="Arial" w:hAnsi="Arial"/>
                <w:sz w:val="18"/>
                <w:szCs w:val="18"/>
                <w:color w:val="auto"/>
                <w:w w:val="99"/>
              </w:rPr>
              <w:t>number to which this form relates:</w:t>
            </w:r>
          </w:p>
        </w:tc>
        <w:tc>
          <w:tcPr>
            <w:tcW w:w="5460" w:type="dxa"/>
            <w:vAlign w:val="bottom"/>
          </w:tcPr>
          <w:p>
            <w:pPr>
              <w:jc w:val="center"/>
              <w:ind w:right="50"/>
              <w:spacing w:after="0"/>
              <w:rPr>
                <w:sz w:val="20"/>
                <w:szCs w:val="20"/>
                <w:color w:val="auto"/>
              </w:rPr>
            </w:pPr>
            <w:r>
              <w:rPr>
                <w:rFonts w:ascii="Arial" w:cs="Arial" w:eastAsia="Arial" w:hAnsi="Arial"/>
                <w:sz w:val="18"/>
                <w:szCs w:val="18"/>
                <w:color w:val="auto"/>
                <w:w w:val="99"/>
              </w:rPr>
              <w:t>(If applicable)</w:t>
            </w:r>
          </w:p>
        </w:tc>
      </w:tr>
      <w:tr>
        <w:trPr>
          <w:trHeight w:val="521"/>
        </w:trPr>
        <w:tc>
          <w:tcPr>
            <w:tcW w:w="5960" w:type="dxa"/>
            <w:vAlign w:val="bottom"/>
          </w:tcPr>
          <w:p>
            <w:pPr>
              <w:spacing w:after="0"/>
              <w:rPr>
                <w:sz w:val="20"/>
                <w:szCs w:val="20"/>
                <w:color w:val="auto"/>
              </w:rPr>
            </w:pPr>
            <w:r>
              <w:rPr>
                <w:rFonts w:ascii="Arial" w:cs="Arial" w:eastAsia="Arial" w:hAnsi="Arial"/>
                <w:sz w:val="18"/>
                <w:szCs w:val="18"/>
                <w:color w:val="auto"/>
              </w:rPr>
              <w:t xml:space="preserve">Securities to be registered pursuant to Section 12(g) of the Act: </w:t>
            </w:r>
            <w:r>
              <w:rPr>
                <w:rFonts w:ascii="Arial" w:cs="Arial" w:eastAsia="Arial" w:hAnsi="Arial"/>
                <w:sz w:val="18"/>
                <w:szCs w:val="18"/>
                <w:b w:val="1"/>
                <w:bCs w:val="1"/>
                <w:color w:val="auto"/>
              </w:rPr>
              <w:t>None.</w:t>
            </w:r>
          </w:p>
        </w:tc>
        <w:tc>
          <w:tcPr>
            <w:tcW w:w="5460" w:type="dxa"/>
            <w:vAlign w:val="bottom"/>
          </w:tcPr>
          <w:p>
            <w:pPr>
              <w:spacing w:after="0"/>
              <w:rPr>
                <w:sz w:val="24"/>
                <w:szCs w:val="24"/>
                <w:color w:val="auto"/>
              </w:rPr>
            </w:pPr>
          </w:p>
        </w:tc>
      </w:tr>
      <w:tr>
        <w:trPr>
          <w:trHeight w:val="778"/>
        </w:trPr>
        <w:tc>
          <w:tcPr>
            <w:tcW w:w="5960" w:type="dxa"/>
            <w:vAlign w:val="bottom"/>
            <w:tcBorders>
              <w:bottom w:val="single" w:sz="8" w:color="808080"/>
            </w:tcBorders>
          </w:tcPr>
          <w:p>
            <w:pPr>
              <w:spacing w:after="0"/>
              <w:rPr>
                <w:sz w:val="24"/>
                <w:szCs w:val="24"/>
                <w:color w:val="auto"/>
              </w:rPr>
            </w:pPr>
          </w:p>
        </w:tc>
        <w:tc>
          <w:tcPr>
            <w:tcW w:w="546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22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214"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The class of securities to be registered hereunder is 8.625% Series A Cumulative Redeemable Perpetual Fixed to Floating Preference Units, liquidation preference $25.00 per unit (the “</w:t>
      </w:r>
      <w:r>
        <w:rPr>
          <w:rFonts w:ascii="Arial" w:cs="Arial" w:eastAsia="Arial" w:hAnsi="Arial"/>
          <w:sz w:val="18"/>
          <w:szCs w:val="18"/>
          <w:u w:val="single" w:color="auto"/>
          <w:color w:val="auto"/>
        </w:rPr>
        <w:t>Series A Preference Units</w:t>
      </w:r>
      <w:r>
        <w:rPr>
          <w:rFonts w:ascii="Arial" w:cs="Arial" w:eastAsia="Arial" w:hAnsi="Arial"/>
          <w:sz w:val="18"/>
          <w:szCs w:val="18"/>
          <w:color w:val="auto"/>
        </w:rPr>
        <w:t>”), of GasLog Partners LP (the “</w:t>
      </w:r>
      <w:r>
        <w:rPr>
          <w:rFonts w:ascii="Arial" w:cs="Arial" w:eastAsia="Arial" w:hAnsi="Arial"/>
          <w:sz w:val="18"/>
          <w:szCs w:val="18"/>
          <w:u w:val="single" w:color="auto"/>
          <w:color w:val="auto"/>
        </w:rPr>
        <w:t>Registrant</w:t>
      </w:r>
      <w:r>
        <w:rPr>
          <w:rFonts w:ascii="Arial" w:cs="Arial" w:eastAsia="Arial" w:hAnsi="Arial"/>
          <w:sz w:val="18"/>
          <w:szCs w:val="18"/>
          <w:color w:val="auto"/>
        </w:rPr>
        <w:t>”). The description of the Series A Preference Units is set forth under the caption “Description of the Series A Preference Units” in the prospectus filed by the Registrant on May 10, 2017, pursuant to Rule 424(b)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which prospectus constitutes a part of the Registrant’s Registration Statement on Form F-3 (Registration No. 333-204616)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June 1, 2015, as amended. Such prospectus, in the form in which it is so filed, shall be deemed to be incorporated herein by reference.</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214" w:lineRule="exact"/>
        <w:rPr>
          <w:sz w:val="20"/>
          <w:szCs w:val="20"/>
          <w:color w:val="auto"/>
        </w:rPr>
      </w:pPr>
    </w:p>
    <w:p>
      <w:pPr>
        <w:ind w:left="820" w:right="300" w:hanging="644"/>
        <w:spacing w:after="0" w:line="276" w:lineRule="auto"/>
        <w:tabs>
          <w:tab w:leader="none" w:pos="8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Certificate of Limited Partnership of the Registrant, incorporated herein by reference to Exhibit 1.1 to the Registrant’s registration statement on Form F-3 (Registration No. 333-204616).</w:t>
      </w:r>
    </w:p>
    <w:p>
      <w:pPr>
        <w:spacing w:after="0" w:line="145" w:lineRule="exact"/>
        <w:rPr>
          <w:sz w:val="20"/>
          <w:szCs w:val="20"/>
          <w:color w:val="auto"/>
        </w:rPr>
      </w:pPr>
    </w:p>
    <w:p>
      <w:pPr>
        <w:ind w:left="820" w:right="280" w:hanging="644"/>
        <w:spacing w:after="0" w:line="276" w:lineRule="auto"/>
        <w:tabs>
          <w:tab w:leader="none" w:pos="8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Second Amended and Restated Agreement of Limited Partnership of the Registrant, dated May 15, 2017, incorporated herein by reference to Exhibit 4.1 to the Registrant’s Report on Form 6-K filed with the SEC on May 15,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595630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40"/>
          </w:cols>
          <w:pgMar w:left="240" w:top="776" w:right="319" w:bottom="1440" w:gutter="0" w:footer="0" w:header="0"/>
        </w:sectPr>
      </w:pPr>
    </w:p>
    <w:bookmarkStart w:id="2" w:name="page3"/>
    <w:bookmarkEnd w:id="2"/>
    <w:p>
      <w:pPr>
        <w:ind w:left="5200"/>
        <w:spacing w:after="0"/>
        <w:rPr>
          <w:sz w:val="20"/>
          <w:szCs w:val="20"/>
          <w:color w:val="auto"/>
        </w:rPr>
      </w:pPr>
      <w:r>
        <w:rPr>
          <w:rFonts w:ascii="Arial" w:cs="Arial" w:eastAsia="Arial" w:hAnsi="Arial"/>
          <w:sz w:val="18"/>
          <w:szCs w:val="18"/>
          <w:b w:val="1"/>
          <w:bCs w:val="1"/>
          <w:color w:val="auto"/>
        </w:rPr>
        <w:t>SIGNATURE</w:t>
      </w:r>
    </w:p>
    <w:p>
      <w:pPr>
        <w:spacing w:after="0" w:line="214" w:lineRule="exact"/>
        <w:rPr>
          <w:sz w:val="20"/>
          <w:szCs w:val="20"/>
          <w:color w:val="auto"/>
        </w:rPr>
      </w:pPr>
    </w:p>
    <w:p>
      <w:pPr>
        <w:ind w:firstLine="1297"/>
        <w:spacing w:after="0" w:line="276"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200" w:lineRule="exact"/>
        <w:rPr>
          <w:sz w:val="20"/>
          <w:szCs w:val="20"/>
          <w:color w:val="auto"/>
        </w:rPr>
      </w:pPr>
    </w:p>
    <w:p>
      <w:pPr>
        <w:spacing w:after="0" w:line="364"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GASLOG PARTNERS LP</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2740" w:val="left"/>
          <w:tab w:leader="none" w:pos="3420" w:val="left"/>
        </w:tabs>
        <w:rPr>
          <w:sz w:val="20"/>
          <w:szCs w:val="20"/>
          <w:color w:val="auto"/>
        </w:rPr>
      </w:pPr>
      <w:r>
        <w:rPr>
          <w:rFonts w:ascii="Arial" w:cs="Arial" w:eastAsia="Arial" w:hAnsi="Arial"/>
          <w:sz w:val="18"/>
          <w:szCs w:val="18"/>
          <w:color w:val="auto"/>
        </w:rPr>
        <w:t>Date: May 15,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Andrew J.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11430</wp:posOffset>
            </wp:positionV>
            <wp:extent cx="5068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Name: Andrew J. Orekar</w:t>
      </w:r>
    </w:p>
    <w:p>
      <w:pPr>
        <w:ind w:left="344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4757420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780"/>
      </w:cols>
      <w:pgMar w:left="240" w:top="776"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2019-12-07T22:19:17Z</dcterms:created>
  <dcterms:modified xsi:type="dcterms:W3CDTF">2019-12-07T22:19:17Z</dcterms:modified>
</cp:coreProperties>
</file>