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April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Form 20-F x  Form 40-F o</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c>
          <w:tcPr>
            <w:tcW w:w="40" w:type="dxa"/>
            <w:vAlign w:val="bottom"/>
          </w:tcPr>
          <w:p>
            <w:pPr>
              <w:spacing w:after="0"/>
              <w:rPr>
                <w:sz w:val="24"/>
                <w:szCs w:val="24"/>
                <w:color w:val="auto"/>
              </w:rPr>
            </w:pP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80" w:type="dxa"/>
            <w:vAlign w:val="bottom"/>
          </w:tcPr>
          <w:p>
            <w:pPr>
              <w:ind w:left="1200"/>
              <w:spacing w:after="0"/>
              <w:rPr>
                <w:sz w:val="20"/>
                <w:szCs w:val="20"/>
                <w:color w:val="auto"/>
              </w:rPr>
            </w:pPr>
            <w:r>
              <w:rPr>
                <w:rFonts w:ascii="Arial" w:cs="Arial" w:eastAsia="Arial" w:hAnsi="Arial"/>
                <w:sz w:val="15"/>
                <w:szCs w:val="15"/>
                <w:color w:val="auto"/>
                <w:w w:val="71"/>
              </w:rPr>
              <w:t>o</w:t>
            </w:r>
          </w:p>
        </w:tc>
        <w:tc>
          <w:tcPr>
            <w:tcW w:w="40" w:type="dxa"/>
            <w:vAlign w:val="bottom"/>
          </w:tcPr>
          <w:p>
            <w:pPr>
              <w:spacing w:after="0"/>
              <w:rPr>
                <w:sz w:val="24"/>
                <w:szCs w:val="24"/>
                <w:color w:val="auto"/>
              </w:rPr>
            </w:pPr>
          </w:p>
        </w:tc>
      </w:tr>
      <w:tr>
        <w:trPr>
          <w:trHeight w:val="216"/>
        </w:trPr>
        <w:tc>
          <w:tcPr>
            <w:tcW w:w="10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10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01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both"/>
        <w:ind w:right="60" w:firstLine="376"/>
        <w:spacing w:after="0" w:line="277" w:lineRule="auto"/>
        <w:rPr>
          <w:sz w:val="20"/>
          <w:szCs w:val="20"/>
          <w:color w:val="auto"/>
        </w:rPr>
      </w:pPr>
      <w:r>
        <w:rPr>
          <w:rFonts w:ascii="Arial" w:cs="Arial" w:eastAsia="Arial" w:hAnsi="Arial"/>
          <w:sz w:val="18"/>
          <w:szCs w:val="18"/>
          <w:color w:val="auto"/>
        </w:rPr>
        <w:t>The press release issued by GasLog Partners LP on April 27, 2018 relating to its results for the three-month period ended March 31, 2018 and the related financial report are attached hereto as Exhibits 99.1 and 99.2, respectively.</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120" w:firstLine="376"/>
        <w:spacing w:after="0" w:line="297" w:lineRule="auto"/>
        <w:rPr>
          <w:sz w:val="20"/>
          <w:szCs w:val="20"/>
          <w:color w:val="auto"/>
        </w:rPr>
      </w:pPr>
      <w:r>
        <w:rPr>
          <w:rFonts w:ascii="Arial" w:cs="Arial" w:eastAsia="Arial" w:hAnsi="Arial"/>
          <w:sz w:val="16"/>
          <w:szCs w:val="16"/>
          <w:color w:val="auto"/>
        </w:rPr>
        <w:t>Exhibit 99.2, including Appendix A thereto, to this Report on Form 6-K shall be incorporated by reference into our registration statement on Form F-3 (File No. 333-220736), filed with the Securities and Exchange Commission (the “SEC”) on September 29, 2017, the registration statement on Form F-3 (File No. 333-204616), filed with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4220"/>
              <w:spacing w:after="0"/>
              <w:rPr>
                <w:sz w:val="20"/>
                <w:szCs w:val="20"/>
                <w:color w:val="auto"/>
              </w:rPr>
            </w:pPr>
            <w:r>
              <w:rPr>
                <w:rFonts w:ascii="Arial" w:cs="Arial" w:eastAsia="Arial" w:hAnsi="Arial"/>
                <w:sz w:val="18"/>
                <w:szCs w:val="18"/>
                <w:color w:val="auto"/>
              </w:rPr>
              <w:t>EXHIBIT LIST</w:t>
            </w:r>
          </w:p>
        </w:tc>
      </w:tr>
      <w:tr>
        <w:trPr>
          <w:trHeight w:val="36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10720" w:type="dxa"/>
            <w:vAlign w:val="bottom"/>
            <w:gridSpan w:val="2"/>
          </w:tcPr>
          <w:p>
            <w:pPr>
              <w:ind w:left="220"/>
              <w:spacing w:after="0"/>
              <w:rPr>
                <w:sz w:val="20"/>
                <w:szCs w:val="20"/>
                <w:color w:val="auto"/>
              </w:rPr>
            </w:pPr>
            <w:r>
              <w:rPr>
                <w:rFonts w:ascii="Arial" w:cs="Arial" w:eastAsia="Arial" w:hAnsi="Arial"/>
                <w:sz w:val="18"/>
                <w:szCs w:val="18"/>
                <w:color w:val="auto"/>
              </w:rPr>
              <w:t>Press Release dated April 27, 2018</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10720" w:type="dxa"/>
            <w:vAlign w:val="bottom"/>
            <w:gridSpan w:val="2"/>
          </w:tcPr>
          <w:p>
            <w:pPr>
              <w:ind w:left="220"/>
              <w:spacing w:after="0"/>
              <w:rPr>
                <w:sz w:val="20"/>
                <w:szCs w:val="20"/>
                <w:color w:val="auto"/>
              </w:rPr>
            </w:pPr>
            <w:r>
              <w:rPr>
                <w:rFonts w:ascii="Arial" w:cs="Arial" w:eastAsia="Arial" w:hAnsi="Arial"/>
                <w:sz w:val="18"/>
                <w:szCs w:val="18"/>
                <w:color w:val="auto"/>
              </w:rPr>
              <w:t>Financial Report for the Three Months Ended March 31, 2018</w:t>
            </w:r>
          </w:p>
        </w:tc>
      </w:tr>
      <w:tr>
        <w:trPr>
          <w:trHeight w:val="432"/>
        </w:trPr>
        <w:tc>
          <w:tcPr>
            <w:tcW w:w="700" w:type="dxa"/>
            <w:vAlign w:val="bottom"/>
          </w:tcPr>
          <w:p>
            <w:pPr>
              <w:spacing w:after="0"/>
              <w:rPr>
                <w:sz w:val="24"/>
                <w:szCs w:val="24"/>
                <w:color w:val="auto"/>
              </w:rPr>
            </w:pPr>
          </w:p>
        </w:tc>
        <w:tc>
          <w:tcPr>
            <w:tcW w:w="10720" w:type="dxa"/>
            <w:vAlign w:val="bottom"/>
            <w:gridSpan w:val="2"/>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r>
    </w:tbl>
    <w:p>
      <w:pPr>
        <w:spacing w:after="0" w:line="202" w:lineRule="exact"/>
        <w:rPr>
          <w:sz w:val="24"/>
          <w:szCs w:val="24"/>
          <w:color w:val="auto"/>
        </w:rPr>
      </w:pPr>
    </w:p>
    <w:p>
      <w:pPr>
        <w:ind w:left="920"/>
        <w:spacing w:after="0"/>
        <w:rPr>
          <w:sz w:val="20"/>
          <w:szCs w:val="20"/>
          <w:color w:val="auto"/>
        </w:rPr>
      </w:pPr>
      <w:r>
        <w:rPr>
          <w:rFonts w:ascii="Arial" w:cs="Arial" w:eastAsia="Arial" w:hAnsi="Arial"/>
          <w:sz w:val="18"/>
          <w:szCs w:val="18"/>
          <w:color w:val="auto"/>
        </w:rPr>
        <w:t>Unaudited Condensed Consolidated Financial Statements</w:t>
      </w:r>
    </w:p>
    <w:p>
      <w:pPr>
        <w:spacing w:after="0" w:line="225" w:lineRule="exact"/>
        <w:rPr>
          <w:sz w:val="24"/>
          <w:szCs w:val="24"/>
          <w:color w:val="auto"/>
        </w:rPr>
      </w:pPr>
    </w:p>
    <w:p>
      <w:pPr>
        <w:ind w:left="5660" w:right="3020" w:hanging="4755"/>
        <w:spacing w:after="0" w:line="528" w:lineRule="auto"/>
        <w:rPr>
          <w:sz w:val="20"/>
          <w:szCs w:val="20"/>
          <w:color w:val="auto"/>
        </w:rPr>
      </w:pPr>
      <w:r>
        <w:rPr>
          <w:rFonts w:ascii="Arial" w:cs="Arial" w:eastAsia="Arial" w:hAnsi="Arial"/>
          <w:sz w:val="18"/>
          <w:szCs w:val="18"/>
          <w:color w:val="auto"/>
        </w:rPr>
        <w:t>Appendix A: Supplemental Non-GAAP Partnership Performance Information and Reconciliation Tables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April 27, 2018</w:t>
      </w:r>
    </w:p>
    <w:p>
      <w:pPr>
        <w:sectPr>
          <w:pgSz w:w="11900" w:h="16838" w:orient="portrait"/>
          <w:cols w:equalWidth="0" w:num="1">
            <w:col w:w="11460"/>
          </w:cols>
          <w:pgMar w:left="240" w:top="544" w:right="199" w:bottom="0" w:gutter="0" w:footer="0" w:header="0"/>
        </w:sectPr>
      </w:pPr>
    </w:p>
    <w:bookmarkStart w:id="1" w:name="page2"/>
    <w:bookmarkEnd w:id="1"/>
    <w:p>
      <w:pPr>
        <w:ind w:left="45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4960"/>
        <w:spacing w:after="0"/>
        <w:tabs>
          <w:tab w:leader="none" w:pos="5360" w:val="left"/>
        </w:tabs>
        <w:rPr>
          <w:sz w:val="20"/>
          <w:szCs w:val="20"/>
          <w:color w:val="auto"/>
        </w:rPr>
      </w:pPr>
      <w:r>
        <w:rPr>
          <w:rFonts w:ascii="Arial" w:cs="Arial" w:eastAsia="Arial" w:hAnsi="Arial"/>
          <w:sz w:val="18"/>
          <w:szCs w:val="18"/>
          <w:color w:val="auto"/>
        </w:rPr>
        <w:t>by</w:t>
        <w:tab/>
        <w:t>/s/ Andrew Orekar</w:t>
      </w:r>
    </w:p>
    <w:p>
      <w:pPr>
        <w:spacing w:after="0" w:line="23" w:lineRule="exact"/>
        <w:rPr>
          <w:sz w:val="20"/>
          <w:szCs w:val="20"/>
          <w:color w:val="auto"/>
        </w:rPr>
      </w:pPr>
    </w:p>
    <w:p>
      <w:pPr>
        <w:ind w:left="5380"/>
        <w:spacing w:after="0"/>
        <w:tabs>
          <w:tab w:leader="none" w:pos="6020" w:val="left"/>
        </w:tabs>
        <w:rPr>
          <w:sz w:val="20"/>
          <w:szCs w:val="20"/>
          <w:color w:val="auto"/>
        </w:rPr>
      </w:pPr>
      <w:r>
        <w:rPr>
          <w:rFonts w:ascii="Arial" w:cs="Arial" w:eastAsia="Arial" w:hAnsi="Arial"/>
          <w:sz w:val="18"/>
          <w:szCs w:val="18"/>
          <w:color w:val="auto"/>
        </w:rPr>
        <w:t>Name:</w:t>
        <w:tab/>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-130810</wp:posOffset>
            </wp:positionV>
            <wp:extent cx="307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jc w:val="both"/>
        <w:ind w:left="5380"/>
        <w:spacing w:after="0"/>
        <w:tabs>
          <w:tab w:leader="none" w:pos="60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Reports Financial Results for the Three-Month Period Ended March 31, 2018 and Increases Cash Distribution</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Monaco, April 27, 2018, GasLog Partners LP (“GasLog Partners” or the “Partnership”) (NYSE: GLOP), </w:t>
      </w:r>
      <w:r>
        <w:rPr>
          <w:rFonts w:ascii="Arial" w:cs="Arial" w:eastAsia="Arial" w:hAnsi="Arial"/>
          <w:sz w:val="18"/>
          <w:szCs w:val="18"/>
          <w:color w:val="auto"/>
        </w:rPr>
        <w:t>an international owner and operator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today reported its financial results for the three-month period ended March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340" w:right="320" w:hanging="332"/>
        <w:spacing w:after="0" w:line="258"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a public offering of 8.200% Series B Cumulative Redeemable Perpetual Fixed to Floating Rate Preference Units (the “Series B Preference Units”), raising gross proceeds of $115.0 million and net proceeds of $111.2 million.</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in full the $45.0 million outstanding amount of the term loan facility with GasLog Ltd. (“GasLog”), due in March 2022.</w:t>
      </w:r>
    </w:p>
    <w:p>
      <w:pPr>
        <w:spacing w:after="0" w:line="9" w:lineRule="exact"/>
        <w:rPr>
          <w:rFonts w:ascii="Arial" w:cs="Arial" w:eastAsia="Arial" w:hAnsi="Arial"/>
          <w:sz w:val="18"/>
          <w:szCs w:val="18"/>
          <w:color w:val="auto"/>
        </w:rPr>
      </w:pPr>
    </w:p>
    <w:p>
      <w:pPr>
        <w:ind w:left="340" w:right="46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Prepaid in full the remaining $29.8 million balance of the junior tranche of the credit agreement entered into on February 18, 2016 (the “Five Vessel Refinancing”), due in April 2018.</w:t>
      </w:r>
    </w:p>
    <w:p>
      <w:pPr>
        <w:ind w:left="340" w:right="78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Successfully re-chartered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for approximately three and a half years commencing in either August or September 2018 at the Partnership’s option and either of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(as nominated by the Partnership) for one year, commencing in either November or December 2019 at the Partnership’s option.</w:t>
      </w:r>
    </w:p>
    <w:p>
      <w:pPr>
        <w:spacing w:after="0" w:line="1" w:lineRule="exact"/>
        <w:rPr>
          <w:rFonts w:ascii="Arial" w:cs="Arial" w:eastAsia="Arial" w:hAnsi="Arial"/>
          <w:sz w:val="18"/>
          <w:szCs w:val="18"/>
          <w:color w:val="auto"/>
        </w:rPr>
      </w:pPr>
    </w:p>
    <w:p>
      <w:pPr>
        <w:ind w:left="340" w:right="4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Announced and, post quarter-end, completed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from GasLog for $207.0 million, with attached multi-year charter to a subsidiary of Royal Dutch Shell plc (“Shell”). The acquisition was partially financed through the private issuance of $45.0 million of common units to GasLog.</w:t>
      </w:r>
    </w:p>
    <w:p>
      <w:pPr>
        <w:spacing w:after="0" w:line="1" w:lineRule="exact"/>
        <w:rPr>
          <w:rFonts w:ascii="Arial" w:cs="Arial" w:eastAsia="Arial" w:hAnsi="Arial"/>
          <w:sz w:val="18"/>
          <w:szCs w:val="18"/>
          <w:color w:val="auto"/>
        </w:rPr>
      </w:pPr>
    </w:p>
    <w:p>
      <w:pPr>
        <w:ind w:left="300" w:hanging="292"/>
        <w:spacing w:after="0" w:line="197"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Revenues, Profit, Adjusted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$77.1 million, $32.0 million, $26.5 million and $55.8 million, respectively.</w:t>
      </w:r>
    </w:p>
    <w:p>
      <w:pPr>
        <w:ind w:left="340" w:right="440" w:hanging="332"/>
        <w:spacing w:after="0" w:line="195"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Highest-ever quarterly Partnership Performance Results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Revenues, Profit, Adjusted Profit</w:t>
      </w:r>
      <w:r>
        <w:rPr>
          <w:rFonts w:ascii="Arial" w:cs="Arial" w:eastAsia="Arial" w:hAnsi="Arial"/>
          <w:sz w:val="23"/>
          <w:szCs w:val="23"/>
          <w:color w:val="auto"/>
          <w:vertAlign w:val="superscript"/>
        </w:rPr>
        <w:t>(1)</w:t>
      </w:r>
      <w:r>
        <w:rPr>
          <w:rFonts w:ascii="Arial" w:cs="Arial" w:eastAsia="Arial" w:hAnsi="Arial"/>
          <w:sz w:val="18"/>
          <w:szCs w:val="18"/>
          <w:color w:val="auto"/>
        </w:rPr>
        <w:t>,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Distributable cash flow</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$77.1 million, $32.0 million, $26.5 million, $55.8 million and $27.5 million, respectively.</w:t>
      </w:r>
    </w:p>
    <w:p>
      <w:pPr>
        <w:ind w:left="340" w:right="180" w:hanging="332"/>
        <w:spacing w:after="0" w:line="25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cash distribution of $0.53 per common unit for the first quarter of 2018, 1.2% higher than the fourth quarter of 2017 and 6.0% higher than the first quarter of 2017.</w:t>
      </w:r>
    </w:p>
    <w:p>
      <w:pPr>
        <w:ind w:left="340" w:right="320" w:hanging="332"/>
        <w:spacing w:after="0" w:line="219"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Distribution coverage ratio</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1.13x, or 1.18x prior to the issuance of $45.0 million of common units in relation to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acquisition completed post quarter-end and certain other issuances of common and general partner units through 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207010</wp:posOffset>
            </wp:positionV>
            <wp:extent cx="177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40" w:hanging="332"/>
        <w:spacing w:after="0" w:line="187"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ind w:left="340" w:right="100" w:hanging="332"/>
        <w:spacing w:after="0" w:line="182" w:lineRule="auto"/>
        <w:tabs>
          <w:tab w:leader="none" w:pos="328"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which are non-GAAP financial measures. For the definitions and reconciliations of these measures to the most directly comparable financial measures calculated and presented in accordance with IFRS, please refer to Exhibit II at the end of this press release.</w:t>
      </w:r>
    </w:p>
    <w:p>
      <w:pPr>
        <w:ind w:left="340" w:right="180" w:hanging="332"/>
        <w:spacing w:after="0" w:line="184" w:lineRule="auto"/>
        <w:tabs>
          <w:tab w:leader="none" w:pos="328"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Distribution coverage ratio represents the ratio of Distributable cash flow to the cash distribution declared. For the definition and reconciliation of Distributable cash flow to the most directly comparable financial measure calculated and presented in accordance with IFRS, please refer to Exhibit III at the end of this 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Andrew Orekar, Chief Executive Officer, commented: “In the first quarter, GasLog Partners continued to execute its growth strategy, delivering our highest-ever Partnership Performance Results for Revenues, Profit, Adjusted Profit, EBITDA and Distributable cash flow. Following this strong performance, we are increasing our cash distribution for the sixth consecutive quarter to $0.53 per unit, or $2.12 per unit annualized, while maintaining prudent distribution coverage.</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On March 21, 2018, we announced approval to enter into an agreement with GasLog for the drop-down of the </w:t>
      </w:r>
      <w:r>
        <w:rPr>
          <w:rFonts w:ascii="Arial" w:cs="Arial" w:eastAsia="Arial" w:hAnsi="Arial"/>
          <w:sz w:val="17"/>
          <w:szCs w:val="17"/>
          <w:i w:val="1"/>
          <w:iCs w:val="1"/>
          <w:color w:val="auto"/>
        </w:rPr>
        <w:t>GasLog Gibraltar</w:t>
      </w:r>
      <w:r>
        <w:rPr>
          <w:rFonts w:ascii="Arial" w:cs="Arial" w:eastAsia="Arial" w:hAnsi="Arial"/>
          <w:sz w:val="17"/>
          <w:szCs w:val="17"/>
          <w:color w:val="auto"/>
        </w:rPr>
        <w:t>, our fourth acquisition in the last twelve months. The acquisition closed on April 26, 2018, expanding the Partnership’s fleet to 13 wholly owned LNG carriers and increasing our average remaining charter duration. Furthermore, the financing of this transaction, with GasLog receiving $45 million newly issued, privately placed common units as partial consideration for the vessel, demonstrates the clearly aligned interests of GasLog Partners and GasLog.</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also announced multiple charter agreements with a new customer, including a three-and-a-half year charter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as well as a one-year charter for one of our modern steam-powered (“Steam”) vessels. Pro forma for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acquisition, these charters increase our contracted days to 90% in 2018 and 83% in 2019. Lastly, we strengthened our balance sheet by retiring over $100 million in debt during the quarter. These actions support our year-on-year distribution growth guidance of 5% to 7% in 2018 while positioning GasLog Partners to successfully execute future growth initiatives.”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Series B Preference Units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January 17, 2018, GasLog Partners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$111.2 million. The Series B Preference Units are listed on the New York Stock Exchange under the symbol “GLOP PR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Charter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GasLog Partners entered into agreements with a new customer for two new charters plus options for an additional two charters, exercisable by the charterer. The agreements include an approximately three-and-a-half-year charter for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 155,000 cbm TFDE LNG carrier built in 2013, commencing in either August or September 2018 at the Partnership’s option, and a one-year charter for a 145,000 cbm Steam vessel (either the 2006-built </w:t>
      </w:r>
      <w:r>
        <w:rPr>
          <w:rFonts w:ascii="Arial" w:cs="Arial" w:eastAsia="Arial" w:hAnsi="Arial"/>
          <w:sz w:val="18"/>
          <w:szCs w:val="18"/>
          <w:i w:val="1"/>
          <w:iCs w:val="1"/>
          <w:color w:val="auto"/>
        </w:rPr>
        <w:t xml:space="preserve">Methane Jane Elizabeth </w:t>
      </w:r>
      <w:r>
        <w:rPr>
          <w:rFonts w:ascii="Arial" w:cs="Arial" w:eastAsia="Arial" w:hAnsi="Arial"/>
          <w:sz w:val="18"/>
          <w:szCs w:val="18"/>
          <w:color w:val="auto"/>
        </w:rPr>
        <w:t>or the 2007-built</w:t>
      </w:r>
      <w:r>
        <w:rPr>
          <w:rFonts w:ascii="Arial" w:cs="Arial" w:eastAsia="Arial" w:hAnsi="Arial"/>
          <w:sz w:val="18"/>
          <w:szCs w:val="18"/>
          <w:i w:val="1"/>
          <w:iCs w:val="1"/>
          <w:color w:val="auto"/>
        </w:rPr>
        <w:t xml:space="preserve"> Methane Alison Victoria </w:t>
      </w:r>
      <w:r>
        <w:rPr>
          <w:rFonts w:ascii="Arial" w:cs="Arial" w:eastAsia="Arial" w:hAnsi="Arial"/>
          <w:sz w:val="18"/>
          <w:szCs w:val="18"/>
          <w:color w:val="auto"/>
        </w:rPr>
        <w:t>as nominated by the Partnership) commencing in either November or December 2019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Partnership’s option. The charterer has options to extend the first charter for up to an additional seven years and the second charter for up to an additional four years, both at escalating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Acquisition of the </w:t>
      </w:r>
      <w:r>
        <w:rPr>
          <w:rFonts w:ascii="Arial" w:cs="Arial" w:eastAsia="Arial" w:hAnsi="Arial"/>
          <w:sz w:val="18"/>
          <w:szCs w:val="18"/>
          <w:b w:val="1"/>
          <w:bCs w:val="1"/>
          <w:i w:val="1"/>
          <w:iCs w:val="1"/>
          <w:u w:val="single" w:color="auto"/>
          <w:color w:val="auto"/>
        </w:rPr>
        <w:t>GasLog Gibraltar</w:t>
      </w:r>
    </w:p>
    <w:p>
      <w:pPr>
        <w:sectPr>
          <w:pgSz w:w="11900" w:h="16838" w:orient="portrait"/>
          <w:cols w:equalWidth="0" w:num="1">
            <w:col w:w="11420"/>
          </w:cols>
          <w:pgMar w:left="240" w:top="121" w:right="239" w:bottom="0" w:gutter="0" w:footer="0" w:header="0"/>
        </w:sectPr>
      </w:pPr>
    </w:p>
    <w:bookmarkStart w:id="3" w:name="page4"/>
    <w:bookmarkEnd w:id="3"/>
    <w:p>
      <w:pPr>
        <w:ind w:right="200"/>
        <w:spacing w:after="0" w:line="279" w:lineRule="auto"/>
        <w:rPr>
          <w:sz w:val="20"/>
          <w:szCs w:val="20"/>
          <w:color w:val="auto"/>
        </w:rPr>
      </w:pPr>
      <w:r>
        <w:rPr>
          <w:rFonts w:ascii="Arial" w:cs="Arial" w:eastAsia="Arial" w:hAnsi="Arial"/>
          <w:sz w:val="17"/>
          <w:szCs w:val="17"/>
          <w:color w:val="auto"/>
        </w:rPr>
        <w:t xml:space="preserve">On March 21, 2018, we announced approval to enter into an agreement with GasLog to acquire 100% of the shares in the entity that owns and charters to Shell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from GasLog.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is a 174,000 cubic meter (“cbm”) tri-fuel diesel electric (“TFDE”) LNG carrier built in 2016 and operated by GasLog since delivery. The vessel is currently on a multi-year time charter with a subsidiary of Shell through October 2023 and Shell has two consecutive extension options which, if exercised, would extend the charter for a period of either five or eight years.</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The aggregate purchase price for the acquisition was $207.0 million, which includes $1.0 million for positive net working capital balances transferred with the vessel. GasLog Partners financed the acquisition with cash on hand, including proceeds from the recent Series B Preference Units public offering, $45.0 million of new privately placed common units issued to GasLog (1,858,975 common units at a price of $24.21 per unit) and the assumption of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Gibraltar</w:t>
      </w:r>
      <w:r>
        <w:rPr>
          <w:rFonts w:ascii="Arial" w:cs="Arial" w:eastAsia="Arial" w:hAnsi="Arial"/>
          <w:sz w:val="17"/>
          <w:szCs w:val="17"/>
          <w:color w:val="auto"/>
        </w:rPr>
        <w:t>’s outstanding indebtedness of $143.6 million. The acquisition closed on April 26,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ATM Common Equity Offering Programme (“ATM Programme”)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Since the commencement of the ATM Programme through March 31, 2018, GasLog Partners has issued and received payment for a total of 2,737,405 common units, with cumulative gross proceeds of $62.9 million at a weighted average price of $22.97 per unit, representing a discount of 0.5% to the volume weighted average trading price of GasLog Partners’ common units on the days on which new common units were issued. In connection with the issuance of common units under the ATM Programme during this period, the Partnership also issued 55,866 general partner units to its general partner.</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issuances of common units were made under the ATM Programme in the first quarter of 2018. As of March 31, 2018, the cumulative net proceeds from the ATM Programme and the issuance of general partner units were $62.5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IFRS Common Control Reported Results</w:t>
            </w:r>
            <w:r>
              <w:rPr>
                <w:rFonts w:ascii="Arial" w:cs="Arial" w:eastAsia="Arial" w:hAnsi="Arial"/>
                <w:sz w:val="17"/>
                <w:szCs w:val="17"/>
                <w:b w:val="1"/>
                <w:bCs w:val="1"/>
                <w:color w:val="auto"/>
                <w:w w:val="93"/>
                <w:vertAlign w:val="superscript"/>
              </w:rPr>
              <w:t>(1)</w:t>
            </w: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42"/>
        </w:trPr>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Borders>
              <w:bottom w:val="single" w:sz="8" w:color="auto"/>
            </w:tcBorders>
            <w:gridSpan w:val="5"/>
          </w:tcPr>
          <w:p>
            <w:pPr>
              <w:jc w:val="center"/>
              <w:ind w:left="678"/>
              <w:spacing w:after="0" w:line="142" w:lineRule="exact"/>
              <w:rPr>
                <w:sz w:val="20"/>
                <w:szCs w:val="20"/>
                <w:color w:val="auto"/>
              </w:rPr>
            </w:pPr>
            <w:r>
              <w:rPr>
                <w:rFonts w:ascii="Arial" w:cs="Arial" w:eastAsia="Arial" w:hAnsi="Arial"/>
                <w:sz w:val="14"/>
                <w:szCs w:val="14"/>
                <w:b w:val="1"/>
                <w:bCs w:val="1"/>
                <w:color w:val="auto"/>
                <w:w w:val="90"/>
              </w:rPr>
              <w:t>For the three months ended</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 Change from</w:t>
            </w:r>
          </w:p>
        </w:tc>
        <w:tc>
          <w:tcPr>
            <w:tcW w:w="320" w:type="dxa"/>
            <w:vAlign w:val="bottom"/>
          </w:tcPr>
          <w:p>
            <w:pPr>
              <w:spacing w:after="0"/>
              <w:rPr>
                <w:sz w:val="12"/>
                <w:szCs w:val="12"/>
                <w:color w:val="auto"/>
              </w:rPr>
            </w:pPr>
          </w:p>
        </w:tc>
      </w:tr>
      <w:tr>
        <w:trPr>
          <w:trHeight w:val="119"/>
        </w:trPr>
        <w:tc>
          <w:tcPr>
            <w:tcW w:w="4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14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r>
      <w:tr>
        <w:trPr>
          <w:trHeight w:val="171"/>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77,061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29,889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28,960</w:t>
            </w:r>
          </w:p>
        </w:tc>
        <w:tc>
          <w:tcPr>
            <w:tcW w:w="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32,002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45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29,241</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25,605</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26,532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305"/>
        </w:trPr>
        <w:tc>
          <w:tcPr>
            <w:tcW w:w="45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59,196</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56,437</w:t>
            </w:r>
          </w:p>
        </w:tc>
        <w:tc>
          <w:tcPr>
            <w:tcW w:w="60" w:type="dxa"/>
            <w:vAlign w:val="bottom"/>
          </w:tcPr>
          <w:p>
            <w:pPr>
              <w:spacing w:after="0"/>
              <w:rPr>
                <w:sz w:val="24"/>
                <w:szCs w:val="24"/>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55,830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9" w:lineRule="exact"/>
        <w:rPr>
          <w:sz w:val="20"/>
          <w:szCs w:val="20"/>
          <w:color w:val="auto"/>
        </w:rPr>
      </w:pPr>
    </w:p>
    <w:p>
      <w:pPr>
        <w:ind w:left="660" w:right="160" w:hanging="328"/>
        <w:spacing w:after="0" w:line="201"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4" w:lineRule="exact"/>
        <w:rPr>
          <w:rFonts w:ascii="Arial" w:cs="Arial" w:eastAsia="Arial" w:hAnsi="Arial"/>
          <w:sz w:val="23"/>
          <w:szCs w:val="23"/>
          <w:color w:val="auto"/>
          <w:vertAlign w:val="superscript"/>
        </w:rPr>
      </w:pPr>
    </w:p>
    <w:p>
      <w:pPr>
        <w:ind w:left="660" w:right="100" w:hanging="328"/>
        <w:spacing w:after="0" w:line="186" w:lineRule="auto"/>
        <w:tabs>
          <w:tab w:leader="none" w:pos="648"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Adjusted Profit and EBITDA are non-GAAP financial measures. For the definitions and reconciliations of these measures to the most directly comparable financial measure presented in accordance with IFRS, please refer to Exhibit III at the end of this press release.</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increase in profit in the first quarter of 2018 as compared to the same period in 2017 is mainly attributable to an increase of $6.3 million in gain on interest rate swaps, partially offset by a decrease in profit from operations of $3.5 million (due to increased scheduled technical maintenance costs and administrative fees) and an increase in financial costs of $1.1 million.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profit in the first quarter of 2018 as compared to the fourth quarter of 2017 is mainly attributable to an increase of $3.2 million in gain on interest rate swaps.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1"/>
              </w:rPr>
              <w:t>Partnership Performance Results</w:t>
            </w:r>
            <w:r>
              <w:rPr>
                <w:rFonts w:ascii="Arial" w:cs="Arial" w:eastAsia="Arial" w:hAnsi="Arial"/>
                <w:sz w:val="17"/>
                <w:szCs w:val="17"/>
                <w:b w:val="1"/>
                <w:bCs w:val="1"/>
                <w:color w:val="auto"/>
                <w:w w:val="91"/>
                <w:vertAlign w:val="superscript"/>
              </w:rPr>
              <w:t>(1)</w:t>
            </w:r>
          </w:p>
        </w:tc>
        <w:tc>
          <w:tcPr>
            <w:tcW w:w="1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42"/>
        </w:trPr>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Borders>
              <w:bottom w:val="single" w:sz="8" w:color="auto"/>
            </w:tcBorders>
            <w:gridSpan w:val="5"/>
          </w:tcPr>
          <w:p>
            <w:pPr>
              <w:jc w:val="center"/>
              <w:ind w:left="697"/>
              <w:spacing w:after="0" w:line="142" w:lineRule="exact"/>
              <w:rPr>
                <w:sz w:val="20"/>
                <w:szCs w:val="20"/>
                <w:color w:val="auto"/>
              </w:rPr>
            </w:pPr>
            <w:r>
              <w:rPr>
                <w:rFonts w:ascii="Arial" w:cs="Arial" w:eastAsia="Arial" w:hAnsi="Arial"/>
                <w:sz w:val="14"/>
                <w:szCs w:val="14"/>
                <w:b w:val="1"/>
                <w:bCs w:val="1"/>
                <w:color w:val="auto"/>
                <w:w w:val="91"/>
              </w:rPr>
              <w:t>For the three months ended</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 Change from</w:t>
            </w:r>
          </w:p>
        </w:tc>
        <w:tc>
          <w:tcPr>
            <w:tcW w:w="320" w:type="dxa"/>
            <w:vAlign w:val="bottom"/>
          </w:tcPr>
          <w:p>
            <w:pPr>
              <w:spacing w:after="0"/>
              <w:rPr>
                <w:sz w:val="12"/>
                <w:szCs w:val="12"/>
                <w:color w:val="auto"/>
              </w:rPr>
            </w:pPr>
          </w:p>
        </w:tc>
      </w:tr>
      <w:tr>
        <w:trPr>
          <w:trHeight w:val="119"/>
        </w:trPr>
        <w:tc>
          <w:tcPr>
            <w:tcW w:w="4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March 31,</w:t>
            </w:r>
          </w:p>
        </w:tc>
        <w:tc>
          <w:tcPr>
            <w:tcW w:w="14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r>
      <w:tr>
        <w:trPr>
          <w:trHeight w:val="171"/>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3"/>
              </w:rPr>
              <w:t>77,061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21,022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28,438</w:t>
            </w:r>
          </w:p>
        </w:tc>
        <w:tc>
          <w:tcPr>
            <w:tcW w:w="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32,002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Adjusted Profit</w:t>
            </w:r>
            <w:r>
              <w:rPr>
                <w:rFonts w:ascii="Arial" w:cs="Arial" w:eastAsia="Arial" w:hAnsi="Arial"/>
                <w:sz w:val="23"/>
                <w:szCs w:val="23"/>
                <w:color w:val="auto"/>
                <w:vertAlign w:val="superscript"/>
              </w:rPr>
              <w:t>(2)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20,374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25,083</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26,532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500" w:type="dxa"/>
            <w:vAlign w:val="bottom"/>
            <w:gridSpan w:val="2"/>
          </w:tcPr>
          <w:p>
            <w:pPr>
              <w:spacing w:after="0" w:line="216"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42,026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55,358</w:t>
            </w:r>
          </w:p>
        </w:tc>
        <w:tc>
          <w:tcPr>
            <w:tcW w:w="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55,830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3"/>
                <w:szCs w:val="23"/>
                <w:color w:val="auto"/>
                <w:vertAlign w:val="superscript"/>
              </w:rPr>
              <w:t>(2)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23,496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26,934</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27,462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distributions declared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20,121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22,845</w:t>
            </w:r>
          </w:p>
        </w:tc>
        <w:tc>
          <w:tcPr>
            <w:tcW w:w="60" w:type="dxa"/>
            <w:vAlign w:val="bottom"/>
          </w:tcPr>
          <w:p>
            <w:pPr>
              <w:spacing w:after="0"/>
              <w:rPr>
                <w:sz w:val="20"/>
                <w:szCs w:val="20"/>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24,272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660" w:right="40" w:hanging="328"/>
        <w:spacing w:after="0" w:line="228"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7" w:lineRule="exact"/>
        <w:rPr>
          <w:rFonts w:ascii="Arial" w:cs="Arial" w:eastAsia="Arial" w:hAnsi="Arial"/>
          <w:sz w:val="21"/>
          <w:szCs w:val="21"/>
          <w:color w:val="auto"/>
          <w:vertAlign w:val="superscript"/>
        </w:rPr>
      </w:pPr>
    </w:p>
    <w:p>
      <w:pPr>
        <w:ind w:left="660" w:right="180" w:hanging="328"/>
        <w:spacing w:after="0" w:line="196"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Adjusted Profit, EBITDA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ectPr>
          <w:pgSz w:w="11900" w:h="16838" w:orient="portrait"/>
          <w:cols w:equalWidth="0" w:num="1">
            <w:col w:w="11420"/>
          </w:cols>
          <w:pgMar w:left="240" w:top="125" w:right="239" w:bottom="0" w:gutter="0" w:footer="0" w:header="0"/>
        </w:sectPr>
      </w:pPr>
    </w:p>
    <w:bookmarkStart w:id="4" w:name="page5"/>
    <w:bookmarkEnd w:id="4"/>
    <w:p>
      <w:pPr>
        <w:spacing w:after="0" w:line="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increase in profit for the first quarter of 2018 as compared to the same period in 2017 is attributable to the $12.5 million profit from operations of the </w:t>
      </w:r>
      <w:r>
        <w:rPr>
          <w:rFonts w:ascii="Arial" w:cs="Arial" w:eastAsia="Arial" w:hAnsi="Arial"/>
          <w:sz w:val="17"/>
          <w:szCs w:val="17"/>
          <w:i w:val="1"/>
          <w:iCs w:val="1"/>
          <w:color w:val="auto"/>
        </w:rPr>
        <w:t>GasLog 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Solaris</w:t>
      </w:r>
      <w:r>
        <w:rPr>
          <w:rFonts w:ascii="Arial" w:cs="Arial" w:eastAsia="Arial" w:hAnsi="Arial"/>
          <w:sz w:val="17"/>
          <w:szCs w:val="17"/>
          <w:color w:val="auto"/>
        </w:rPr>
        <w:t>, acquired by the Partnership on May 3, 2017, July 3, 2017, and October 20, 2017, respectively, and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increase of $6.3 million in gain on interest rate swaps, partially offset by an increase of $5.1 million in financial costs, mainly resulting from the increased weighted average debt outstanding, an increase of $1.6 million in operating expenses for the remaining vessels, mainly resulting from increased scheduled technical maintenance costs related to engine maintenance, intermediate surveys and certifications, and crew wages, due to the unfavorable movement of the EUR/USD exchange rate, and an increase of $1.2 million in general and administrative expenses, mainly resulting from the increase in the administrative fees and the acquisitions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profit in the first quarter of 2018 as compared to the fourth quarter of 2017 is mainly attributable to an increase of $3.2 million in mark-to-market gain on interest rate swaps.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Preference Unit Distributions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February 8, 2018, the board of directors of GasLog Partners approved and declared a distribution on the Series A Preference Units of $0.5390625 per preference unit and a distribution on the Series B Preference Units of $0.33028 per preference unit. The cash distributions were paid on March 15, 2018 to all unitholders of record as of March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Unit Distribution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April 26, 2018, the board of directors of GasLog Partners approved and declared a quarterly cash distribution of $0.53 per common unit for the quarter ended March 31, 2018. The cash distribution is payable on May 11, 2018 to all unitholders of record as of May 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Financing</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2018, we had $145.1 million of cash and cash equivalents, of which $33.7 million was held in current accounts and $111.4 million was held in time deposits.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2018, we had an aggregate of $1,053.8 million of indebtedness outstanding under our credit facilities of which $74.2 million is repayable within one year. In addition, we had unused availability under our revolving credit facilities of $55.9 million.</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On January 5, 2018, the respective subsidiaries of GasLog Partners prepaid in full the outstanding $29.8 million of the junior tranche of the Five Vessel Refinancing, which would have been due in April 2018. Also, on March 23, 2018, the $45.0 million term loan facility with GasLog was prepaid and terminated, which would have been due in March 2022.</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On April 26, 2018, in connection with the acquisition of GAS-fourteen Ltd., the entity that owns the </w:t>
      </w:r>
      <w:r>
        <w:rPr>
          <w:rFonts w:ascii="Arial" w:cs="Arial" w:eastAsia="Arial" w:hAnsi="Arial"/>
          <w:sz w:val="17"/>
          <w:szCs w:val="17"/>
          <w:i w:val="1"/>
          <w:iCs w:val="1"/>
          <w:color w:val="auto"/>
        </w:rPr>
        <w:t>GasLog Gibraltar</w:t>
      </w:r>
      <w:r>
        <w:rPr>
          <w:rFonts w:ascii="Arial" w:cs="Arial" w:eastAsia="Arial" w:hAnsi="Arial"/>
          <w:sz w:val="17"/>
          <w:szCs w:val="17"/>
          <w:color w:val="auto"/>
        </w:rPr>
        <w:t>, the Partnership paid GasLog $19.0 million representing the $207.0 million aggregate purchase price, less the $45.0 million new privately placed common units issued to GasLog (1,858,975 common units at a price of $24.21 per unit) and the $143.6 million of outstanding indebtedness of the acquired entity assumed by GasLog Partners plus an adjustment of $0.6 million in order to maintain the agreed working capital position in the acquired entity of $1.0 million.</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Partnership has entered into four interest rate swap agreements with GasLog at a notional value of $470.0 million in aggregate, maturing between 2020 and 2022. As of March 31, 2018, the Partnership has hedged 44.0% of its floating interest rate exposure on its outstanding debt at a weighted average interest rate of approximately 1.7% (excluding margin).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2018, our current assets totaled $159.8 million and current liabilities totaled $107.7 million, resulting in a positive working capital position of $52.1 million.</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are expected to complete their scheduled dry-dockings in the second quarter of 2018 and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is expected to complete her scheduled dry-docking during the fourth quarter of 2018. In addition to the normal cost of the scheduled dry-dockings for which provisions are made through our dry-docking reserves in our Distributable cash flow calculations, we have committed to make certain investments in two of these vessels with the aim of enhancing their operational performance at a total cost of approximately $28.6 million, which is expected to be capitalized as part of the respective vessel’s cost. Of the total cost of approximately $28.6 million, approximately $9.3 million has already been paid. The outstanding commitment of $19.3 million will be funded with cash balances and cash from operations. As a result of the additional work required, we expect the dry-dockings for these two vessels to last somewhat longer than would normally be the case. The additional time required for such work is expected to be approximately ten days per vessel.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Global LNG production continued to grow in Q1 2018, registering a 10% year-on-year increase and a 2% increase over Q4 2017 as measured by Wood Mackenzie. The ramp-up of the Yamal project in Russia has outperformed expectations, the first commercial cargo from Cove Point in the United States was exported in April and legacy liquefaction capacity operated at high utilization to take advantage of the high prices caused by strong demand growth partly driven by the cold Northern Hemisphere winter. However, new supply growth was partly offset by several plant outages, principally at PNG LNG following an earthquake in late February and shorter outages of other projects in Malaysia, Russia and Peru.</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While a number of projects expected onstream in 2018 have experienced delays, Wood Mackenzie currently expects that some 29 million tonnes per annum (“mtpa”) of capacity will enter commercial service between Q2 and Q4 2018, underpinning the forecasted 2018 supply of 325 mtpa, or 9% growth over 2017. Among the projects which Wood Mackenzie expects onstream in 2018 are Wheatstone Train 2 (Q2), Ichthys (Q3) and Prelude (Q4) in Australia, Cameroon floating LNG (Q2) and the second train at Yamal (Q4). A further 51 mtpa is forecast by Wood Mackenzie to come onstream over the 2019-2021 period. These estimates reflect recent news flow on the expected commissioning dates of the Ichthys, Freeport and Prelude projects.</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Q1 2018, 10 mtpa of long-term supply contracts were agreed, bringing the total volume of supply contracts signed since the beginning of 2017 to 37 mtpa, demonstrating strengthening interest from LNG buyers and potential support for sanctioning of further liquefaction capacity. Also during the first quarter, a number of potential new projects continued to make good progress towards final investment decisions (“FID”), including projects in the United States such as</w:t>
      </w:r>
    </w:p>
    <w:p>
      <w:pPr>
        <w:sectPr>
          <w:pgSz w:w="11900" w:h="16885" w:orient="portrait"/>
          <w:cols w:equalWidth="0" w:num="1">
            <w:col w:w="11400"/>
          </w:cols>
          <w:pgMar w:left="240" w:top="125" w:right="259" w:bottom="0" w:gutter="0" w:footer="0" w:header="0"/>
        </w:sectPr>
      </w:pPr>
    </w:p>
    <w:bookmarkStart w:id="5" w:name="page6"/>
    <w:bookmarkEnd w:id="5"/>
    <w:p>
      <w:pPr>
        <w:ind w:right="260"/>
        <w:spacing w:after="0" w:line="308" w:lineRule="auto"/>
        <w:rPr>
          <w:sz w:val="20"/>
          <w:szCs w:val="20"/>
          <w:color w:val="auto"/>
        </w:rPr>
      </w:pPr>
      <w:r>
        <w:rPr>
          <w:rFonts w:ascii="Arial" w:cs="Arial" w:eastAsia="Arial" w:hAnsi="Arial"/>
          <w:sz w:val="17"/>
          <w:szCs w:val="17"/>
          <w:color w:val="auto"/>
        </w:rPr>
        <w:t>Corpus Christi Train 3, in Canada (boosted by British Columbia tax relief proposals) and in Mozambique (Area 1 project), as well as the announcement by the PNG LNG partners of reaching an agreement on plans to double exports from Papua New Guinea’s LNG facility to 16 mtpa.</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LNG market participants continue to forecast significant growth in LNG demand. Consensus compound annual growth rate in LNG demand of 6% is forecast over the 2017-2025 period. Based upon Wood Mackenzie’s forecasts of supply either onstream or under construction, this suggests the market may be short of LNG as soon as 2020, reiterating the need for further LNG supply projects to be sanctioned in the near-term. LNG continues to be seen as an attractive way to diversify energy imports, with Germany being the most recent country to articulate plans to develop LNG import infrastructure.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measured by Poten, tonne miles in Q1 2018 were 18% higher year on year, continuing the significant growth trend seen in 2017. Structural changes in the LNG market, such as fragmentation of market participants, the increasing market share of portfolio players such as Shell, Total S.A. and BP plc and commodity traders, and a move away from destination clauses in supply contracts are all increasing the amount of LNG traded and bode well for further increases in tonne miles.</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Headline spot LNG shipping rates as reported by Clarksons have exhibited seasonal weakness in recent months, declining to $38,000 per day currently from approximately $80,000 per day at the beginning of the year. However, the decline has been more rapid than expected and exacerbated by a number of one-off factors, including the unplanned downtime at LNG facilities mentioned above, delays in the commissioning of new liquefaction supply and the delivery of 18 newbuild LNG carriers during the first quarter of 2018. Nonetheless, spot rates are currently 27% ahead of year ago levels. While the market may continue to be affected by seasonal factors driving LNG supply and demand, and there may be further delays to the commissioning of new liquefaction projects currently under construction, we remain optimistic that a tightening shipping market, driven by the positive outlook for LNG demand growth and the evolving LNG shipping market, will result in spot rates improving from current levels over time.</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This positive outlook and the perceived requirement for new ships have resulted in 18 firm newbuild LNG carrier orders so far in 2018, of which two are GasLog vessels. Based on our analysis of expected LNG demand, between 35 and 62 additional LNG carriers will be needed by the end of 2022 and potentially as many as 117 vessels by 2025 to satisfy projected market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GasLog Partners will host a conference call to discuss its results for the first quarter of 2018 at 8:30 a.m. EDT (1:30 p.m. BST) on Friday, April 27, 2018. Andrew Orekar, Chief Executive Officer, and Alastair Maxwell, Chief Financial Officer, will review the Partnership’s operational and financial performance for the period. Management’s presentation will be followed by a Q&amp;A session.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+1 855 253 8928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8954027</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live webcast of the conference call will also be available on the investor relations page of the Partnership’s website at http://www.gaslogmlp.com/investor-relations.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12:00 p.m. EDT (5:00 p.m. BST) on Friday, April 27, 2018 until 12:00 p.m. EDT (5:00 p.m. BST) on Friday, May 4,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8954027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replay will also be available via a webcast on the investor relations page of the Partnership’s website at http://www.gaslogmlp.com/investor-relations.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13 LNG carriers with an average carrying capacity of approximately 156,000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ectPr>
          <w:pgSz w:w="11900" w:h="16838" w:orient="portrait"/>
          <w:cols w:equalWidth="0" w:num="1">
            <w:col w:w="11420"/>
          </w:cols>
          <w:pgMar w:left="240" w:top="125" w:right="239" w:bottom="0" w:gutter="0" w:footer="0" w:header="0"/>
        </w:sectPr>
      </w:pPr>
    </w:p>
    <w:bookmarkStart w:id="6" w:name="page7"/>
    <w:bookmarkEnd w:id="6"/>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60" w:hanging="328"/>
        <w:spacing w:after="0" w:line="258"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9" w:lineRule="exact"/>
        <w:rPr>
          <w:rFonts w:ascii="Arial" w:cs="Arial" w:eastAsia="Arial" w:hAnsi="Arial"/>
          <w:sz w:val="18"/>
          <w:szCs w:val="18"/>
          <w:color w:val="auto"/>
        </w:rPr>
      </w:pPr>
    </w:p>
    <w:p>
      <w:pPr>
        <w:ind w:left="660" w:right="260" w:hanging="328"/>
        <w:spacing w:after="0" w:line="255"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34" w:lineRule="exact"/>
        <w:rPr>
          <w:rFonts w:ascii="Arial" w:cs="Arial" w:eastAsia="Arial" w:hAnsi="Arial"/>
          <w:sz w:val="17"/>
          <w:szCs w:val="17"/>
          <w:color w:val="auto"/>
        </w:rPr>
      </w:pPr>
    </w:p>
    <w:p>
      <w:pPr>
        <w:ind w:left="660" w:right="32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operations, including the discharge of pollutants;</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 — Unaudited Interim Financial Information: IFRS Common Control Reported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March 31, 2018</w:t>
      </w:r>
    </w:p>
    <w:p>
      <w:pPr>
        <w:sectPr>
          <w:pgSz w:w="11900" w:h="1688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Vessels</w:t>
            </w:r>
          </w:p>
        </w:tc>
        <w:tc>
          <w:tcPr>
            <w:tcW w:w="1360" w:type="dxa"/>
            <w:vAlign w:val="bottom"/>
          </w:tcPr>
          <w:p>
            <w:pPr>
              <w:jc w:val="right"/>
              <w:spacing w:after="0"/>
              <w:rPr>
                <w:sz w:val="20"/>
                <w:szCs w:val="20"/>
                <w:color w:val="auto"/>
              </w:rPr>
            </w:pPr>
            <w:r>
              <w:rPr>
                <w:rFonts w:ascii="Arial" w:cs="Arial" w:eastAsia="Arial" w:hAnsi="Arial"/>
                <w:sz w:val="18"/>
                <w:szCs w:val="18"/>
                <w:color w:val="auto"/>
              </w:rPr>
              <w:t>1,953,057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1,943,426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1,959,095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1,953,708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Inventories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2,565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1,502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151,295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159,809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2,110,390</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2,113,517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Partners’ equity and liabilities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4"/>
              </w:rPr>
              <w:t>Common unitholders (41,002,121 units issued and outstanding as of December 31, 2017 and March 31, 2018)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752,456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755,172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(836,779 units issued and outstanding as of December 31, 2017 and March 31, 2018)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Incentive distribution rights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6,596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Preference unitholders (5,750,000 Series A Preference Units issued and outstanding as of December 31, 2017</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and 5,750,000 Series A Preference Units and 4,600,000 Series B Preference Units issued and outstanding as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March 31, 2018)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partners’ equity</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910,154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1,026,052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4,636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Borrowings—current portion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103,829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74,188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148,219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1,051,767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1,052,017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979,750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2,110,390</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2,113,517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jc w:val="right"/>
              <w:ind w:right="245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gridSpan w:val="2"/>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2017 and March 31, 2018</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1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64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March 31, 2017</w:t>
            </w: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March 31, 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(13,643)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Depreciation</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(16,697)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42,499</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Financial income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29,889</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spacing w:after="0"/>
              <w:rPr>
                <w:sz w:val="20"/>
                <w:szCs w:val="20"/>
                <w:color w:val="auto"/>
              </w:rPr>
            </w:pPr>
            <w:r>
              <w:rPr>
                <w:rFonts w:ascii="Arial" w:cs="Arial" w:eastAsia="Arial" w:hAnsi="Arial"/>
                <w:sz w:val="18"/>
                <w:szCs w:val="18"/>
                <w:color w:val="auto"/>
              </w:rPr>
              <w:t>Less: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attributable to Partnership’s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21,022</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Partnership’s profit attributable to:</w:t>
            </w: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Common units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14,724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General partner units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Preference units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Earnings per unit for the period (basic and diluted):</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Common unit (basic and diluted)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Subordinated unit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-4632325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-4632325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8" w:name="page9"/>
    <w:bookmarkEnd w:id="8"/>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 and March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6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March 31,</w:t>
            </w:r>
          </w:p>
        </w:tc>
        <w:tc>
          <w:tcPr>
            <w:tcW w:w="114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Profit for the period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29,889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Depreciation</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16,697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Financial income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swaps held for trading</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58,706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Movements in working capital</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paid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40,989</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Payments for vessels’ additions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short-term investments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line="201" w:lineRule="exact"/>
              <w:rPr>
                <w:sz w:val="20"/>
                <w:szCs w:val="20"/>
                <w:color w:val="auto"/>
              </w:rPr>
            </w:pPr>
            <w:r>
              <w:rPr>
                <w:rFonts w:ascii="Arial" w:cs="Arial" w:eastAsia="Arial" w:hAnsi="Arial"/>
                <w:sz w:val="18"/>
                <w:szCs w:val="18"/>
                <w:color w:val="auto"/>
              </w:rPr>
              <w:t>Proceeds from public offerings and issuances of common units and general partner units (net of underwriting</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jc w:val="right"/>
              <w:ind w:right="6450"/>
              <w:spacing w:after="0"/>
              <w:rPr>
                <w:sz w:val="20"/>
                <w:szCs w:val="20"/>
                <w:color w:val="auto"/>
              </w:rPr>
            </w:pPr>
            <w:r>
              <w:rPr>
                <w:rFonts w:ascii="Arial" w:cs="Arial" w:eastAsia="Arial" w:hAnsi="Arial"/>
                <w:sz w:val="18"/>
                <w:szCs w:val="18"/>
                <w:color w:val="auto"/>
                <w:w w:val="96"/>
              </w:rPr>
              <w:t>discounts and commissions)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80,141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from public offering and issuance of preference units (net of underwriting discounts and commissions)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31,302</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78,170</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56,506</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134,676</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145,101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jc w:val="right"/>
              <w:ind w:right="291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7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Partnership Performance Results presented below are non-GAAP measures and exclude amounts related to GAS-eleven Ltd. (the owner of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Greece</w:t>
      </w:r>
      <w:r>
        <w:rPr>
          <w:rFonts w:ascii="Arial" w:cs="Arial" w:eastAsia="Arial" w:hAnsi="Arial"/>
          <w:sz w:val="18"/>
          <w:szCs w:val="18"/>
          <w:color w:val="auto"/>
        </w:rPr>
        <w:t>), GAS-thirteen Ltd. (the owner of the</w:t>
      </w:r>
      <w:r>
        <w:rPr>
          <w:rFonts w:ascii="Arial" w:cs="Arial" w:eastAsia="Arial" w:hAnsi="Arial"/>
          <w:sz w:val="18"/>
          <w:szCs w:val="18"/>
          <w:i w:val="1"/>
          <w:iCs w:val="1"/>
          <w:color w:val="auto"/>
        </w:rPr>
        <w:t xml:space="preserve"> GasLog Geneva</w:t>
      </w:r>
      <w:r>
        <w:rPr>
          <w:rFonts w:ascii="Arial" w:cs="Arial" w:eastAsia="Arial" w:hAnsi="Arial"/>
          <w:sz w:val="18"/>
          <w:szCs w:val="18"/>
          <w:color w:val="auto"/>
        </w:rPr>
        <w:t>) and GAS-eight Ltd. (the owner of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for the periods prior to their transfers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on May 3, 2017, July 3, 2017 and October 20, 2017, respectively. While such amounts are reflected in the Partnership’s unaudited condensed consolidated financial statements because the transfers to the Partnership were accounted for as reorganizations of entities under common control under IFRS, GAS-eleven Ltd., GAS-thirteen Ltd. and GAS-eight Ltd. were not owned by the Partnership prior to their respective transfers to the Partnership on May 3, 2017, on July 3, 2017 and on October 20, 2017, respectively, and accordingly the Partnership was not entitled to the cash or results generated in the periods prior to such transfers.</w:t>
      </w:r>
    </w:p>
    <w:p>
      <w:pPr>
        <w:spacing w:after="0" w:line="189" w:lineRule="exact"/>
        <w:rPr>
          <w:sz w:val="20"/>
          <w:szCs w:val="20"/>
          <w:color w:val="auto"/>
        </w:rPr>
      </w:pPr>
    </w:p>
    <w:p>
      <w:pPr>
        <w:ind w:right="260" w:firstLine="45"/>
        <w:spacing w:after="0" w:line="312"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4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For the three months ended March 31, 2017</w:t>
            </w:r>
          </w:p>
        </w:tc>
      </w:tr>
      <w:tr>
        <w:trPr>
          <w:trHeight w:val="119"/>
        </w:trPr>
        <w:tc>
          <w:tcPr>
            <w:tcW w:w="6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Results</w:t>
            </w:r>
          </w:p>
        </w:tc>
        <w:tc>
          <w:tcPr>
            <w:tcW w:w="16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Partnership</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GasLog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Results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 Results</w:t>
            </w: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77,187</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57" w:orient="portrait"/>
          <w:cols w:equalWidth="0" w:num="1">
            <w:col w:w="11460"/>
          </w:cols>
          <w:pgMar w:left="240" w:top="341"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(2,475)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(11,168)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(13,643)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(4,335)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(12,362)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12,835</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29,664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42,499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Financial income</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8,867</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21,022</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29,889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For the three months ended December 31,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Results</w:t>
            </w:r>
          </w:p>
        </w:tc>
        <w:tc>
          <w:tcPr>
            <w:tcW w:w="16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Partnership</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GasLog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Results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 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(17)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(16,169)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w:t>
            </w:r>
          </w:p>
        </w:tc>
        <w:tc>
          <w:tcPr>
            <w:tcW w:w="3920" w:type="dxa"/>
            <w:vAlign w:val="bottom"/>
            <w:gridSpan w:val="4"/>
          </w:tcPr>
          <w:p>
            <w:pPr>
              <w:jc w:val="right"/>
              <w:ind w:right="220"/>
              <w:spacing w:after="0"/>
              <w:rPr>
                <w:sz w:val="20"/>
                <w:szCs w:val="20"/>
                <w:color w:val="auto"/>
              </w:rPr>
            </w:pPr>
            <w:r>
              <w:rPr>
                <w:rFonts w:ascii="Arial" w:cs="Arial" w:eastAsia="Arial" w:hAnsi="Arial"/>
                <w:sz w:val="18"/>
                <w:szCs w:val="18"/>
                <w:color w:val="auto"/>
              </w:rPr>
              <w:t>(301)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(16,785)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38,573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Financial income</w:t>
            </w:r>
          </w:p>
        </w:tc>
        <w:tc>
          <w:tcPr>
            <w:tcW w:w="3920" w:type="dxa"/>
            <w:vAlign w:val="bottom"/>
            <w:gridSpan w:val="4"/>
          </w:tcPr>
          <w:p>
            <w:pPr>
              <w:jc w:val="right"/>
              <w:ind w:right="280"/>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(10,135)</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28,438</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60" w:type="dxa"/>
            <w:vAlign w:val="bottom"/>
            <w:vMerge w:val="restart"/>
          </w:tcPr>
          <w:p>
            <w:pPr>
              <w:jc w:val="right"/>
              <w:ind w:right="4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8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gridSpan w:val="6"/>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4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For the three months ended 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Results</w:t>
            </w:r>
          </w:p>
        </w:tc>
        <w:tc>
          <w:tcPr>
            <w:tcW w:w="16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Partnership</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IFRS Common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(All amounts expressed in thousands of U.S. dollars)</w:t>
            </w: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GasLog</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Results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Reported Results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Vessel operating costs</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(15,591)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(16,786)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Financial income</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9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32,002</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60" w:type="dxa"/>
            <w:vAlign w:val="bottom"/>
            <w:vMerge w:val="restart"/>
          </w:tcPr>
          <w:p>
            <w:pPr>
              <w:jc w:val="right"/>
              <w:ind w:right="4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8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-2722245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-2722245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Adjusted Profit represents earnings before (a) non-cash gain/loss on interest rate swaps that includes unrealized gain/loss on interest rate swaps held for trading and (b) write-off and accelerated amortization of unamortized loan fees. EBITDA and Adjusted Profit,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financial costs, gain/loss on interest rate swaps, taxes, depreciation and amortization; and in the case of Adjusted Profit, non-cash gain/loss on interest rate swaps and write-off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EBITDA and Adjusted Profit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 EBITDA excludes some, but not all, items that affect profit or loss and these measures may vary among other companies. Therefore, EBITDA as presented herein may</w:t>
      </w:r>
    </w:p>
    <w:p>
      <w:pPr>
        <w:sectPr>
          <w:pgSz w:w="11900" w:h="16838" w:orient="portrait"/>
          <w:cols w:equalWidth="0" w:num="1">
            <w:col w:w="11460"/>
          </w:cols>
          <w:pgMar w:left="240" w:top="125" w:right="199" w:bottom="0" w:gutter="0" w:footer="0" w:header="0"/>
        </w:sectPr>
      </w:pPr>
    </w:p>
    <w:bookmarkStart w:id="10" w:name="page11"/>
    <w:bookmarkEnd w:id="10"/>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not be comparable to similarly titled measures of other companies. The following table reconciles EBITDA to profit, the most directly comparable IFRS financial measure, for the periods presented.</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EBITDA and Adjusted Profit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EBITDA: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IFRS Common Control Reported Results</w:t>
      </w:r>
    </w:p>
    <w:p>
      <w:pPr>
        <w:jc w:val="center"/>
        <w:ind w:left="4760"/>
        <w:spacing w:after="0" w:line="236" w:lineRule="auto"/>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3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Depreciation</w:t>
            </w:r>
          </w:p>
        </w:tc>
        <w:tc>
          <w:tcPr>
            <w:tcW w:w="3400" w:type="dxa"/>
            <w:vAlign w:val="bottom"/>
            <w:gridSpan w:val="5"/>
          </w:tcPr>
          <w:p>
            <w:pPr>
              <w:jc w:val="right"/>
              <w:ind w:right="100"/>
              <w:spacing w:after="0"/>
              <w:rPr>
                <w:sz w:val="20"/>
                <w:szCs w:val="20"/>
                <w:color w:val="auto"/>
              </w:rPr>
            </w:pPr>
            <w:r>
              <w:rPr>
                <w:rFonts w:ascii="Arial" w:cs="Arial" w:eastAsia="Arial" w:hAnsi="Arial"/>
                <w:sz w:val="18"/>
                <w:szCs w:val="18"/>
                <w:color w:val="auto"/>
              </w:rPr>
              <w:t>16,697</w:t>
            </w:r>
          </w:p>
        </w:tc>
        <w:tc>
          <w:tcPr>
            <w:tcW w:w="1880" w:type="dxa"/>
            <w:vAlign w:val="bottom"/>
            <w:gridSpan w:val="3"/>
          </w:tcPr>
          <w:p>
            <w:pPr>
              <w:jc w:val="right"/>
              <w:ind w:right="280"/>
              <w:spacing w:after="0"/>
              <w:rPr>
                <w:sz w:val="20"/>
                <w:szCs w:val="20"/>
                <w:color w:val="auto"/>
              </w:rPr>
            </w:pPr>
            <w:r>
              <w:rPr>
                <w:rFonts w:ascii="Arial" w:cs="Arial" w:eastAsia="Arial" w:hAnsi="Arial"/>
                <w:sz w:val="18"/>
                <w:szCs w:val="18"/>
                <w:color w:val="auto"/>
              </w:rPr>
              <w:t>17,086</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16,786</w:t>
            </w: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4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12,760</w:t>
            </w: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c>
          <w:tcPr>
            <w:tcW w:w="8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Financial income</w:t>
            </w:r>
          </w:p>
        </w:tc>
        <w:tc>
          <w:tcPr>
            <w:tcW w:w="3400" w:type="dxa"/>
            <w:vAlign w:val="bottom"/>
            <w:gridSpan w:val="5"/>
          </w:tcPr>
          <w:p>
            <w:pPr>
              <w:jc w:val="right"/>
              <w:ind w:right="40"/>
              <w:spacing w:after="0"/>
              <w:rPr>
                <w:sz w:val="20"/>
                <w:szCs w:val="20"/>
                <w:color w:val="auto"/>
              </w:rPr>
            </w:pPr>
            <w:r>
              <w:rPr>
                <w:rFonts w:ascii="Arial" w:cs="Arial" w:eastAsia="Arial" w:hAnsi="Arial"/>
                <w:sz w:val="18"/>
                <w:szCs w:val="18"/>
                <w:color w:val="auto"/>
              </w:rPr>
              <w:t>(127)</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34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(6,327)</w:t>
            </w:r>
          </w:p>
        </w:tc>
        <w:tc>
          <w:tcPr>
            <w:tcW w:w="860" w:type="dxa"/>
            <w:vAlign w:val="bottom"/>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56,437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22"/>
        </w:trPr>
        <w:tc>
          <w:tcPr>
            <w:tcW w:w="3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7"/>
          </w:tcPr>
          <w:p>
            <w:pPr>
              <w:jc w:val="center"/>
              <w:ind w:left="1201"/>
              <w:spacing w:after="0"/>
              <w:rPr>
                <w:sz w:val="20"/>
                <w:szCs w:val="20"/>
                <w:color w:val="auto"/>
              </w:rPr>
            </w:pPr>
            <w:r>
              <w:rPr>
                <w:rFonts w:ascii="Arial" w:cs="Arial" w:eastAsia="Arial" w:hAnsi="Arial"/>
                <w:sz w:val="14"/>
                <w:szCs w:val="14"/>
                <w:b w:val="1"/>
                <w:bCs w:val="1"/>
                <w:color w:val="auto"/>
                <w:w w:val="91"/>
              </w:rPr>
              <w:t>Partnership Performance Results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For the three months ended</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2"/>
                <w:szCs w:val="12"/>
                <w:color w:val="auto"/>
              </w:rPr>
            </w:pPr>
          </w:p>
        </w:tc>
        <w:tc>
          <w:tcPr>
            <w:tcW w:w="184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3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8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Depreciation</w:t>
            </w:r>
          </w:p>
        </w:tc>
        <w:tc>
          <w:tcPr>
            <w:tcW w:w="3300" w:type="dxa"/>
            <w:vAlign w:val="bottom"/>
            <w:gridSpan w:val="4"/>
          </w:tcPr>
          <w:p>
            <w:pPr>
              <w:jc w:val="right"/>
              <w:ind w:right="20"/>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18"/>
                <w:szCs w:val="18"/>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8"/>
                <w:szCs w:val="18"/>
                <w:color w:val="auto"/>
              </w:rPr>
              <w:t>16,785</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16,786</w:t>
            </w: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13,557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c>
          <w:tcPr>
            <w:tcW w:w="8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Financial income</w:t>
            </w:r>
          </w:p>
        </w:tc>
        <w:tc>
          <w:tcPr>
            <w:tcW w:w="3400" w:type="dxa"/>
            <w:vAlign w:val="bottom"/>
            <w:gridSpan w:val="5"/>
          </w:tcPr>
          <w:p>
            <w:pPr>
              <w:jc w:val="right"/>
              <w:ind w:right="60"/>
              <w:spacing w:after="0"/>
              <w:rPr>
                <w:sz w:val="20"/>
                <w:szCs w:val="20"/>
                <w:color w:val="auto"/>
              </w:rPr>
            </w:pPr>
            <w:r>
              <w:rPr>
                <w:rFonts w:ascii="Arial" w:cs="Arial" w:eastAsia="Arial" w:hAnsi="Arial"/>
                <w:sz w:val="18"/>
                <w:szCs w:val="18"/>
                <w:color w:val="auto"/>
              </w:rPr>
              <w:t>(117)</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34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(6,327)</w:t>
            </w:r>
          </w:p>
        </w:tc>
        <w:tc>
          <w:tcPr>
            <w:tcW w:w="860" w:type="dxa"/>
            <w:vAlign w:val="bottom"/>
          </w:tcPr>
          <w:p>
            <w:pPr>
              <w:spacing w:after="0"/>
              <w:rPr>
                <w:sz w:val="18"/>
                <w:szCs w:val="18"/>
                <w:color w:val="auto"/>
              </w:rPr>
            </w:pPr>
          </w:p>
        </w:tc>
      </w:tr>
      <w:tr>
        <w:trPr>
          <w:trHeight w:val="250"/>
        </w:trPr>
        <w:tc>
          <w:tcPr>
            <w:tcW w:w="38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860" w:type="dxa"/>
            <w:vAlign w:val="bottom"/>
          </w:tcPr>
          <w:p>
            <w:pPr>
              <w:spacing w:after="0"/>
              <w:rPr>
                <w:sz w:val="21"/>
                <w:szCs w:val="21"/>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55,358</w:t>
            </w:r>
          </w:p>
        </w:tc>
        <w:tc>
          <w:tcPr>
            <w:tcW w:w="2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55,830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3"/>
        </w:trPr>
        <w:tc>
          <w:tcPr>
            <w:tcW w:w="3800" w:type="dxa"/>
            <w:vAlign w:val="bottom"/>
          </w:tcPr>
          <w:p>
            <w:pPr>
              <w:spacing w:after="0"/>
              <w:rPr>
                <w:sz w:val="24"/>
                <w:szCs w:val="24"/>
                <w:color w:val="auto"/>
              </w:rPr>
            </w:pPr>
          </w:p>
        </w:tc>
        <w:tc>
          <w:tcPr>
            <w:tcW w:w="3280" w:type="dxa"/>
            <w:vAlign w:val="bottom"/>
            <w:gridSpan w:val="3"/>
          </w:tcPr>
          <w:p>
            <w:pPr>
              <w:jc w:val="right"/>
              <w:ind w:right="1201"/>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to Adjusted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IFRS Common Control Reported Results</w:t>
      </w:r>
    </w:p>
    <w:p>
      <w:pPr>
        <w:jc w:val="center"/>
        <w:ind w:left="4740"/>
        <w:spacing w:after="0" w:line="236" w:lineRule="auto"/>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60" w:type="dxa"/>
            <w:vAlign w:val="bottom"/>
          </w:tcPr>
          <w:p>
            <w:pPr>
              <w:spacing w:after="0"/>
              <w:rPr>
                <w:sz w:val="12"/>
                <w:szCs w:val="12"/>
                <w:color w:val="auto"/>
              </w:rPr>
            </w:pPr>
          </w:p>
        </w:tc>
        <w:tc>
          <w:tcPr>
            <w:tcW w:w="15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March 31, 2017</w:t>
            </w:r>
          </w:p>
        </w:tc>
        <w:tc>
          <w:tcPr>
            <w:tcW w:w="1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Non-cash gain on interest rate swaps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(6,370)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Write-off and accelerated amortization of unamortized loan fees</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5660" w:type="dxa"/>
            <w:vAlign w:val="bottom"/>
          </w:tcPr>
          <w:p>
            <w:pPr>
              <w:spacing w:after="0"/>
              <w:rPr>
                <w:sz w:val="24"/>
                <w:szCs w:val="24"/>
                <w:color w:val="auto"/>
              </w:rPr>
            </w:pPr>
          </w:p>
        </w:tc>
        <w:tc>
          <w:tcPr>
            <w:tcW w:w="3560" w:type="dxa"/>
            <w:vAlign w:val="bottom"/>
            <w:gridSpan w:val="6"/>
          </w:tcPr>
          <w:p>
            <w:pPr>
              <w:jc w:val="center"/>
              <w:ind w:left="1195"/>
              <w:spacing w:after="0"/>
              <w:rPr>
                <w:sz w:val="20"/>
                <w:szCs w:val="20"/>
                <w:color w:val="auto"/>
              </w:rPr>
            </w:pPr>
            <w:r>
              <w:rPr>
                <w:rFonts w:ascii="Arial" w:cs="Arial" w:eastAsia="Arial" w:hAnsi="Arial"/>
                <w:sz w:val="14"/>
                <w:szCs w:val="14"/>
                <w:b w:val="1"/>
                <w:bCs w:val="1"/>
                <w:color w:val="auto"/>
                <w:w w:val="91"/>
              </w:rPr>
              <w:t>Partnership Performance Results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5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For the three months ended</w:t>
            </w:r>
          </w:p>
        </w:tc>
        <w:tc>
          <w:tcPr>
            <w:tcW w:w="1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5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2"/>
                <w:szCs w:val="12"/>
                <w:color w:val="auto"/>
              </w:rPr>
            </w:pPr>
          </w:p>
        </w:tc>
        <w:tc>
          <w:tcPr>
            <w:tcW w:w="186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gridSpan w:val="2"/>
          </w:tcPr>
          <w:p>
            <w:pPr>
              <w:spacing w:after="0"/>
              <w:rPr>
                <w:sz w:val="12"/>
                <w:szCs w:val="12"/>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Non-cash gain on interest rate swaps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(3,568)</w:t>
            </w:r>
          </w:p>
        </w:tc>
        <w:tc>
          <w:tcPr>
            <w:tcW w:w="14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(6,370)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Write-off and accelerated amortization of unamortized loan fees</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25,083</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Distributable cash flow means EBITDA, on the basis of the Partnership Performance Results, after considering financial costs for the period, including realized loss on interest rate swaps and excluding amortization of loan fees,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Distributable Cash Flow to Partnership’s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5"/>
              </w:rPr>
              <w:t>For the three months ended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5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 xml:space="preserve">March 31, 2017 </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9"/>
              </w:rPr>
              <w:t xml:space="preserve">December 31, 2017 </w:t>
            </w:r>
            <w:r>
              <w:rPr>
                <w:rFonts w:ascii="Arial" w:cs="Arial" w:eastAsia="Arial" w:hAnsi="Arial"/>
                <w:sz w:val="16"/>
                <w:szCs w:val="16"/>
                <w:b w:val="1"/>
                <w:bCs w:val="1"/>
                <w:color w:val="auto"/>
                <w:w w:val="99"/>
                <w:vertAlign w:val="superscript"/>
              </w:rPr>
              <w:t>(1)</w:t>
            </w:r>
          </w:p>
        </w:tc>
        <w:tc>
          <w:tcPr>
            <w:tcW w:w="13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 xml:space="preserve">March 31, 2018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Partnership’s profit for the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12,362</w:t>
            </w:r>
          </w:p>
        </w:tc>
        <w:tc>
          <w:tcPr>
            <w:tcW w:w="2020" w:type="dxa"/>
            <w:vAlign w:val="bottom"/>
            <w:gridSpan w:val="3"/>
          </w:tcPr>
          <w:p>
            <w:pPr>
              <w:jc w:val="right"/>
              <w:ind w:right="300"/>
              <w:spacing w:after="0"/>
              <w:rPr>
                <w:sz w:val="20"/>
                <w:szCs w:val="20"/>
                <w:color w:val="auto"/>
              </w:rPr>
            </w:pPr>
            <w:r>
              <w:rPr>
                <w:rFonts w:ascii="Arial" w:cs="Arial" w:eastAsia="Arial" w:hAnsi="Arial"/>
                <w:sz w:val="18"/>
                <w:szCs w:val="18"/>
                <w:color w:val="auto"/>
              </w:rPr>
              <w:t>16,785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16,786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8,782</w:t>
            </w:r>
          </w:p>
        </w:tc>
        <w:tc>
          <w:tcPr>
            <w:tcW w:w="2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13,557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Financial income</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(316)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2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(6,327)</w:t>
            </w:r>
          </w:p>
        </w:tc>
      </w:tr>
      <w:tr>
        <w:trPr>
          <w:trHeight w:val="210"/>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55,358</w:t>
            </w:r>
          </w:p>
        </w:tc>
        <w:tc>
          <w:tcPr>
            <w:tcW w:w="3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55,830</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60"/>
          </w:cols>
          <w:pgMar w:left="240" w:top="125"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7"/>
              </w:rPr>
              <w:t>Financial costs (excluding amortization of loan fees) and realized loss on</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(8,419)</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(12,332)</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(11,771)</w:t>
            </w: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spacing w:after="0" w:line="216" w:lineRule="exact"/>
              <w:rPr>
                <w:sz w:val="20"/>
                <w:szCs w:val="20"/>
                <w:color w:val="auto"/>
              </w:rPr>
            </w:pPr>
            <w:r>
              <w:rPr>
                <w:rFonts w:ascii="Arial" w:cs="Arial" w:eastAsia="Arial" w:hAnsi="Arial"/>
                <w:sz w:val="18"/>
                <w:szCs w:val="18"/>
                <w:color w:val="auto"/>
              </w:rPr>
              <w:t xml:space="preserve">Dry-docking capital reserve </w:t>
            </w:r>
            <w:r>
              <w:rPr>
                <w:rFonts w:ascii="Arial" w:cs="Arial" w:eastAsia="Arial" w:hAnsi="Arial"/>
                <w:sz w:val="23"/>
                <w:szCs w:val="23"/>
                <w:color w:val="auto"/>
                <w:vertAlign w:val="superscript"/>
              </w:rPr>
              <w:t>(2)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(2,682)</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(3,441)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(3,245)</w:t>
            </w:r>
          </w:p>
        </w:tc>
      </w:tr>
      <w:tr>
        <w:trPr>
          <w:trHeight w:val="216"/>
        </w:trPr>
        <w:tc>
          <w:tcPr>
            <w:tcW w:w="5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Replacement capital reserve </w:t>
            </w:r>
            <w:r>
              <w:rPr>
                <w:rFonts w:ascii="Arial" w:cs="Arial" w:eastAsia="Arial" w:hAnsi="Arial"/>
                <w:sz w:val="23"/>
                <w:szCs w:val="23"/>
                <w:color w:val="auto"/>
                <w:vertAlign w:val="superscript"/>
              </w:rPr>
              <w:t>(2)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(7,429)</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preferred equity distribution</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(3,100)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(5,038)</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Distributable cash flow</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23,496</w:t>
            </w:r>
          </w:p>
        </w:tc>
        <w:tc>
          <w:tcPr>
            <w:tcW w:w="2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26,934</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40" w:type="dxa"/>
            <w:vAlign w:val="bottom"/>
            <w:tcBorders>
              <w:bottom w:val="single" w:sz="8" w:color="CCEEFF"/>
            </w:tcBorders>
          </w:tcPr>
          <w:p>
            <w:pPr>
              <w:spacing w:after="0" w:line="210" w:lineRule="exact"/>
              <w:rPr>
                <w:sz w:val="20"/>
                <w:szCs w:val="20"/>
                <w:color w:val="auto"/>
              </w:rPr>
            </w:pPr>
            <w:r>
              <w:rPr>
                <w:rFonts w:ascii="Arial" w:cs="Arial" w:eastAsia="Arial" w:hAnsi="Arial"/>
                <w:sz w:val="18"/>
                <w:szCs w:val="18"/>
                <w:color w:val="auto"/>
              </w:rPr>
              <w:t xml:space="preserve">Other reserves </w:t>
            </w:r>
            <w:r>
              <w:rPr>
                <w:rFonts w:ascii="Arial" w:cs="Arial" w:eastAsia="Arial" w:hAnsi="Arial"/>
                <w:sz w:val="23"/>
                <w:szCs w:val="23"/>
                <w:color w:val="auto"/>
                <w:vertAlign w:val="superscript"/>
              </w:rPr>
              <w:t>(3) (4)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2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tcPr>
          <w:p>
            <w:pPr>
              <w:spacing w:after="0"/>
              <w:rPr>
                <w:sz w:val="18"/>
                <w:szCs w:val="18"/>
                <w:color w:val="auto"/>
              </w:rPr>
            </w:pPr>
          </w:p>
        </w:tc>
      </w:tr>
      <w:tr>
        <w:trPr>
          <w:trHeight w:val="21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distribution declared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20,121</w:t>
            </w:r>
          </w:p>
        </w:tc>
        <w:tc>
          <w:tcPr>
            <w:tcW w:w="2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22,845</w:t>
            </w: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80" w:hanging="332"/>
        <w:spacing w:after="0" w:line="186"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 xml:space="preserve">Excludes amounts related to GAS-eleven Ltd., the owner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GAS-thirteen Ltd., the owner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GAS-eight Ltd., the owner of the </w:t>
      </w:r>
      <w:r>
        <w:rPr>
          <w:rFonts w:ascii="Arial" w:cs="Arial" w:eastAsia="Arial" w:hAnsi="Arial"/>
          <w:sz w:val="14"/>
          <w:szCs w:val="14"/>
          <w:i w:val="1"/>
          <w:iCs w:val="1"/>
          <w:color w:val="auto"/>
        </w:rPr>
        <w:t>Solaris</w:t>
      </w:r>
      <w:r>
        <w:rPr>
          <w:rFonts w:ascii="Arial" w:cs="Arial" w:eastAsia="Arial" w:hAnsi="Arial"/>
          <w:sz w:val="14"/>
          <w:szCs w:val="14"/>
          <w:color w:val="auto"/>
        </w:rPr>
        <w:t>, for the periods prior to their transfers to the Partnership on May 3, 2017, July 3, 2017 and October 20, 2017,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40" w:right="80"/>
        <w:spacing w:after="0" w:line="264" w:lineRule="auto"/>
        <w:rPr>
          <w:sz w:val="20"/>
          <w:szCs w:val="20"/>
          <w:color w:val="auto"/>
        </w:rPr>
      </w:pPr>
      <w:r>
        <w:rPr>
          <w:rFonts w:ascii="Arial" w:cs="Arial" w:eastAsia="Arial" w:hAnsi="Arial"/>
          <w:sz w:val="13"/>
          <w:szCs w:val="13"/>
          <w:color w:val="auto"/>
        </w:rPr>
        <w:t>While such amounts are reflected in the Partnership’s unaudited condensed consolidated financial statements because the transfers to the Partnership were accounted for as reorganizations of entities under common control under IFRS, GAS-eleven Ltd., GAS-thirteen Ltd. and GAS-eight Ltd. were not owned by the Partnership prior to their respective transfers to the Partnership in May 2017, July 2017 and October 2017, respectively, and accordingly the Partnership was not entitled to the cash or results generated in the period prior to such transfers.</w:t>
      </w:r>
    </w:p>
    <w:p>
      <w:pPr>
        <w:spacing w:after="0" w:line="168" w:lineRule="exact"/>
        <w:rPr>
          <w:sz w:val="20"/>
          <w:szCs w:val="20"/>
          <w:color w:val="auto"/>
        </w:rPr>
      </w:pPr>
    </w:p>
    <w:p>
      <w:pPr>
        <w:ind w:left="340" w:right="140" w:hanging="332"/>
        <w:spacing w:after="0" w:line="186"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Effective January 1, 2018, the Partnership revised the assumed re-investment rate used in calculating the dry-docking capital reserve and the replacement capital reserve to reflect the upward movement of the USD London Interbank Offered Rate (“LIBOR”) rates.</w:t>
      </w:r>
    </w:p>
    <w:p>
      <w:pPr>
        <w:spacing w:after="0" w:line="183" w:lineRule="exact"/>
        <w:rPr>
          <w:rFonts w:ascii="Arial" w:cs="Arial" w:eastAsia="Arial" w:hAnsi="Arial"/>
          <w:sz w:val="23"/>
          <w:szCs w:val="23"/>
          <w:color w:val="auto"/>
          <w:vertAlign w:val="superscript"/>
        </w:rPr>
      </w:pPr>
    </w:p>
    <w:p>
      <w:pPr>
        <w:ind w:left="340" w:right="340" w:hanging="332"/>
        <w:spacing w:after="0" w:line="186"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Refers to reserves (other than the dry-docking and replacement capital reserves) for the proper conduct of the business of the Partnership and its subsidiaries (including reserves for future capital expenditures and for anticipated future credit needs of the Partnership and its subsidiaries).</w:t>
      </w:r>
    </w:p>
    <w:p>
      <w:pPr>
        <w:spacing w:after="0" w:line="183" w:lineRule="exact"/>
        <w:rPr>
          <w:rFonts w:ascii="Arial" w:cs="Arial" w:eastAsia="Arial" w:hAnsi="Arial"/>
          <w:sz w:val="23"/>
          <w:szCs w:val="23"/>
          <w:color w:val="auto"/>
          <w:vertAlign w:val="superscript"/>
        </w:rPr>
      </w:pPr>
    </w:p>
    <w:p>
      <w:pPr>
        <w:ind w:left="340" w:hanging="332"/>
        <w:spacing w:after="0" w:line="201"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 xml:space="preserve">For the three months ended March 31, 2018, the cash distributions declared and the other reserves have been affected by $1,072 payable in respect of 33,998 common units issued upon vesting of certain awards under the Partnership’s 2015 Long-Term Incentive Plan and also the Partnership’s private issuance of 1,858,975 common units to GasLog in connection with the acquisition of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on April 26, 2018. After giving effect to the aforementioned issuances and an additional issuance of 38,632 general partner units (in order for GasLog to retain its 2.0% general partner interest), the Q1 2018 distribution coverage ratio decreased from 1.18 to 1.13.</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4" w:right="279" w:bottom="1440" w:gutter="0" w:footer="0" w:header="0"/>
        </w:sectPr>
      </w:pPr>
    </w:p>
    <w:bookmarkStart w:id="12" w:name="page13"/>
    <w:bookmarkEnd w:id="12"/>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Months Ended March 31,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following is a discussion of our financial condition and results of operations for the three-month periods ended March 31, 2018 and March 31, 2017.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February 12,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83"/>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hanging="328"/>
        <w:spacing w:after="0" w:line="291"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liquefied natural gas (“LNG”) shipping market conditions and trends, including spot and long-term charter rates, ship values, factors affecting supply and demand of LNG and LNG shipping, technological advancements and opportunities for the profitable operations of LNG carriers;</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 Ltd. (“GasLog”);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60" w:right="32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inherent in ship operations, including the discharge of pollutants;</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report,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ectPr>
          <w:pgSz w:w="11900" w:h="16850" w:orient="portrait"/>
          <w:cols w:equalWidth="0" w:num="1">
            <w:col w:w="11420"/>
          </w:cols>
          <w:pgMar w:left="240" w:top="121" w:right="239" w:bottom="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w:t>
      </w:r>
    </w:p>
    <w:p>
      <w:pPr>
        <w:spacing w:after="0" w:line="229" w:lineRule="exact"/>
        <w:rPr>
          <w:sz w:val="20"/>
          <w:szCs w:val="20"/>
          <w:color w:val="auto"/>
        </w:rPr>
      </w:pPr>
    </w:p>
    <w:p>
      <w:pPr>
        <w:ind w:right="120" w:firstLine="383"/>
        <w:spacing w:after="0" w:line="259" w:lineRule="auto"/>
        <w:rPr>
          <w:sz w:val="20"/>
          <w:szCs w:val="20"/>
          <w:color w:val="auto"/>
        </w:rPr>
      </w:pPr>
      <w:r>
        <w:rPr>
          <w:rFonts w:ascii="Arial" w:cs="Arial" w:eastAsia="Arial" w:hAnsi="Arial"/>
          <w:sz w:val="18"/>
          <w:szCs w:val="18"/>
          <w:color w:val="auto"/>
        </w:rPr>
        <w:t>On April 26, 2018, the board of directors of GasLog Partners approved and declared a quarterly cash distribution of $0.53 per common unit for the quarter ended March 31, 2018. The cash distribution is payable on May 11, 2018 to all unitholders of record as of May 7, 2018. The aggregate amount of the declared distribution will be $24.3 million based on the number of units issued and outstanding after giving effect to certain post quarter-end issuances through April 26,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383"/>
        <w:spacing w:after="0" w:line="264" w:lineRule="auto"/>
        <w:rPr>
          <w:sz w:val="20"/>
          <w:szCs w:val="20"/>
          <w:color w:val="auto"/>
        </w:rPr>
      </w:pPr>
      <w:r>
        <w:rPr>
          <w:rFonts w:ascii="Arial" w:cs="Arial" w:eastAsia="Arial" w:hAnsi="Arial"/>
          <w:sz w:val="18"/>
          <w:szCs w:val="18"/>
          <w:color w:val="auto"/>
        </w:rPr>
        <w:t>On January 5, 2018, the respective subsidiaries of GasLog Partners prepaid in full the outstanding $29.8 million of the junior tranche of the credit agreement entered into on February 18, 2016 (the “Five Vessel Refinancing”), which would have been due in April 2018. Also, on March 23, 2018, the $45.0 million term loan facility with GasLog, which would have been due in March 2022, was prepaid and terminated.</w:t>
      </w:r>
    </w:p>
    <w:p>
      <w:pPr>
        <w:spacing w:after="0" w:line="181" w:lineRule="exact"/>
        <w:rPr>
          <w:sz w:val="20"/>
          <w:szCs w:val="20"/>
          <w:color w:val="auto"/>
        </w:rPr>
      </w:pPr>
    </w:p>
    <w:p>
      <w:pPr>
        <w:ind w:right="80" w:firstLine="383"/>
        <w:spacing w:after="0" w:line="279" w:lineRule="auto"/>
        <w:rPr>
          <w:sz w:val="20"/>
          <w:szCs w:val="20"/>
          <w:color w:val="auto"/>
        </w:rPr>
      </w:pPr>
      <w:r>
        <w:rPr>
          <w:rFonts w:ascii="Arial" w:cs="Arial" w:eastAsia="Arial" w:hAnsi="Arial"/>
          <w:sz w:val="17"/>
          <w:szCs w:val="17"/>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$111.2 million.</w:t>
      </w:r>
    </w:p>
    <w:p>
      <w:pPr>
        <w:spacing w:after="0" w:line="171" w:lineRule="exact"/>
        <w:rPr>
          <w:sz w:val="20"/>
          <w:szCs w:val="20"/>
          <w:color w:val="auto"/>
        </w:rPr>
      </w:pPr>
    </w:p>
    <w:p>
      <w:pPr>
        <w:ind w:right="60" w:firstLine="383"/>
        <w:spacing w:after="0" w:line="293" w:lineRule="auto"/>
        <w:rPr>
          <w:sz w:val="20"/>
          <w:szCs w:val="20"/>
          <w:color w:val="auto"/>
        </w:rPr>
      </w:pPr>
      <w:r>
        <w:rPr>
          <w:rFonts w:ascii="Arial" w:cs="Arial" w:eastAsia="Arial" w:hAnsi="Arial"/>
          <w:sz w:val="16"/>
          <w:szCs w:val="16"/>
          <w:color w:val="auto"/>
        </w:rPr>
        <w:t xml:space="preserve">On March 22, 2018, GasLog Partners entered into agreements with a new customer for two new charters plus options for an additional two charters, exercisable by the charterer. The agreements include an approximately three-and-a-half-year charter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 155,000 cubic meter (“cbm”) tri-fuel diesel electric (“TFDE”) LNG carrier built in 2013, commencing in either August or September 2018 at the Partnership’s option, and a one-year charter for a 145,000 cbm steam-powered (“Steam”) vessel (either the 2006-built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2007-built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The charterer has options to extend the first charter for up to an additional seven years and the second charter for up to an additional four years, both at escalating rates.</w:t>
      </w:r>
    </w:p>
    <w:p>
      <w:pPr>
        <w:spacing w:after="0" w:line="165" w:lineRule="exact"/>
        <w:rPr>
          <w:sz w:val="20"/>
          <w:szCs w:val="20"/>
          <w:color w:val="auto"/>
        </w:rPr>
      </w:pPr>
    </w:p>
    <w:p>
      <w:pPr>
        <w:ind w:right="240" w:firstLine="383"/>
        <w:spacing w:after="0" w:line="293" w:lineRule="auto"/>
        <w:rPr>
          <w:sz w:val="20"/>
          <w:szCs w:val="20"/>
          <w:color w:val="auto"/>
        </w:rPr>
      </w:pPr>
      <w:r>
        <w:rPr>
          <w:rFonts w:ascii="Arial" w:cs="Arial" w:eastAsia="Arial" w:hAnsi="Arial"/>
          <w:sz w:val="16"/>
          <w:szCs w:val="16"/>
          <w:color w:val="auto"/>
        </w:rPr>
        <w:t xml:space="preserve">On April 26, 2018, GasLog Partners entered into an agreement to acquire from GasLog 100% of the shares in the entity that owns and charters the </w:t>
      </w: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is a 174,000 cbm TFDE LNG carrier built in 2016 which is chartered to a subsidiary of Royal Dutch Shell plc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(“Shell”) through October 2023. The aggregate purchase price for the acquisition was $207.0 million, which included $1.0 million for positive net working capital balances transferred with the vessel. GasLog Partners financed the acquisition with cash on hand, including proceeds from the recent Series B Preference Units’ public offering, $45.0 million of new privately placed common units issued to GasLog (1,858,975 common units at a price of $24.21 per unit) and the assumption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’s outstanding indebtedness of $143.6 million. The acquisition closed on April 26, 2018.</w:t>
      </w:r>
    </w:p>
    <w:p>
      <w:pPr>
        <w:spacing w:after="0" w:line="165" w:lineRule="exact"/>
        <w:rPr>
          <w:sz w:val="20"/>
          <w:szCs w:val="20"/>
          <w:color w:val="auto"/>
        </w:rPr>
      </w:pPr>
    </w:p>
    <w:p>
      <w:pPr>
        <w:ind w:right="80" w:firstLine="383"/>
        <w:spacing w:after="0" w:line="257" w:lineRule="auto"/>
        <w:rPr>
          <w:sz w:val="20"/>
          <w:szCs w:val="20"/>
          <w:color w:val="auto"/>
        </w:rPr>
      </w:pPr>
      <w:r>
        <w:rPr>
          <w:rFonts w:ascii="Arial" w:cs="Arial" w:eastAsia="Arial" w:hAnsi="Arial"/>
          <w:sz w:val="18"/>
          <w:szCs w:val="18"/>
          <w:color w:val="auto"/>
        </w:rPr>
        <w:t xml:space="preserve">As of March 31, 2018, GasLog held a 25.9% interest in the Partnership (including 2.0% through general partner units), which subsequently increased to 29.1% (including 2.0% through general partner units) after giving effect to the issuance of privately placed common units in connection with the acquisition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from GasLog and certain other post quarter-end issuances through April 26, 2018.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00" w:firstLine="428"/>
        <w:spacing w:after="0" w:line="277"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multi-year charters.</w:t>
      </w:r>
    </w:p>
    <w:p>
      <w:pPr>
        <w:spacing w:after="0" w:line="170" w:lineRule="exact"/>
        <w:rPr>
          <w:sz w:val="20"/>
          <w:szCs w:val="20"/>
          <w:color w:val="auto"/>
        </w:rPr>
      </w:pPr>
    </w:p>
    <w:p>
      <w:pPr>
        <w:ind w:right="100" w:firstLine="428"/>
        <w:spacing w:after="0" w:line="302" w:lineRule="auto"/>
        <w:rPr>
          <w:sz w:val="20"/>
          <w:szCs w:val="20"/>
          <w:color w:val="auto"/>
        </w:rPr>
      </w:pPr>
      <w:r>
        <w:rPr>
          <w:rFonts w:ascii="Arial" w:cs="Arial" w:eastAsia="Arial" w:hAnsi="Arial"/>
          <w:sz w:val="16"/>
          <w:szCs w:val="16"/>
          <w:color w:val="auto"/>
        </w:rPr>
        <w:t xml:space="preserve">As of March 31, 2018, our fleet consisted of 12 LNG carriers, including seven vessels with modern TFDE propulsion and five modern Steam vessels. On April 26, 2018, our fleet increased to 13 LNG carriers upon completion of the acquisition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w:t>
      </w:r>
    </w:p>
    <w:p>
      <w:pPr>
        <w:spacing w:after="0" w:line="154" w:lineRule="exact"/>
        <w:rPr>
          <w:sz w:val="20"/>
          <w:szCs w:val="20"/>
          <w:color w:val="auto"/>
        </w:rPr>
      </w:pPr>
    </w:p>
    <w:p>
      <w:pPr>
        <w:ind w:right="240" w:firstLine="428"/>
        <w:spacing w:after="0" w:line="279" w:lineRule="auto"/>
        <w:rPr>
          <w:sz w:val="20"/>
          <w:szCs w:val="20"/>
          <w:color w:val="auto"/>
        </w:rPr>
      </w:pPr>
      <w:r>
        <w:rPr>
          <w:rFonts w:ascii="Arial" w:cs="Arial" w:eastAsia="Arial" w:hAnsi="Arial"/>
          <w:sz w:val="17"/>
          <w:szCs w:val="17"/>
          <w:color w:val="auto"/>
        </w:rPr>
        <w:t>We operate our vessels under multi-year charters with fixed-fee contracts that generate predictable cash flows during the life of these charters. We intend to grow our fleet through further acquisitions of LNG carriers from GasLog and third parties. However, we cannot assure you that we will make any particular acquisition or that, as a consequence, we will successfully grow our distributions per common unit. Among other things, our ability to acquire additional LNG carriers will be dependent upon our ability to raise additional equity and debt financing.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fleet currently consists of the following vessels: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Cargo</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Charter</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Year Built</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Capacity</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Propulsion</w:t>
            </w:r>
          </w:p>
        </w:tc>
        <w:tc>
          <w:tcPr>
            <w:tcW w:w="1800" w:type="dxa"/>
            <w:vAlign w:val="bottom"/>
            <w:gridSpan w:val="2"/>
            <w:vMerge w:val="continue"/>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Optional Period</w:t>
            </w: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380" w:type="dxa"/>
            <w:vAlign w:val="bottom"/>
            <w:gridSpan w:val="2"/>
            <w:vMerge w:val="continue"/>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(cbm)</w:t>
            </w:r>
          </w:p>
        </w:tc>
        <w:tc>
          <w:tcPr>
            <w:tcW w:w="13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Expiration</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2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GasLog Shanghai</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2018</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rPr>
              <w:t>2</w:t>
            </w:r>
          </w:p>
        </w:tc>
        <w:tc>
          <w:tcPr>
            <w:tcW w:w="2300" w:type="dxa"/>
            <w:vAlign w:val="bottom"/>
            <w:gridSpan w:val="2"/>
          </w:tcPr>
          <w:p>
            <w:pPr>
              <w:ind w:left="120"/>
              <w:spacing w:after="0" w:line="201" w:lineRule="exact"/>
              <w:rPr>
                <w:sz w:val="20"/>
                <w:szCs w:val="20"/>
                <w:color w:val="auto"/>
              </w:rPr>
            </w:pPr>
            <w:r>
              <w:rPr>
                <w:rFonts w:ascii="Arial" w:cs="Arial" w:eastAsia="Arial" w:hAnsi="Arial"/>
                <w:sz w:val="18"/>
                <w:szCs w:val="18"/>
                <w:i w:val="1"/>
                <w:iCs w:val="1"/>
                <w:color w:val="auto"/>
              </w:rPr>
              <w:t>GasLog Santiago</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2"/>
              </w:rPr>
              <w:t>155,000</w:t>
            </w:r>
          </w:p>
        </w:tc>
        <w:tc>
          <w:tcPr>
            <w:tcW w:w="22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Shell</w:t>
            </w: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3"/>
              </w:rPr>
              <w:t>TFDE</w:t>
            </w:r>
          </w:p>
        </w:tc>
        <w:tc>
          <w:tcPr>
            <w:tcW w:w="18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July 2018</w:t>
            </w: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New Customer</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2021 or</w:t>
            </w:r>
          </w:p>
        </w:tc>
        <w:tc>
          <w:tcPr>
            <w:tcW w:w="1380" w:type="dxa"/>
            <w:vAlign w:val="bottom"/>
          </w:tcPr>
          <w:p>
            <w:pPr>
              <w:jc w:val="center"/>
              <w:spacing w:after="0" w:line="216" w:lineRule="exact"/>
              <w:rPr>
                <w:sz w:val="20"/>
                <w:szCs w:val="20"/>
                <w:color w:val="auto"/>
              </w:rPr>
            </w:pPr>
            <w:r>
              <w:rPr>
                <w:rFonts w:ascii="Arial" w:cs="Arial" w:eastAsia="Arial" w:hAnsi="Arial"/>
                <w:sz w:val="18"/>
                <w:szCs w:val="18"/>
                <w:color w:val="auto"/>
                <w:w w:val="89"/>
              </w:rPr>
              <w:t xml:space="preserve">2022-2028 </w:t>
            </w:r>
            <w:r>
              <w:rPr>
                <w:rFonts w:ascii="Arial" w:cs="Arial" w:eastAsia="Arial" w:hAnsi="Arial"/>
                <w:sz w:val="23"/>
                <w:szCs w:val="23"/>
                <w:color w:val="auto"/>
                <w:w w:val="89"/>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January 2022</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w:t>
            </w: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GasLog Sydney</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2018</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2300" w:type="dxa"/>
            <w:vAlign w:val="bottom"/>
            <w:gridSpan w:val="2"/>
          </w:tcPr>
          <w:p>
            <w:pPr>
              <w:ind w:left="120"/>
              <w:spacing w:after="0"/>
              <w:rPr>
                <w:sz w:val="20"/>
                <w:szCs w:val="20"/>
                <w:color w:val="auto"/>
              </w:rPr>
            </w:pPr>
            <w:r>
              <w:rPr>
                <w:rFonts w:ascii="Arial" w:cs="Arial" w:eastAsia="Arial" w:hAnsi="Arial"/>
                <w:sz w:val="18"/>
                <w:szCs w:val="18"/>
                <w:i w:val="1"/>
                <w:iCs w:val="1"/>
                <w:color w:val="auto"/>
              </w:rPr>
              <w:t>GasLog Seattle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2020</w:t>
            </w:r>
          </w:p>
        </w:tc>
        <w:tc>
          <w:tcPr>
            <w:tcW w:w="1480" w:type="dxa"/>
            <w:vAlign w:val="bottom"/>
            <w:gridSpan w:val="2"/>
          </w:tcPr>
          <w:p>
            <w:pPr>
              <w:jc w:val="center"/>
              <w:ind w:right="100"/>
              <w:spacing w:after="0" w:line="216" w:lineRule="exact"/>
              <w:rPr>
                <w:sz w:val="20"/>
                <w:szCs w:val="20"/>
                <w:color w:val="auto"/>
              </w:rPr>
            </w:pPr>
            <w:r>
              <w:rPr>
                <w:rFonts w:ascii="Arial" w:cs="Arial" w:eastAsia="Arial" w:hAnsi="Arial"/>
                <w:sz w:val="18"/>
                <w:szCs w:val="18"/>
                <w:color w:val="auto"/>
                <w:w w:val="90"/>
              </w:rPr>
              <w:t xml:space="preserve">2025—2030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w:t>
            </w: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Solaris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June 2021</w:t>
            </w:r>
          </w:p>
        </w:tc>
        <w:tc>
          <w:tcPr>
            <w:tcW w:w="148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8"/>
                <w:szCs w:val="18"/>
                <w:color w:val="auto"/>
                <w:w w:val="90"/>
              </w:rPr>
              <w:t xml:space="preserve">2026—2031 </w:t>
            </w:r>
            <w:r>
              <w:rPr>
                <w:rFonts w:ascii="Arial" w:cs="Arial" w:eastAsia="Arial" w:hAnsi="Arial"/>
                <w:sz w:val="23"/>
                <w:szCs w:val="23"/>
                <w:color w:val="auto"/>
                <w:w w:val="90"/>
                <w:vertAlign w:val="superscript"/>
              </w:rPr>
              <w:t>(2)</w:t>
            </w:r>
          </w:p>
        </w:tc>
        <w:tc>
          <w:tcPr>
            <w:tcW w:w="0" w:type="dxa"/>
            <w:vAlign w:val="bottom"/>
          </w:tcPr>
          <w:p>
            <w:pPr>
              <w:spacing w:after="0"/>
              <w:rPr>
                <w:sz w:val="1"/>
                <w:szCs w:val="1"/>
                <w:color w:val="auto"/>
              </w:rPr>
            </w:pPr>
          </w:p>
        </w:tc>
      </w:tr>
      <w:tr>
        <w:trPr>
          <w:trHeight w:val="216"/>
        </w:trPr>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6</w:t>
            </w:r>
          </w:p>
        </w:tc>
        <w:tc>
          <w:tcPr>
            <w:tcW w:w="2300" w:type="dxa"/>
            <w:vAlign w:val="bottom"/>
            <w:gridSpan w:val="2"/>
          </w:tcPr>
          <w:p>
            <w:pPr>
              <w:ind w:left="120"/>
              <w:spacing w:after="0"/>
              <w:rPr>
                <w:sz w:val="20"/>
                <w:szCs w:val="20"/>
                <w:color w:val="auto"/>
              </w:rPr>
            </w:pPr>
            <w:r>
              <w:rPr>
                <w:rFonts w:ascii="Arial" w:cs="Arial" w:eastAsia="Arial" w:hAnsi="Arial"/>
                <w:sz w:val="18"/>
                <w:szCs w:val="18"/>
                <w:i w:val="1"/>
                <w:iCs w:val="1"/>
                <w:color w:val="auto"/>
              </w:rPr>
              <w:t>GasLog Greece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2026</w:t>
            </w:r>
          </w:p>
        </w:tc>
        <w:tc>
          <w:tcPr>
            <w:tcW w:w="1380" w:type="dxa"/>
            <w:vAlign w:val="bottom"/>
          </w:tcPr>
          <w:p>
            <w:pPr>
              <w:jc w:val="center"/>
              <w:spacing w:after="0" w:line="216" w:lineRule="exact"/>
              <w:rPr>
                <w:sz w:val="20"/>
                <w:szCs w:val="20"/>
                <w:color w:val="auto"/>
              </w:rPr>
            </w:pPr>
            <w:r>
              <w:rPr>
                <w:rFonts w:ascii="Arial" w:cs="Arial" w:eastAsia="Arial" w:hAnsi="Arial"/>
                <w:sz w:val="18"/>
                <w:szCs w:val="18"/>
                <w:color w:val="auto"/>
                <w:w w:val="84"/>
              </w:rPr>
              <w:t xml:space="preserve">2031 </w:t>
            </w:r>
            <w:r>
              <w:rPr>
                <w:rFonts w:ascii="Arial" w:cs="Arial" w:eastAsia="Arial" w:hAnsi="Arial"/>
                <w:sz w:val="23"/>
                <w:szCs w:val="23"/>
                <w:color w:val="auto"/>
                <w:w w:val="84"/>
                <w:vertAlign w:val="superscript"/>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w:t>
            </w:r>
          </w:p>
        </w:tc>
        <w:tc>
          <w:tcPr>
            <w:tcW w:w="23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GasLog Geneva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September 2023</w:t>
            </w:r>
          </w:p>
        </w:tc>
        <w:tc>
          <w:tcPr>
            <w:tcW w:w="148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8"/>
                <w:szCs w:val="18"/>
                <w:color w:val="auto"/>
                <w:w w:val="90"/>
              </w:rPr>
              <w:t xml:space="preserve">2028—2031 </w:t>
            </w:r>
            <w:r>
              <w:rPr>
                <w:rFonts w:ascii="Arial" w:cs="Arial" w:eastAsia="Arial" w:hAnsi="Arial"/>
                <w:sz w:val="23"/>
                <w:szCs w:val="23"/>
                <w:color w:val="auto"/>
                <w:w w:val="90"/>
                <w:vertAlign w:val="superscript"/>
              </w:rPr>
              <w:t>(4)</w:t>
            </w:r>
          </w:p>
        </w:tc>
        <w:tc>
          <w:tcPr>
            <w:tcW w:w="0" w:type="dxa"/>
            <w:vAlign w:val="bottom"/>
          </w:tcPr>
          <w:p>
            <w:pPr>
              <w:spacing w:after="0"/>
              <w:rPr>
                <w:sz w:val="1"/>
                <w:szCs w:val="1"/>
                <w:color w:val="auto"/>
              </w:rPr>
            </w:pPr>
          </w:p>
        </w:tc>
      </w:tr>
      <w:tr>
        <w:trPr>
          <w:trHeight w:val="216"/>
        </w:trPr>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8</w:t>
            </w:r>
          </w:p>
        </w:tc>
        <w:tc>
          <w:tcPr>
            <w:tcW w:w="2300" w:type="dxa"/>
            <w:vAlign w:val="bottom"/>
            <w:gridSpan w:val="2"/>
          </w:tcPr>
          <w:p>
            <w:pPr>
              <w:ind w:left="120"/>
              <w:spacing w:after="0" w:line="216" w:lineRule="exact"/>
              <w:rPr>
                <w:sz w:val="20"/>
                <w:szCs w:val="20"/>
                <w:color w:val="auto"/>
              </w:rPr>
            </w:pPr>
            <w:r>
              <w:rPr>
                <w:rFonts w:ascii="Arial" w:cs="Arial" w:eastAsia="Arial" w:hAnsi="Arial"/>
                <w:sz w:val="18"/>
                <w:szCs w:val="18"/>
                <w:i w:val="1"/>
                <w:iCs w:val="1"/>
                <w:color w:val="auto"/>
              </w:rPr>
              <w:t xml:space="preserve">GasLog Gibraltar </w:t>
            </w:r>
            <w:r>
              <w:rPr>
                <w:rFonts w:ascii="Arial" w:cs="Arial" w:eastAsia="Arial" w:hAnsi="Arial"/>
                <w:sz w:val="23"/>
                <w:szCs w:val="23"/>
                <w:color w:val="auto"/>
                <w:vertAlign w:val="superscript"/>
              </w:rPr>
              <w:t>(5)</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Shell</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October 2023</w:t>
            </w:r>
          </w:p>
        </w:tc>
        <w:tc>
          <w:tcPr>
            <w:tcW w:w="1480" w:type="dxa"/>
            <w:vAlign w:val="bottom"/>
            <w:gridSpan w:val="2"/>
          </w:tcPr>
          <w:p>
            <w:pPr>
              <w:jc w:val="center"/>
              <w:ind w:right="100"/>
              <w:spacing w:after="0" w:line="216" w:lineRule="exact"/>
              <w:rPr>
                <w:sz w:val="20"/>
                <w:szCs w:val="20"/>
                <w:color w:val="auto"/>
              </w:rPr>
            </w:pPr>
            <w:r>
              <w:rPr>
                <w:rFonts w:ascii="Arial" w:cs="Arial" w:eastAsia="Arial" w:hAnsi="Arial"/>
                <w:sz w:val="18"/>
                <w:szCs w:val="18"/>
                <w:color w:val="auto"/>
                <w:w w:val="90"/>
              </w:rPr>
              <w:t xml:space="preserve">2028—2031 </w:t>
            </w:r>
            <w:r>
              <w:rPr>
                <w:rFonts w:ascii="Arial" w:cs="Arial" w:eastAsia="Arial" w:hAnsi="Arial"/>
                <w:sz w:val="23"/>
                <w:szCs w:val="23"/>
                <w:color w:val="auto"/>
                <w:w w:val="90"/>
                <w:vertAlign w:val="superscript"/>
              </w:rPr>
              <w:t>(4)</w:t>
            </w:r>
          </w:p>
        </w:tc>
        <w:tc>
          <w:tcPr>
            <w:tcW w:w="0" w:type="dxa"/>
            <w:vAlign w:val="bottom"/>
          </w:tcPr>
          <w:p>
            <w:pPr>
              <w:spacing w:after="0"/>
              <w:rPr>
                <w:sz w:val="1"/>
                <w:szCs w:val="1"/>
                <w:color w:val="auto"/>
              </w:rPr>
            </w:pPr>
          </w:p>
        </w:tc>
      </w:tr>
      <w:tr>
        <w:trPr>
          <w:trHeight w:val="111"/>
        </w:trPr>
        <w:tc>
          <w:tcPr>
            <w:tcW w:w="36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9</w:t>
            </w:r>
          </w:p>
        </w:tc>
        <w:tc>
          <w:tcPr>
            <w:tcW w:w="22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2006</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Steam</w:t>
            </w:r>
          </w:p>
        </w:tc>
        <w:tc>
          <w:tcPr>
            <w:tcW w:w="1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6"/>
              </w:rPr>
              <w:t>April 2020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2260" w:type="dxa"/>
            <w:vAlign w:val="bottom"/>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2006</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145,000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080" w:type="dxa"/>
            <w:vAlign w:val="bottom"/>
          </w:tcPr>
          <w:p>
            <w:pPr>
              <w:ind w:left="300"/>
              <w:spacing w:after="0"/>
              <w:rPr>
                <w:sz w:val="20"/>
                <w:szCs w:val="20"/>
                <w:color w:val="auto"/>
              </w:rPr>
            </w:pPr>
            <w:r>
              <w:rPr>
                <w:rFonts w:ascii="Arial" w:cs="Arial" w:eastAsia="Arial" w:hAnsi="Arial"/>
                <w:sz w:val="18"/>
                <w:szCs w:val="18"/>
                <w:color w:val="auto"/>
              </w:rPr>
              <w:t>Steam</w:t>
            </w:r>
          </w:p>
        </w:tc>
        <w:tc>
          <w:tcPr>
            <w:tcW w:w="1920" w:type="dxa"/>
            <w:vAlign w:val="bottom"/>
          </w:tcPr>
          <w:p>
            <w:pPr>
              <w:jc w:val="center"/>
              <w:ind w:left="30"/>
              <w:spacing w:after="0" w:line="216" w:lineRule="exact"/>
              <w:rPr>
                <w:sz w:val="20"/>
                <w:szCs w:val="20"/>
                <w:color w:val="auto"/>
              </w:rPr>
            </w:pPr>
            <w:r>
              <w:rPr>
                <w:rFonts w:ascii="Arial" w:cs="Arial" w:eastAsia="Arial" w:hAnsi="Arial"/>
                <w:sz w:val="18"/>
                <w:szCs w:val="18"/>
                <w:color w:val="auto"/>
                <w:w w:val="87"/>
              </w:rPr>
              <w:t xml:space="preserve">October 2019 </w:t>
            </w:r>
            <w:r>
              <w:rPr>
                <w:rFonts w:ascii="Arial" w:cs="Arial" w:eastAsia="Arial" w:hAnsi="Arial"/>
                <w:sz w:val="23"/>
                <w:szCs w:val="23"/>
                <w:color w:val="auto"/>
                <w:w w:val="87"/>
                <w:vertAlign w:val="superscript"/>
              </w:rPr>
              <w:t>(8)</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c>
          <w:tcPr>
            <w:tcW w:w="22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2007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Steam</w:t>
            </w:r>
          </w:p>
        </w:tc>
        <w:tc>
          <w:tcPr>
            <w:tcW w:w="1920" w:type="dxa"/>
            <w:vAlign w:val="bottom"/>
            <w:shd w:val="clear" w:color="auto" w:fill="CCEEFF"/>
          </w:tcPr>
          <w:p>
            <w:pPr>
              <w:jc w:val="center"/>
              <w:ind w:left="30"/>
              <w:spacing w:after="0" w:line="216" w:lineRule="exact"/>
              <w:rPr>
                <w:sz w:val="20"/>
                <w:szCs w:val="20"/>
                <w:color w:val="auto"/>
              </w:rPr>
            </w:pPr>
            <w:r>
              <w:rPr>
                <w:rFonts w:ascii="Arial" w:cs="Arial" w:eastAsia="Arial" w:hAnsi="Arial"/>
                <w:sz w:val="18"/>
                <w:szCs w:val="18"/>
                <w:color w:val="auto"/>
                <w:w w:val="86"/>
              </w:rPr>
              <w:t xml:space="preserve">December 2019 </w:t>
            </w:r>
            <w:r>
              <w:rPr>
                <w:rFonts w:ascii="Arial" w:cs="Arial" w:eastAsia="Arial" w:hAnsi="Arial"/>
                <w:sz w:val="23"/>
                <w:szCs w:val="23"/>
                <w:color w:val="auto"/>
                <w:w w:val="86"/>
                <w:vertAlign w:val="superscript"/>
              </w:rPr>
              <w:t>(8)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380" w:type="dxa"/>
            <w:vAlign w:val="bottom"/>
          </w:tcPr>
          <w:p>
            <w:pPr>
              <w:spacing w:after="0"/>
              <w:rPr>
                <w:sz w:val="17"/>
                <w:szCs w:val="17"/>
                <w:color w:val="auto"/>
              </w:rPr>
            </w:pPr>
          </w:p>
        </w:tc>
        <w:tc>
          <w:tcPr>
            <w:tcW w:w="2260" w:type="dxa"/>
            <w:vAlign w:val="bottom"/>
          </w:tcPr>
          <w:p>
            <w:pPr>
              <w:ind w:left="100"/>
              <w:spacing w:after="0" w:line="201" w:lineRule="exact"/>
              <w:rPr>
                <w:sz w:val="20"/>
                <w:szCs w:val="20"/>
                <w:color w:val="auto"/>
              </w:rPr>
            </w:pPr>
            <w:r>
              <w:rPr>
                <w:rFonts w:ascii="Arial" w:cs="Arial" w:eastAsia="Arial" w:hAnsi="Arial"/>
                <w:sz w:val="18"/>
                <w:szCs w:val="18"/>
                <w:i w:val="1"/>
                <w:iCs w:val="1"/>
                <w:color w:val="auto"/>
                <w:w w:val="99"/>
              </w:rPr>
              <w:t xml:space="preserve">Methane Jane Elizabeth </w:t>
            </w:r>
            <w:r>
              <w:rPr>
                <w:rFonts w:ascii="Arial" w:cs="Arial" w:eastAsia="Arial" w:hAnsi="Arial"/>
                <w:sz w:val="18"/>
                <w:szCs w:val="18"/>
                <w:color w:val="auto"/>
                <w:w w:val="99"/>
              </w:rPr>
              <w:t>or</w:t>
            </w:r>
          </w:p>
        </w:tc>
        <w:tc>
          <w:tcPr>
            <w:tcW w:w="13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2006/2007</w:t>
            </w:r>
          </w:p>
        </w:tc>
        <w:tc>
          <w:tcPr>
            <w:tcW w:w="120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145,000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90"/>
              </w:rPr>
              <w:t>New Customer</w:t>
            </w:r>
          </w:p>
        </w:tc>
        <w:tc>
          <w:tcPr>
            <w:tcW w:w="1080" w:type="dxa"/>
            <w:vAlign w:val="bottom"/>
          </w:tcPr>
          <w:p>
            <w:pPr>
              <w:ind w:left="300"/>
              <w:spacing w:after="0" w:line="201" w:lineRule="exact"/>
              <w:rPr>
                <w:sz w:val="20"/>
                <w:szCs w:val="20"/>
                <w:color w:val="auto"/>
              </w:rPr>
            </w:pPr>
            <w:r>
              <w:rPr>
                <w:rFonts w:ascii="Arial" w:cs="Arial" w:eastAsia="Arial" w:hAnsi="Arial"/>
                <w:sz w:val="18"/>
                <w:szCs w:val="18"/>
                <w:color w:val="auto"/>
              </w:rPr>
              <w:t>Steam</w:t>
            </w:r>
          </w:p>
        </w:tc>
        <w:tc>
          <w:tcPr>
            <w:tcW w:w="192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2"/>
              </w:rPr>
              <w:t>November or</w:t>
            </w:r>
          </w:p>
        </w:tc>
        <w:tc>
          <w:tcPr>
            <w:tcW w:w="1580" w:type="dxa"/>
            <w:vAlign w:val="bottom"/>
          </w:tcPr>
          <w:p>
            <w:pPr>
              <w:jc w:val="center"/>
              <w:spacing w:after="0" w:line="202" w:lineRule="exact"/>
              <w:rPr>
                <w:sz w:val="20"/>
                <w:szCs w:val="20"/>
                <w:color w:val="auto"/>
              </w:rPr>
            </w:pPr>
            <w:r>
              <w:rPr>
                <w:rFonts w:ascii="Arial" w:cs="Arial" w:eastAsia="Arial" w:hAnsi="Arial"/>
                <w:sz w:val="18"/>
                <w:szCs w:val="18"/>
                <w:color w:val="auto"/>
                <w:w w:val="90"/>
              </w:rPr>
              <w:t xml:space="preserve">2021—2024 </w:t>
            </w:r>
            <w:r>
              <w:rPr>
                <w:rFonts w:ascii="Arial" w:cs="Arial" w:eastAsia="Arial" w:hAnsi="Arial"/>
                <w:sz w:val="23"/>
                <w:szCs w:val="23"/>
                <w:color w:val="auto"/>
                <w:w w:val="90"/>
                <w:vertAlign w:val="superscript"/>
              </w:rPr>
              <w:t>(6)</w:t>
            </w:r>
          </w:p>
        </w:tc>
      </w:tr>
      <w:tr>
        <w:trPr>
          <w:trHeight w:val="230"/>
        </w:trPr>
        <w:tc>
          <w:tcPr>
            <w:tcW w:w="380" w:type="dxa"/>
            <w:vAlign w:val="bottom"/>
          </w:tcPr>
          <w:p>
            <w:pPr>
              <w:spacing w:after="0"/>
              <w:rPr>
                <w:sz w:val="20"/>
                <w:szCs w:val="20"/>
                <w:color w:val="auto"/>
              </w:rPr>
            </w:pPr>
          </w:p>
        </w:tc>
        <w:tc>
          <w:tcPr>
            <w:tcW w:w="2260" w:type="dxa"/>
            <w:vAlign w:val="bottom"/>
          </w:tcPr>
          <w:p>
            <w:pPr>
              <w:ind w:left="100"/>
              <w:spacing w:after="0" w:line="231" w:lineRule="exact"/>
              <w:rPr>
                <w:sz w:val="20"/>
                <w:szCs w:val="20"/>
                <w:color w:val="auto"/>
              </w:rPr>
            </w:pPr>
            <w:r>
              <w:rPr>
                <w:rFonts w:ascii="Arial" w:cs="Arial" w:eastAsia="Arial" w:hAnsi="Arial"/>
                <w:sz w:val="18"/>
                <w:szCs w:val="18"/>
                <w:i w:val="1"/>
                <w:iCs w:val="1"/>
                <w:color w:val="auto"/>
              </w:rPr>
              <w:t xml:space="preserve">Methane Alison Victoria </w:t>
            </w:r>
            <w:r>
              <w:rPr>
                <w:rFonts w:ascii="Arial" w:cs="Arial" w:eastAsia="Arial" w:hAnsi="Arial"/>
                <w:sz w:val="23"/>
                <w:szCs w:val="23"/>
                <w:color w:val="auto"/>
                <w:vertAlign w:val="superscript"/>
              </w:rPr>
              <w:t>(8)</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8"/>
              </w:rPr>
              <w:t>December 2020</w:t>
            </w:r>
          </w:p>
        </w:tc>
        <w:tc>
          <w:tcPr>
            <w:tcW w:w="1580" w:type="dxa"/>
            <w:vAlign w:val="bottom"/>
          </w:tcPr>
          <w:p>
            <w:pPr>
              <w:spacing w:after="0"/>
              <w:rPr>
                <w:sz w:val="20"/>
                <w:szCs w:val="20"/>
                <w:color w:val="auto"/>
              </w:rPr>
            </w:pPr>
          </w:p>
        </w:tc>
      </w:tr>
      <w:tr>
        <w:trPr>
          <w:trHeight w:val="216"/>
        </w:trPr>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12</w:t>
            </w:r>
          </w:p>
        </w:tc>
        <w:tc>
          <w:tcPr>
            <w:tcW w:w="22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2007</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Steam</w:t>
            </w:r>
          </w:p>
        </w:tc>
        <w:tc>
          <w:tcPr>
            <w:tcW w:w="1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June 2020</w:t>
            </w:r>
          </w:p>
        </w:tc>
        <w:tc>
          <w:tcPr>
            <w:tcW w:w="158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90"/>
              </w:rPr>
              <w:t xml:space="preserve">2023—2025 </w:t>
            </w:r>
            <w:r>
              <w:rPr>
                <w:rFonts w:ascii="Arial" w:cs="Arial" w:eastAsia="Arial" w:hAnsi="Arial"/>
                <w:sz w:val="23"/>
                <w:szCs w:val="23"/>
                <w:color w:val="auto"/>
                <w:w w:val="90"/>
                <w:vertAlign w:val="superscript"/>
              </w:rPr>
              <w:t>(7)</w:t>
            </w:r>
          </w:p>
        </w:tc>
      </w:tr>
      <w:tr>
        <w:trPr>
          <w:trHeight w:val="305"/>
        </w:trPr>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2260" w:type="dxa"/>
            <w:vAlign w:val="bottom"/>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2007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145,000</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080" w:type="dxa"/>
            <w:vAlign w:val="bottom"/>
          </w:tcPr>
          <w:p>
            <w:pPr>
              <w:ind w:left="300"/>
              <w:spacing w:after="0"/>
              <w:rPr>
                <w:sz w:val="20"/>
                <w:szCs w:val="20"/>
                <w:color w:val="auto"/>
              </w:rPr>
            </w:pPr>
            <w:r>
              <w:rPr>
                <w:rFonts w:ascii="Arial" w:cs="Arial" w:eastAsia="Arial" w:hAnsi="Arial"/>
                <w:sz w:val="18"/>
                <w:szCs w:val="18"/>
                <w:color w:val="auto"/>
              </w:rPr>
              <w:t>Steam</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8"/>
              </w:rPr>
              <w:t>December 2020</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 xml:space="preserve">2023—2025 </w:t>
            </w:r>
            <w:r>
              <w:rPr>
                <w:rFonts w:ascii="Arial" w:cs="Arial" w:eastAsia="Arial" w:hAnsi="Arial"/>
                <w:sz w:val="23"/>
                <w:szCs w:val="23"/>
                <w:color w:val="auto"/>
                <w:w w:val="90"/>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9" w:lineRule="exact"/>
        <w:rPr>
          <w:sz w:val="20"/>
          <w:szCs w:val="20"/>
          <w:color w:val="auto"/>
        </w:rPr>
      </w:pPr>
    </w:p>
    <w:p>
      <w:pPr>
        <w:ind w:left="200" w:right="38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this time charter for a period ranging from one to seven years, provided that the charterer provides us with advance notice of declaration. The period shown reflects the expiration of the minimum optional period and the maximum optional period.</w:t>
      </w:r>
    </w:p>
    <w:p>
      <w:pPr>
        <w:spacing w:after="0" w:line="114" w:lineRule="exact"/>
        <w:rPr>
          <w:rFonts w:ascii="Arial" w:cs="Arial" w:eastAsia="Arial" w:hAnsi="Arial"/>
          <w:sz w:val="21"/>
          <w:szCs w:val="21"/>
          <w:color w:val="auto"/>
          <w:vertAlign w:val="superscript"/>
        </w:rPr>
      </w:pPr>
    </w:p>
    <w:p>
      <w:pPr>
        <w:ind w:left="200" w:right="30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these time charters for a period ranging from five to ten years, and the charters require that the charterer provide us with advance notice of its exercise of any extension option. The period shown reflects the expiration of the minimum optional period and the maximum optional period.</w:t>
      </w:r>
    </w:p>
    <w:p>
      <w:pPr>
        <w:spacing w:after="0" w:line="55"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the time charter for a period of five years, provided that the charterer provides us with advance notice of declaration.</w:t>
      </w:r>
    </w:p>
    <w:p>
      <w:pPr>
        <w:spacing w:after="0" w:line="114" w:lineRule="exact"/>
        <w:rPr>
          <w:rFonts w:ascii="Arial" w:cs="Arial" w:eastAsia="Arial" w:hAnsi="Arial"/>
          <w:sz w:val="21"/>
          <w:szCs w:val="21"/>
          <w:color w:val="auto"/>
          <w:vertAlign w:val="superscript"/>
        </w:rPr>
      </w:pPr>
    </w:p>
    <w:p>
      <w:pPr>
        <w:ind w:left="200" w:right="18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the time charters by two additional periods of five and three years, respectively, provided that the charterer provides us with advance notice of declaration. The period shown reflects the expiration of the minimum optional period and the maximum optional period.</w:t>
      </w:r>
    </w:p>
    <w:p>
      <w:pPr>
        <w:spacing w:after="0" w:line="55"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 xml:space="preserve">On April 26, 2018, GasLog Partners acquired from GasLog 100% of the shares in the entity that owns and charters the </w:t>
      </w:r>
      <w:r>
        <w:rPr>
          <w:rFonts w:ascii="Arial" w:cs="Arial" w:eastAsia="Arial" w:hAnsi="Arial"/>
          <w:sz w:val="13"/>
          <w:szCs w:val="13"/>
          <w:i w:val="1"/>
          <w:iCs w:val="1"/>
          <w:color w:val="auto"/>
        </w:rPr>
        <w:t>GasLog Gibraltar</w:t>
      </w:r>
      <w:r>
        <w:rPr>
          <w:rFonts w:ascii="Arial" w:cs="Arial" w:eastAsia="Arial" w:hAnsi="Arial"/>
          <w:sz w:val="13"/>
          <w:szCs w:val="13"/>
          <w:color w:val="auto"/>
        </w:rPr>
        <w:t>.</w:t>
      </w:r>
    </w:p>
    <w:p>
      <w:pPr>
        <w:spacing w:after="0" w:line="114" w:lineRule="exact"/>
        <w:rPr>
          <w:rFonts w:ascii="Arial" w:cs="Arial" w:eastAsia="Arial" w:hAnsi="Arial"/>
          <w:sz w:val="21"/>
          <w:szCs w:val="21"/>
          <w:color w:val="auto"/>
          <w:vertAlign w:val="superscript"/>
        </w:rPr>
      </w:pPr>
    </w:p>
    <w:p>
      <w:pPr>
        <w:ind w:left="200" w:right="46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this time charter for a period ranging from one to four years, provided that the charterer provides us with advance notice of declaration. The period shown reflects the expiration of the minimum optional period and the maximum optional period.</w:t>
      </w:r>
    </w:p>
    <w:p>
      <w:pPr>
        <w:spacing w:after="0" w:line="114" w:lineRule="exact"/>
        <w:rPr>
          <w:rFonts w:ascii="Arial" w:cs="Arial" w:eastAsia="Arial" w:hAnsi="Arial"/>
          <w:sz w:val="21"/>
          <w:szCs w:val="21"/>
          <w:color w:val="auto"/>
          <w:vertAlign w:val="superscript"/>
        </w:rPr>
      </w:pPr>
    </w:p>
    <w:p>
      <w:pPr>
        <w:ind w:left="200" w:right="48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Charterer may extend the term of two of the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114" w:lineRule="exact"/>
        <w:rPr>
          <w:rFonts w:ascii="Arial" w:cs="Arial" w:eastAsia="Arial" w:hAnsi="Arial"/>
          <w:sz w:val="21"/>
          <w:szCs w:val="21"/>
          <w:color w:val="auto"/>
          <w:vertAlign w:val="superscript"/>
        </w:rPr>
      </w:pPr>
    </w:p>
    <w:p>
      <w:pPr>
        <w:ind w:left="200" w:right="180" w:hanging="192"/>
        <w:spacing w:after="0" w:line="203" w:lineRule="auto"/>
        <w:tabs>
          <w:tab w:leader="none" w:pos="182"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 xml:space="preserve">GasLog Partners recently secured a one-year charter for either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or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(as nominated by the Partnership) commencing in either November or December 2019 at the Partnership’s option.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158" w:lineRule="exact"/>
        <w:rPr>
          <w:sz w:val="20"/>
          <w:szCs w:val="20"/>
          <w:color w:val="auto"/>
        </w:rPr>
      </w:pPr>
    </w:p>
    <w:p>
      <w:pPr>
        <w:ind w:right="60" w:firstLine="428"/>
        <w:spacing w:after="0" w:line="27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are due to come off charter in May 2018, July 2018 and September 2018, respectively, each plus or minus 30 days. In addition, the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Rita Andrea</w:t>
      </w:r>
      <w:r>
        <w:rPr>
          <w:rFonts w:ascii="Arial" w:cs="Arial" w:eastAsia="Arial" w:hAnsi="Arial"/>
          <w:sz w:val="17"/>
          <w:szCs w:val="17"/>
          <w:color w:val="auto"/>
        </w:rPr>
        <w:t xml:space="preserve"> are due to come off charter in October 2019, December 2019 and April 2020, respectively, each plus or minus 30 days. GasLog Partners has already secured an approximately three-and-a-half year charter for the </w:t>
      </w:r>
      <w:r>
        <w:rPr>
          <w:rFonts w:ascii="Arial" w:cs="Arial" w:eastAsia="Arial" w:hAnsi="Arial"/>
          <w:sz w:val="17"/>
          <w:szCs w:val="17"/>
          <w:i w:val="1"/>
          <w:iCs w:val="1"/>
          <w:color w:val="auto"/>
        </w:rPr>
        <w:t>GasLog Santiago</w:t>
      </w:r>
      <w:r>
        <w:rPr>
          <w:rFonts w:ascii="Arial" w:cs="Arial" w:eastAsia="Arial" w:hAnsi="Arial"/>
          <w:sz w:val="17"/>
          <w:szCs w:val="17"/>
          <w:color w:val="auto"/>
        </w:rPr>
        <w:t xml:space="preserve">, commencing in either August or September 2018 at the Partnership’s option, and a one-year charter for either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or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(as nominated by the Partnership), commencing in either November or December 2019 at the Partnership’s option. GasLog Partners continues to pursue opportunities for new multi-year charters with third parties for the remaining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Vessel Interests Purchase Options</w:t>
      </w:r>
    </w:p>
    <w:p>
      <w:pPr>
        <w:spacing w:after="0" w:line="158"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 xml:space="preserve">We currently have the option to purchase from GasLog: (i)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within 36 months after GasLog notifies our board of directors of her acceptance by her charterers and (ii)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within 30 days after GasLog notifies us that the vessel has commenced its multi-year charter with Shell. In each case, our option to purchase is at fair market value as determined pursuant to the omnibus agreement. Our options to acquire the </w:t>
      </w:r>
      <w:r>
        <w:rPr>
          <w:rFonts w:ascii="Arial" w:cs="Arial" w:eastAsia="Arial" w:hAnsi="Arial"/>
          <w:sz w:val="18"/>
          <w:szCs w:val="18"/>
          <w:i w:val="1"/>
          <w:iCs w:val="1"/>
          <w:color w:val="auto"/>
        </w:rPr>
        <w:t>Methane Becki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Julia Louise </w:t>
      </w:r>
      <w:r>
        <w:rPr>
          <w:rFonts w:ascii="Arial" w:cs="Arial" w:eastAsia="Arial" w:hAnsi="Arial"/>
          <w:sz w:val="18"/>
          <w:szCs w:val="18"/>
          <w:color w:val="auto"/>
        </w:rPr>
        <w:t>expired in March 2018, while the options to acquire the</w:t>
      </w:r>
      <w:r>
        <w:rPr>
          <w:rFonts w:ascii="Arial" w:cs="Arial" w:eastAsia="Arial" w:hAnsi="Arial"/>
          <w:sz w:val="18"/>
          <w:szCs w:val="18"/>
          <w:i w:val="1"/>
          <w:iCs w:val="1"/>
          <w:color w:val="auto"/>
        </w:rPr>
        <w:t xml:space="preserve"> GasLog Genoa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Hong Kong </w:t>
      </w:r>
      <w:r>
        <w:rPr>
          <w:rFonts w:ascii="Arial" w:cs="Arial" w:eastAsia="Arial" w:hAnsi="Arial"/>
          <w:sz w:val="18"/>
          <w:szCs w:val="18"/>
          <w:color w:val="auto"/>
        </w:rPr>
        <w:t>expired in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714"/>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6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Cargo</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Year Built</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Capacity</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Propulsion</w:t>
            </w:r>
            <w:r>
              <w:rPr>
                <w:rFonts w:ascii="Arial" w:cs="Arial" w:eastAsia="Arial" w:hAnsi="Arial"/>
                <w:sz w:val="17"/>
                <w:szCs w:val="17"/>
                <w:b w:val="1"/>
                <w:bCs w:val="1"/>
                <w:color w:val="auto"/>
                <w:w w:val="87"/>
                <w:vertAlign w:val="superscript"/>
              </w:rPr>
              <w:t>(1)</w:t>
            </w:r>
          </w:p>
        </w:tc>
        <w:tc>
          <w:tcPr>
            <w:tcW w:w="3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380" w:type="dxa"/>
            <w:vAlign w:val="bottom"/>
            <w:gridSpan w:val="2"/>
            <w:vMerge w:val="continue"/>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(cbm)</w:t>
            </w:r>
          </w:p>
        </w:tc>
        <w:tc>
          <w:tcPr>
            <w:tcW w:w="13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340" w:type="dxa"/>
            <w:vAlign w:val="bottom"/>
            <w:gridSpan w:val="3"/>
          </w:tcPr>
          <w:p>
            <w:pPr>
              <w:jc w:val="center"/>
              <w:ind w:right="1740"/>
              <w:spacing w:after="0" w:line="172" w:lineRule="exact"/>
              <w:rPr>
                <w:sz w:val="20"/>
                <w:szCs w:val="20"/>
                <w:color w:val="auto"/>
              </w:rPr>
            </w:pPr>
            <w:r>
              <w:rPr>
                <w:rFonts w:ascii="Arial" w:cs="Arial" w:eastAsia="Arial" w:hAnsi="Arial"/>
                <w:sz w:val="14"/>
                <w:szCs w:val="14"/>
                <w:b w:val="1"/>
                <w:bCs w:val="1"/>
                <w:color w:val="auto"/>
                <w:w w:val="92"/>
              </w:rPr>
              <w:t>Expiration</w:t>
            </w:r>
            <w:r>
              <w:rPr>
                <w:rFonts w:ascii="Arial" w:cs="Arial" w:eastAsia="Arial" w:hAnsi="Arial"/>
                <w:sz w:val="17"/>
                <w:szCs w:val="17"/>
                <w:b w:val="1"/>
                <w:bCs w:val="1"/>
                <w:color w:val="auto"/>
                <w:w w:val="92"/>
                <w:vertAlign w:val="superscript"/>
              </w:rPr>
              <w:t>(2)</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w:t>
            </w:r>
          </w:p>
        </w:tc>
        <w:tc>
          <w:tcPr>
            <w:tcW w:w="2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GasLog Glasgow</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60" w:type="dxa"/>
            <w:vAlign w:val="bottom"/>
          </w:tcPr>
          <w:p>
            <w:pPr>
              <w:jc w:val="right"/>
              <w:ind w:right="56"/>
              <w:spacing w:after="0"/>
              <w:rPr>
                <w:sz w:val="20"/>
                <w:szCs w:val="20"/>
                <w:color w:val="auto"/>
              </w:rPr>
            </w:pPr>
            <w:r>
              <w:rPr>
                <w:rFonts w:ascii="Arial" w:cs="Arial" w:eastAsia="Arial" w:hAnsi="Arial"/>
                <w:sz w:val="18"/>
                <w:szCs w:val="18"/>
                <w:b w:val="1"/>
                <w:bCs w:val="1"/>
                <w:color w:val="auto"/>
              </w:rPr>
              <w:t>2</w:t>
            </w:r>
          </w:p>
        </w:tc>
        <w:tc>
          <w:tcPr>
            <w:tcW w:w="2300" w:type="dxa"/>
            <w:vAlign w:val="bottom"/>
            <w:gridSpan w:val="2"/>
          </w:tcPr>
          <w:p>
            <w:pPr>
              <w:ind w:left="120"/>
              <w:spacing w:after="0"/>
              <w:rPr>
                <w:sz w:val="20"/>
                <w:szCs w:val="20"/>
                <w:color w:val="auto"/>
              </w:rPr>
            </w:pPr>
            <w:r>
              <w:rPr>
                <w:rFonts w:ascii="Arial" w:cs="Arial" w:eastAsia="Arial" w:hAnsi="Arial"/>
                <w:sz w:val="18"/>
                <w:szCs w:val="18"/>
                <w:i w:val="1"/>
                <w:iCs w:val="1"/>
                <w:color w:val="auto"/>
              </w:rPr>
              <w:t xml:space="preserve">GasLog Houston </w:t>
            </w:r>
            <w:r>
              <w:rPr>
                <w:rFonts w:ascii="Arial" w:cs="Arial" w:eastAsia="Arial" w:hAnsi="Arial"/>
                <w:sz w:val="23"/>
                <w:szCs w:val="23"/>
                <w:color w:val="auto"/>
                <w:vertAlign w:val="superscript"/>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2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Shell</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LP-2S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2028</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-1009650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Reference to “LP-2S” refers to low pressure dual-fuel two-stroke engine propulsion.</w:t>
      </w:r>
    </w:p>
    <w:p>
      <w:pPr>
        <w:spacing w:after="0" w:line="94" w:lineRule="exact"/>
        <w:rPr>
          <w:rFonts w:ascii="Arial" w:cs="Arial" w:eastAsia="Arial" w:hAnsi="Arial"/>
          <w:sz w:val="21"/>
          <w:szCs w:val="21"/>
          <w:color w:val="auto"/>
          <w:vertAlign w:val="superscript"/>
        </w:rPr>
      </w:pPr>
    </w:p>
    <w:p>
      <w:pPr>
        <w:ind w:left="180" w:hanging="172"/>
        <w:spacing w:after="0" w:line="188"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Indicates the expiration of the initial fixed term.</w:t>
      </w:r>
    </w:p>
    <w:p>
      <w:pPr>
        <w:spacing w:after="0" w:line="101" w:lineRule="exact"/>
        <w:rPr>
          <w:rFonts w:ascii="Arial" w:cs="Arial" w:eastAsia="Arial" w:hAnsi="Arial"/>
          <w:sz w:val="21"/>
          <w:szCs w:val="21"/>
          <w:color w:val="auto"/>
          <w:vertAlign w:val="superscript"/>
        </w:rPr>
      </w:pPr>
    </w:p>
    <w:p>
      <w:pPr>
        <w:ind w:left="200" w:right="140" w:hanging="192"/>
        <w:spacing w:after="0" w:line="203" w:lineRule="auto"/>
        <w:tabs>
          <w:tab w:leader="none" w:pos="182"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The vessel is expected to complete a short-term charter to a major LNG producer and thereafter will trade in the short-term market until the commencement of her multi-year charter party with a subsidiary of Shell, from the end of 2018 until April 2028.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80" w:firstLine="383"/>
        <w:spacing w:after="0" w:line="291" w:lineRule="auto"/>
        <w:rPr>
          <w:sz w:val="20"/>
          <w:szCs w:val="20"/>
          <w:color w:val="auto"/>
        </w:rPr>
      </w:pPr>
      <w:r>
        <w:rPr>
          <w:rFonts w:ascii="Arial" w:cs="Arial" w:eastAsia="Arial" w:hAnsi="Arial"/>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two newbuildings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Cargo</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Year Built</w:t>
            </w:r>
            <w:r>
              <w:rPr>
                <w:rFonts w:ascii="Arial" w:cs="Arial" w:eastAsia="Arial" w:hAnsi="Arial"/>
                <w:sz w:val="17"/>
                <w:szCs w:val="17"/>
                <w:b w:val="1"/>
                <w:bCs w:val="1"/>
                <w:color w:val="auto"/>
                <w:w w:val="90"/>
                <w:vertAlign w:val="superscript"/>
              </w:rPr>
              <w:t>(1)</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Capacity</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Charterer</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Propulsion</w:t>
            </w: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Charter</w:t>
            </w:r>
          </w:p>
        </w:tc>
        <w:tc>
          <w:tcPr>
            <w:tcW w:w="0" w:type="dxa"/>
            <w:vAlign w:val="bottom"/>
          </w:tcPr>
          <w:p>
            <w:pPr>
              <w:spacing w:after="0"/>
              <w:rPr>
                <w:sz w:val="1"/>
                <w:szCs w:val="1"/>
                <w:color w:val="auto"/>
              </w:rPr>
            </w:pPr>
          </w:p>
        </w:tc>
      </w:tr>
      <w:tr>
        <w:trPr>
          <w:trHeight w:val="171"/>
        </w:trPr>
        <w:tc>
          <w:tcPr>
            <w:tcW w:w="2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380" w:type="dxa"/>
            <w:vAlign w:val="bottom"/>
            <w:gridSpan w:val="2"/>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(cbm)</w:t>
            </w:r>
          </w:p>
        </w:tc>
        <w:tc>
          <w:tcPr>
            <w:tcW w:w="13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6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92"/>
              </w:rPr>
              <w:t>Expiration</w:t>
            </w:r>
            <w:r>
              <w:rPr>
                <w:rFonts w:ascii="Arial" w:cs="Arial" w:eastAsia="Arial" w:hAnsi="Arial"/>
                <w:sz w:val="17"/>
                <w:szCs w:val="17"/>
                <w:b w:val="1"/>
                <w:bCs w:val="1"/>
                <w:color w:val="auto"/>
                <w:w w:val="92"/>
                <w:vertAlign w:val="superscript"/>
              </w:rPr>
              <w:t>(3)</w:t>
            </w: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2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Hull No. 2131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2019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LP-2S</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40" w:type="dxa"/>
            <w:vAlign w:val="bottom"/>
          </w:tcPr>
          <w:p>
            <w:pPr>
              <w:jc w:val="right"/>
              <w:ind w:right="36"/>
              <w:spacing w:after="0"/>
              <w:rPr>
                <w:sz w:val="20"/>
                <w:szCs w:val="20"/>
                <w:color w:val="auto"/>
              </w:rPr>
            </w:pPr>
            <w:r>
              <w:rPr>
                <w:rFonts w:ascii="Arial" w:cs="Arial" w:eastAsia="Arial" w:hAnsi="Arial"/>
                <w:sz w:val="18"/>
                <w:szCs w:val="18"/>
                <w:b w:val="1"/>
                <w:bCs w:val="1"/>
                <w:color w:val="auto"/>
              </w:rPr>
              <w:t>2</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Hull No. 2213</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Q2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180,000</w:t>
            </w: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 xml:space="preserve">Centrica </w:t>
            </w:r>
            <w:r>
              <w:rPr>
                <w:rFonts w:ascii="Arial" w:cs="Arial" w:eastAsia="Arial" w:hAnsi="Arial"/>
                <w:sz w:val="23"/>
                <w:szCs w:val="23"/>
                <w:color w:val="auto"/>
                <w:w w:val="85"/>
                <w:vertAlign w:val="superscript"/>
              </w:rPr>
              <w:t>(2)</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LP-2S</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5" w:name="page16"/>
    <w:bookmarkEnd w:id="15"/>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t>Expected delivery quarters are presented.</w:t>
      </w:r>
    </w:p>
    <w:p>
      <w:pPr>
        <w:spacing w:after="0" w:line="86"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The vessel is chartered to Pioneer Shipping Limited, a wholly owned subsidiary of Centrica plc (“Centrica”).</w:t>
      </w:r>
    </w:p>
    <w:p>
      <w:pPr>
        <w:spacing w:after="0" w:line="86"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Charter expiration to be determined based upon actual date of delivery.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383"/>
        <w:spacing w:after="0" w:line="273" w:lineRule="auto"/>
        <w:rPr>
          <w:sz w:val="20"/>
          <w:szCs w:val="20"/>
          <w:color w:val="auto"/>
        </w:rPr>
      </w:pPr>
      <w:r>
        <w:rPr>
          <w:rFonts w:ascii="Arial" w:cs="Arial" w:eastAsia="Arial" w:hAnsi="Arial"/>
          <w:sz w:val="17"/>
          <w:szCs w:val="17"/>
          <w:color w:val="auto"/>
        </w:rPr>
        <w:t xml:space="preserve">Our results set forth below are derived from the unaudited condensed consolidated financial statements of the Partnership. The transfers of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Greece</w:t>
      </w:r>
      <w:r>
        <w:rPr>
          <w:rFonts w:ascii="Arial" w:cs="Arial" w:eastAsia="Arial" w:hAnsi="Arial"/>
          <w:sz w:val="17"/>
          <w:szCs w:val="17"/>
          <w:color w:val="auto"/>
        </w:rPr>
        <w:t>, the</w:t>
      </w:r>
      <w:r>
        <w:rPr>
          <w:rFonts w:ascii="Arial" w:cs="Arial" w:eastAsia="Arial" w:hAnsi="Arial"/>
          <w:sz w:val="17"/>
          <w:szCs w:val="17"/>
          <w:i w:val="1"/>
          <w:iCs w:val="1"/>
          <w:color w:val="auto"/>
        </w:rPr>
        <w:t xml:space="preserve"> GasLog Geneva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Solaris </w:t>
      </w:r>
      <w:r>
        <w:rPr>
          <w:rFonts w:ascii="Arial" w:cs="Arial" w:eastAsia="Arial" w:hAnsi="Arial"/>
          <w:sz w:val="17"/>
          <w:szCs w:val="17"/>
          <w:color w:val="auto"/>
        </w:rPr>
        <w:t>from GasLog to the Partnership on May 3, 2017, July 3, 2017 and October 20, 2017, respectively, were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as reorganizations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 Our results set forth below do not include results attributable to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because the Partnership’s acquisition of the entity that owns and charters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closed on April 26, 2018.</w:t>
      </w:r>
    </w:p>
    <w:p>
      <w:pPr>
        <w:spacing w:after="0" w:line="178" w:lineRule="exact"/>
        <w:rPr>
          <w:sz w:val="20"/>
          <w:szCs w:val="20"/>
          <w:color w:val="auto"/>
        </w:rPr>
      </w:pPr>
    </w:p>
    <w:p>
      <w:pPr>
        <w:ind w:right="500" w:firstLine="383"/>
        <w:spacing w:after="0" w:line="277"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Three-month period ended March 31, 2017 compared to the three-month period ended March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6"/>
              </w:rPr>
              <w:t>IFRS Reported Common Control Results</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020" w:type="dxa"/>
            <w:vAlign w:val="bottom"/>
            <w:gridSpan w:val="2"/>
          </w:tcPr>
          <w:p>
            <w:pPr>
              <w:spacing w:after="0"/>
              <w:rPr>
                <w:sz w:val="12"/>
                <w:szCs w:val="12"/>
                <w:color w:val="auto"/>
              </w:rPr>
            </w:pPr>
          </w:p>
        </w:tc>
        <w:tc>
          <w:tcPr>
            <w:tcW w:w="138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(13,643)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(15,591)</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Depreciation</w:t>
            </w:r>
          </w:p>
        </w:tc>
        <w:tc>
          <w:tcPr>
            <w:tcW w:w="3680" w:type="dxa"/>
            <w:vAlign w:val="bottom"/>
            <w:gridSpan w:val="4"/>
          </w:tcPr>
          <w:p>
            <w:pPr>
              <w:jc w:val="right"/>
              <w:ind w:right="220"/>
              <w:spacing w:after="0"/>
              <w:rPr>
                <w:sz w:val="20"/>
                <w:szCs w:val="20"/>
                <w:color w:val="auto"/>
              </w:rPr>
            </w:pPr>
            <w:r>
              <w:rPr>
                <w:rFonts w:ascii="Arial" w:cs="Arial" w:eastAsia="Arial" w:hAnsi="Arial"/>
                <w:sz w:val="18"/>
                <w:szCs w:val="18"/>
                <w:color w:val="auto"/>
              </w:rPr>
              <w:t>(16,697)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(16,786)</w:t>
            </w:r>
          </w:p>
        </w:tc>
        <w:tc>
          <w:tcPr>
            <w:tcW w:w="3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42,499</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income</w:t>
            </w:r>
          </w:p>
        </w:tc>
        <w:tc>
          <w:tcPr>
            <w:tcW w:w="3680" w:type="dxa"/>
            <w:vAlign w:val="bottom"/>
            <w:gridSpan w:val="4"/>
          </w:tcPr>
          <w:p>
            <w:pPr>
              <w:jc w:val="right"/>
              <w:ind w:right="280"/>
              <w:spacing w:after="0"/>
              <w:rPr>
                <w:sz w:val="20"/>
                <w:szCs w:val="20"/>
                <w:color w:val="auto"/>
              </w:rPr>
            </w:pPr>
            <w:r>
              <w:rPr>
                <w:rFonts w:ascii="Arial" w:cs="Arial" w:eastAsia="Arial" w:hAnsi="Arial"/>
                <w:sz w:val="18"/>
                <w:szCs w:val="18"/>
                <w:color w:val="auto"/>
              </w:rPr>
              <w:t>127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6,327</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7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29,889</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32,002</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Profit attributable to Partnership’s operations</w:t>
            </w:r>
          </w:p>
        </w:tc>
        <w:tc>
          <w:tcPr>
            <w:tcW w:w="1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21,022</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32,002</w:t>
            </w: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10,980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720" w:type="dxa"/>
            <w:vAlign w:val="bottom"/>
            <w:vMerge w:val="restart"/>
          </w:tcPr>
          <w:p>
            <w:pPr>
              <w:jc w:val="right"/>
              <w:ind w:right="49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For the three-month period ended March 31, 2017, we had an average of 12.0 vessels operating in our owned fleet having 1,080 operating days, while during the three-month period ended March 31, 2018, we had an average of 12.0 vessels operating in our owned fleet having 1,078 operating days.</w:t>
      </w:r>
    </w:p>
    <w:p>
      <w:pPr>
        <w:spacing w:after="0" w:line="124" w:lineRule="exact"/>
        <w:rPr>
          <w:sz w:val="20"/>
          <w:szCs w:val="20"/>
          <w:color w:val="auto"/>
        </w:rPr>
      </w:pPr>
    </w:p>
    <w:p>
      <w:pPr>
        <w:ind w:right="80" w:firstLine="428"/>
        <w:spacing w:after="0" w:line="259"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decreased marginally by $0.1 million, or 0.1%, from $77.2 million for the three-month period ended March 31, 2017, to $77.1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million for the same period in 2018. The decrease in revenue is due to the off-hire from the dry-docking of the </w:t>
      </w:r>
      <w:r>
        <w:rPr>
          <w:rFonts w:ascii="Arial" w:cs="Arial" w:eastAsia="Arial" w:hAnsi="Arial"/>
          <w:sz w:val="18"/>
          <w:szCs w:val="18"/>
          <w:i w:val="1"/>
          <w:iCs w:val="1"/>
          <w:color w:val="auto"/>
        </w:rPr>
        <w:t>GasLog Santiago</w:t>
      </w:r>
      <w:r>
        <w:rPr>
          <w:rFonts w:ascii="Arial" w:cs="Arial" w:eastAsia="Arial" w:hAnsi="Arial"/>
          <w:sz w:val="18"/>
          <w:szCs w:val="18"/>
          <w:color w:val="auto"/>
        </w:rPr>
        <w:t>, which started on March 29, 2018. The average daily hire rate increased marginally from $71,469 for the three-month period ended March 31, 2017, to $71,486 for the three-month period ended March 31, 2018.</w:t>
      </w:r>
    </w:p>
    <w:p>
      <w:pPr>
        <w:spacing w:after="0" w:line="187" w:lineRule="exact"/>
        <w:rPr>
          <w:sz w:val="20"/>
          <w:szCs w:val="20"/>
          <w:color w:val="auto"/>
        </w:rPr>
      </w:pPr>
    </w:p>
    <w:p>
      <w:pPr>
        <w:ind w:right="260" w:firstLine="428"/>
        <w:spacing w:after="0" w:line="297"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$2.0 million, or 14.7%, from $13.6 million for the three-month period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to $15.6 million for the same period in 2018. The increase is mainly attributable to increased scheduled technical maintenance costs related to engine maintenance, intermediate surveys and certifications, and crew wages, mainly due to the unfavorable movement of the EUR/USD exchange rate, which increased by an average of 15% in the first three months of 2018 as compared to the same period in 2017. As a result, daily operating cost per vessel increased from $13,781 per day for the three-month period ended March 31, 2017, to $15,748 per day for the three-month period ended March 31, 2018.</w:t>
      </w:r>
    </w:p>
    <w:p>
      <w:pPr>
        <w:spacing w:after="0" w:line="158"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xml:space="preserve">General and administrative expenses increased by $1.2 million, or 35.3%, from $3.4 million for the three-month period ended March 31, 2017, to $4.6 million for the same period in 2018. The increase is mainly attributable to an increase in administrative expenses of $1.0 million for services provided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in May 2017,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in July 2017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in October 2017.</w:t>
      </w:r>
    </w:p>
    <w:p>
      <w:pPr>
        <w:spacing w:after="0" w:line="188" w:lineRule="exact"/>
        <w:rPr>
          <w:sz w:val="20"/>
          <w:szCs w:val="20"/>
          <w:color w:val="auto"/>
        </w:rPr>
      </w:pPr>
    </w:p>
    <w:p>
      <w:pPr>
        <w:ind w:right="220" w:firstLine="428"/>
        <w:spacing w:after="0" w:line="273" w:lineRule="auto"/>
        <w:rPr>
          <w:sz w:val="20"/>
          <w:szCs w:val="20"/>
          <w:color w:val="auto"/>
        </w:rPr>
      </w:pPr>
      <w:r>
        <w:rPr>
          <w:rFonts w:ascii="Arial" w:cs="Arial" w:eastAsia="Arial" w:hAnsi="Arial"/>
          <w:sz w:val="17"/>
          <w:szCs w:val="17"/>
          <w:b w:val="1"/>
          <w:bCs w:val="1"/>
          <w:i w:val="1"/>
          <w:iCs w:val="1"/>
          <w:color w:val="auto"/>
        </w:rPr>
        <w:t xml:space="preserve">Financial Costs: </w:t>
      </w:r>
      <w:r>
        <w:rPr>
          <w:rFonts w:ascii="Arial" w:cs="Arial" w:eastAsia="Arial" w:hAnsi="Arial"/>
          <w:sz w:val="17"/>
          <w:szCs w:val="17"/>
          <w:color w:val="auto"/>
        </w:rPr>
        <w:t>Financial costs increased by $1.1 million, or 8.6%, from $12.8 million for the three-month period ended March 31, 2017, to $13.9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same period in 2018. The increase is mainly attributable to an increase in amortization of loan fees of $0.7 million, mainly driven by a write-off of $0.9 million of unamortized loan fees associated with the term loan facility with GasLog that was prepaid and terminated in March 2018, and an increase of $0.5 million in interest expense on loans. During the three-month period ended March 31, 2017, we had an average of $1,251.7 million of outstanding indebtedness with a weighted average interest rate of 3.52%, compared to an average of $1,125.8 million of outstanding indebtedness with a weighted average interest rate of 4.10% during the three-month period ended March 31, 2018.</w:t>
      </w:r>
    </w:p>
    <w:p>
      <w:pPr>
        <w:spacing w:after="0" w:line="178" w:lineRule="exact"/>
        <w:rPr>
          <w:sz w:val="20"/>
          <w:szCs w:val="20"/>
          <w:color w:val="auto"/>
        </w:rPr>
      </w:pPr>
    </w:p>
    <w:p>
      <w:pPr>
        <w:ind w:right="140" w:firstLine="428"/>
        <w:spacing w:after="0" w:line="257" w:lineRule="auto"/>
        <w:rPr>
          <w:sz w:val="20"/>
          <w:szCs w:val="20"/>
          <w:color w:val="auto"/>
        </w:rPr>
      </w:pPr>
      <w:r>
        <w:rPr>
          <w:rFonts w:ascii="Arial" w:cs="Arial" w:eastAsia="Arial" w:hAnsi="Arial"/>
          <w:sz w:val="18"/>
          <w:szCs w:val="18"/>
          <w:b w:val="1"/>
          <w:bCs w:val="1"/>
          <w:i w:val="1"/>
          <w:iCs w:val="1"/>
          <w:color w:val="auto"/>
        </w:rPr>
        <w:t xml:space="preserve">Gain on Interest Rate Swaps: </w:t>
      </w:r>
      <w:r>
        <w:rPr>
          <w:rFonts w:ascii="Arial" w:cs="Arial" w:eastAsia="Arial" w:hAnsi="Arial"/>
          <w:sz w:val="18"/>
          <w:szCs w:val="18"/>
          <w:color w:val="auto"/>
        </w:rPr>
        <w:t>Gain on interest rate swaps increased by $6.3 million, from $0.0 million for the three-month period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$6.3 million for the same period in 2018. The increase is attributable to an increase in gain of $5.7 million from the mark-to-market valuation of our interest rate swaps carried at fair value through profit or loss, derived mainly from the higher London Interbank Offered Rate (“LIBOR”) yield curve, which was used to calculate the present value of the estimated future cash flows, as compared to the agreed fixed interest rates, and a decrease in realized loss from interest rate swaps held for trading of $0.6 million.</w:t>
      </w:r>
    </w:p>
    <w:p>
      <w:pPr>
        <w:spacing w:after="0" w:line="188" w:lineRule="exact"/>
        <w:rPr>
          <w:sz w:val="20"/>
          <w:szCs w:val="20"/>
          <w:color w:val="auto"/>
        </w:rPr>
      </w:pPr>
    </w:p>
    <w:p>
      <w:pPr>
        <w:ind w:right="140" w:firstLine="428"/>
        <w:spacing w:after="0" w:line="277" w:lineRule="auto"/>
        <w:rPr>
          <w:sz w:val="20"/>
          <w:szCs w:val="20"/>
          <w:color w:val="auto"/>
        </w:rPr>
      </w:pPr>
      <w:r>
        <w:rPr>
          <w:rFonts w:ascii="Arial" w:cs="Arial" w:eastAsia="Arial" w:hAnsi="Arial"/>
          <w:sz w:val="18"/>
          <w:szCs w:val="18"/>
          <w:b w:val="1"/>
          <w:bCs w:val="1"/>
          <w:i w:val="1"/>
          <w:iCs w:val="1"/>
          <w:color w:val="auto"/>
        </w:rPr>
        <w:t xml:space="preserve">Profit for the Period: </w:t>
      </w:r>
      <w:r>
        <w:rPr>
          <w:rFonts w:ascii="Arial" w:cs="Arial" w:eastAsia="Arial" w:hAnsi="Arial"/>
          <w:sz w:val="18"/>
          <w:szCs w:val="18"/>
          <w:color w:val="auto"/>
        </w:rPr>
        <w:t>Profit for the period increased by $2.1 million, or 7.0%, from $29.9 million for the three-month period ended March 31,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$32.0 million for the same period in 2018, as a result of the aforementioned factors.</w:t>
      </w:r>
    </w:p>
    <w:p>
      <w:pPr>
        <w:spacing w:after="0" w:line="170" w:lineRule="exact"/>
        <w:rPr>
          <w:sz w:val="20"/>
          <w:szCs w:val="20"/>
          <w:color w:val="auto"/>
        </w:rPr>
      </w:pPr>
    </w:p>
    <w:p>
      <w:pPr>
        <w:ind w:right="100" w:firstLine="428"/>
        <w:spacing w:after="0" w:line="312"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 xml:space="preserve">Profit attributable to the Partnership increased by $11.0 million, or 52.4%, from $21.0 million for the three-month period ended March 31, 2017, to $32.0 million for the three-month period ended March 31, 2018. The increase is mainly attributable to the profit from operations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acquired by the Partnership on May 3, 2017, July 3, 2017 and October 20, 2017,</w:t>
      </w:r>
    </w:p>
    <w:p>
      <w:pPr>
        <w:sectPr>
          <w:pgSz w:w="11900" w:h="16838" w:orient="portrait"/>
          <w:cols w:equalWidth="0" w:num="1">
            <w:col w:w="11460"/>
          </w:cols>
          <w:pgMar w:left="240" w:top="183" w:right="199" w:bottom="0" w:gutter="0" w:footer="0" w:header="0"/>
        </w:sectPr>
      </w:pPr>
    </w:p>
    <w:bookmarkStart w:id="16" w:name="page17"/>
    <w:bookmarkEnd w:id="16"/>
    <w:p>
      <w:pPr>
        <w:ind w:right="640"/>
        <w:spacing w:after="0" w:line="308" w:lineRule="auto"/>
        <w:rPr>
          <w:sz w:val="20"/>
          <w:szCs w:val="20"/>
          <w:color w:val="auto"/>
        </w:rPr>
      </w:pPr>
      <w:r>
        <w:rPr>
          <w:rFonts w:ascii="Arial" w:cs="Arial" w:eastAsia="Arial" w:hAnsi="Arial"/>
          <w:sz w:val="17"/>
          <w:szCs w:val="17"/>
          <w:color w:val="auto"/>
        </w:rPr>
        <w:t>respectively, and the increase in mark-to-market gain on interest rate swaps attributable to the Partnership, which was partially offset by the increased financial costs, the increased operating expenses for the remaining vessels and the increased general and administrative expenses.</w:t>
      </w:r>
    </w:p>
    <w:p>
      <w:pPr>
        <w:spacing w:after="0" w:line="147" w:lineRule="exact"/>
        <w:rPr>
          <w:sz w:val="20"/>
          <w:szCs w:val="20"/>
          <w:color w:val="auto"/>
        </w:rPr>
      </w:pPr>
    </w:p>
    <w:p>
      <w:pPr>
        <w:ind w:right="20" w:firstLine="428"/>
        <w:spacing w:after="0" w:line="302" w:lineRule="auto"/>
        <w:rPr>
          <w:sz w:val="20"/>
          <w:szCs w:val="20"/>
          <w:color w:val="auto"/>
        </w:rPr>
      </w:pPr>
      <w:r>
        <w:rPr>
          <w:rFonts w:ascii="Arial" w:cs="Arial" w:eastAsia="Arial" w:hAnsi="Arial"/>
          <w:sz w:val="16"/>
          <w:szCs w:val="16"/>
          <w:color w:val="auto"/>
        </w:rPr>
        <w:t xml:space="preserve">Specifically, the profit attributable to the Partnership was affected by (a) an increase in revenues of $20.2 million contributed by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(b) an increase in operating expenses attributable to the Partnership of $4.4 million mainly attributable to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of the acquired vessels and increased crew wages and technical and maintenance expenses for the remaining vessels, and (c) an increase in depreciation expense attributable to the Partnership of $4.4 million, resulting primarily from the acquisition of the aforementioned vessels.</w:t>
      </w:r>
    </w:p>
    <w:p>
      <w:pPr>
        <w:spacing w:after="0" w:line="154"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 xml:space="preserve">In addition, the profit attributable to the Partnership was further affected by (a) an increase in general and administrative expenses attributable to the Partnership of $1.2 million, which is primarily attributable to an increase in administrative fees and share-based compensation, (b) an increase in financial costs attributable to the Partnership of $5.1 million, mainly due to increased interest expense of $4.1 million with respect to the aggregate outstanding debt of the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after their respective drop-downs to the Partnership, and a further increase of $0.9 million attributable to the credit facility with GasLog and (c) an increase of $5.7 million in unrealized gain on interest rate swaps.</w:t>
      </w:r>
    </w:p>
    <w:p>
      <w:pPr>
        <w:spacing w:after="0" w:line="173" w:lineRule="exact"/>
        <w:rPr>
          <w:sz w:val="20"/>
          <w:szCs w:val="20"/>
          <w:color w:val="auto"/>
        </w:rPr>
      </w:pPr>
    </w:p>
    <w:p>
      <w:pPr>
        <w:ind w:right="80" w:firstLine="428"/>
        <w:spacing w:after="0" w:line="257" w:lineRule="auto"/>
        <w:rPr>
          <w:sz w:val="20"/>
          <w:szCs w:val="20"/>
          <w:color w:val="auto"/>
        </w:rPr>
      </w:pPr>
      <w:r>
        <w:rPr>
          <w:rFonts w:ascii="Arial" w:cs="Arial" w:eastAsia="Arial" w:hAnsi="Arial"/>
          <w:sz w:val="18"/>
          <w:szCs w:val="18"/>
          <w:color w:val="auto"/>
        </w:rPr>
        <w:t>The above discussion of revenues, operating expenses, depreciation expense, general and administrative expenses, financial costs and unrealized gain on interest rate swaps in relation to the Profit attributable to the Partnership for the three-month period ended March 31, 2017,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510"/>
        <w:spacing w:after="0" w:line="264" w:lineRule="auto"/>
        <w:rPr>
          <w:sz w:val="20"/>
          <w:szCs w:val="20"/>
          <w:color w:val="auto"/>
        </w:rPr>
      </w:pPr>
      <w:r>
        <w:rPr>
          <w:rFonts w:ascii="Arial" w:cs="Arial" w:eastAsia="Arial" w:hAnsi="Arial"/>
          <w:sz w:val="18"/>
          <w:szCs w:val="18"/>
          <w:color w:val="auto"/>
        </w:rPr>
        <w:t>We operate in a capital-intensive industry, and we expect to finance the purchase of additional vessels and other capital expenditures through a combination of borrowings from commercial banks, cash generated from operations and debt and equity financings. In addition to paying distributions, our other liquidity requirements relate to servicing our debt, funding investments,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2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of March 31, 2018, we had $145.1 million of cash and cash equivalents, of which $33.7 million was held in current accounts and $111.4 million was held in time deposits.</w:t>
      </w:r>
    </w:p>
    <w:p>
      <w:pPr>
        <w:spacing w:after="0" w:line="170"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As of March 31, 2018, we had an aggregate of $1,053.8 million of indebtedness outstanding under our credit facilities, of which $74.2 million is repayable within one year. In addition, we had unused availability under our revolving credit facilities of $55.9 million.</w:t>
      </w:r>
    </w:p>
    <w:p>
      <w:pPr>
        <w:spacing w:after="0" w:line="170"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On January 5, 2018, the respective subsidiaries of GasLog Partners prepaid in full the outstanding $29.8 million of the junior tranche of the Five Vessel Refinancing, which would have been due in April 2018. Also, on March 23, 2018, the $45.0 million term loan facility with GasLog, which would have been due in March 2022, was prepaid and terminated.</w:t>
      </w:r>
    </w:p>
    <w:p>
      <w:pPr>
        <w:spacing w:after="0" w:line="18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 xml:space="preserve">On April 26, 2018, in connection with the acquisition of GAS-fourteen Ltd., the entity that owns the </w:t>
      </w:r>
      <w:r>
        <w:rPr>
          <w:rFonts w:ascii="Arial" w:cs="Arial" w:eastAsia="Arial" w:hAnsi="Arial"/>
          <w:sz w:val="17"/>
          <w:szCs w:val="17"/>
          <w:i w:val="1"/>
          <w:iCs w:val="1"/>
          <w:color w:val="auto"/>
        </w:rPr>
        <w:t>GasLog Gibraltar</w:t>
      </w:r>
      <w:r>
        <w:rPr>
          <w:rFonts w:ascii="Arial" w:cs="Arial" w:eastAsia="Arial" w:hAnsi="Arial"/>
          <w:sz w:val="17"/>
          <w:szCs w:val="17"/>
          <w:color w:val="auto"/>
        </w:rPr>
        <w:t>, the Partnership paid GasLog $19.0 million representing the $207.0 million aggregate purchase price, less the $45.0 million of new privately placed common units issued to GasLog (1,858,975 common units at a price of $24.21 per unit) and the $143.6 million of outstanding indebtedness of the acquired entity assumed by GasLog Partners plus an adjustment of $0.6 million in order to maintain the agreed working capital position in the acquired entity of $1.0 million.</w:t>
      </w:r>
    </w:p>
    <w:p>
      <w:pPr>
        <w:spacing w:after="0" w:line="171"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The Partnership has entered into four interest rate swap agreements with GasLog at a notional value of $470.0 million in aggregate, maturing between 2020 and 2022. As of March 31, 2018, the Partnership had hedged 44.0% of its floating interest rate exposure on its outstanding debt at a weighted average interest rate of approximately 1.7% (excluding margin).</w:t>
      </w:r>
    </w:p>
    <w:p>
      <w:pPr>
        <w:spacing w:after="0" w:line="18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are expected to complete their scheduled dry-dockings in the second quarter of 2018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Seattle </w:t>
      </w:r>
      <w:r>
        <w:rPr>
          <w:rFonts w:ascii="Arial" w:cs="Arial" w:eastAsia="Arial" w:hAnsi="Arial"/>
          <w:sz w:val="18"/>
          <w:szCs w:val="18"/>
          <w:color w:val="auto"/>
        </w:rPr>
        <w:t>is expected to complete her scheduled dry-docking during the fourth quarter of 2018. In addition to the normal cost of the scheduled dry-dockings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provisions are made through our dry-docking reserves in our Distributable cash flow calculations, we have committed to make certain investments in two of these vessels with the aim of enhancing their operational performance at a total cost of approximately $28.6 million, which is expected to be capitalized as part of the respective vessel’s cost. Of the total cost of approximately $28.6 million, approximately $9.3 million has already been paid. The outstanding commitment of $19.3 million will be funded with cash balances and cash from operations. As a result of the additional work required, we expect the dry-dockings for these two vessels to last somewhat longer than would normally be the case. The additional time required for such work is expected to be approximately ten days per vessel.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As of March 31, 2018, our current assets totaled $159.8 million and current liabilities totaled $107.7 million, resulting in a positive working capital position of $52.1 million.</w:t>
      </w:r>
    </w:p>
    <w:p>
      <w:pPr>
        <w:spacing w:after="0" w:line="170"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Three-month period ended March 31, 2017 compared to the three-month period ended March 31, 2018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ectPr>
          <w:pgSz w:w="11900" w:h="16838" w:orient="portrait"/>
          <w:cols w:equalWidth="0" w:num="1">
            <w:col w:w="11420"/>
          </w:cols>
          <w:pgMar w:left="240" w:top="125" w:right="239" w:bottom="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171"/>
        </w:trPr>
        <w:tc>
          <w:tcPr>
            <w:tcW w:w="6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31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16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March 31, 2017</w:t>
            </w:r>
          </w:p>
        </w:tc>
        <w:tc>
          <w:tcPr>
            <w:tcW w:w="13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5,879</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31,302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right="60" w:firstLine="428"/>
        <w:spacing w:after="0" w:line="302" w:lineRule="auto"/>
        <w:rPr>
          <w:sz w:val="20"/>
          <w:szCs w:val="20"/>
          <w:color w:val="auto"/>
        </w:rPr>
      </w:pPr>
      <w:r>
        <w:rPr>
          <w:rFonts w:ascii="Arial" w:cs="Arial" w:eastAsia="Arial" w:hAnsi="Arial"/>
          <w:sz w:val="16"/>
          <w:szCs w:val="16"/>
          <w:color w:val="auto"/>
        </w:rPr>
        <w:t>Net cash provided by operating activities decreased by $5.5 million, from $41.0 million in the three-month period ended March 31, 2017, to $35.5 million in the three-month period ended March 31, 2018. The decrease of $5.5 million is mainly attributable to an increase of $3.2 million in vessel operating costs, voyage expenses and commissions and general and administrative expenses, a $1.3 million movement in working capital accounts and an increase of $1.5 million in cash paid for interest, partially offset by a decrease of $0.6 million in realized loss on interest rate swaps held for trading.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by/(used in) Investing Activities:</w:t>
      </w:r>
    </w:p>
    <w:p>
      <w:pPr>
        <w:spacing w:after="0" w:line="225"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Net cash provided by investing activities decreased by $18.7 million, from cash provided by investing activities of $5.9 million in the three-month period ended March 31, 2017, to cash used in investing activities of $12.8 million in the three-month period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March 31, 2018. The decrease of $18.7 million is attributable to an increase in net cash used in short-term investments of $11.0 million, an increase of net cash used in payments for vessels of $8.0 million, partially offset by an increase in financial income received of $0.3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by/(used in) Financing Activities:</w:t>
      </w:r>
    </w:p>
    <w:p>
      <w:pPr>
        <w:spacing w:after="0" w:line="225" w:lineRule="exact"/>
        <w:rPr>
          <w:sz w:val="20"/>
          <w:szCs w:val="20"/>
          <w:color w:val="auto"/>
        </w:rPr>
      </w:pPr>
    </w:p>
    <w:p>
      <w:pPr>
        <w:ind w:right="280" w:firstLine="428"/>
        <w:spacing w:after="0" w:line="259" w:lineRule="auto"/>
        <w:rPr>
          <w:sz w:val="20"/>
          <w:szCs w:val="20"/>
          <w:color w:val="auto"/>
        </w:rPr>
      </w:pPr>
      <w:r>
        <w:rPr>
          <w:rFonts w:ascii="Arial" w:cs="Arial" w:eastAsia="Arial" w:hAnsi="Arial"/>
          <w:sz w:val="18"/>
          <w:szCs w:val="18"/>
          <w:color w:val="auto"/>
        </w:rPr>
        <w:t>Net cash provided by financing activities decreased by $51.5 million, from cash provided by financing activities of $31.3 million in the three-month period ended March 31, 2017, to cash used in financing activities of $20.2 million in the three-month period ended March 31, 2018. The decrease of $51.5 million is attributable to an increase of $74.8 million in bank loan repayments and an increase of $7.9 million in distributions paid, partially offset by an increase in net public offering proceeds of $31.2 million.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Contracted Charter Revenue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April 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On and after</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For the years ending December 31,</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260" w:type="dxa"/>
            <w:vAlign w:val="bottom"/>
          </w:tcPr>
          <w:p>
            <w:pPr>
              <w:jc w:val="center"/>
              <w:ind w:right="137"/>
              <w:spacing w:after="0"/>
              <w:rPr>
                <w:sz w:val="20"/>
                <w:szCs w:val="20"/>
                <w:color w:val="auto"/>
              </w:rPr>
            </w:pPr>
            <w:r>
              <w:rPr>
                <w:rFonts w:ascii="Arial" w:cs="Arial" w:eastAsia="Arial" w:hAnsi="Arial"/>
                <w:sz w:val="14"/>
                <w:szCs w:val="14"/>
                <w:b w:val="1"/>
                <w:bCs w:val="1"/>
                <w:color w:val="auto"/>
              </w:rPr>
              <w:t>April 1,</w:t>
            </w: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vMerge w:val="continue"/>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Borders>
              <w:bottom w:val="single" w:sz="8" w:color="auto"/>
            </w:tcBorders>
          </w:tcPr>
          <w:p>
            <w:pPr>
              <w:jc w:val="center"/>
              <w:ind w:right="137"/>
              <w:spacing w:after="0" w:line="142" w:lineRule="exact"/>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w w:val="98"/>
              </w:rPr>
              <w:t>2023-2026</w:t>
            </w: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rPr>
              <w:t>(in millions of U.S. dollars, except days and percentages)</w:t>
            </w: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3"/>
                <w:szCs w:val="23"/>
                <w:color w:val="auto"/>
                <w:vertAlign w:val="superscript"/>
              </w:rPr>
              <w:t>(1)(2)(3)(4)</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199.8</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243.7</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180.6</w:t>
            </w: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88.8</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60.9</w:t>
            </w:r>
          </w:p>
        </w:tc>
        <w:tc>
          <w:tcPr>
            <w:tcW w:w="11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121.4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3"/>
                <w:szCs w:val="23"/>
                <w:color w:val="auto"/>
                <w:vertAlign w:val="superscript"/>
              </w:rPr>
              <w:t>(1)(2)</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2,851</w:t>
            </w:r>
          </w:p>
        </w:tc>
        <w:tc>
          <w:tcPr>
            <w:tcW w:w="1120" w:type="dxa"/>
            <w:vAlign w:val="bottom"/>
          </w:tcPr>
          <w:p>
            <w:pPr>
              <w:jc w:val="right"/>
              <w:ind w:right="215"/>
              <w:spacing w:after="0"/>
              <w:rPr>
                <w:sz w:val="20"/>
                <w:szCs w:val="20"/>
                <w:color w:val="auto"/>
              </w:rPr>
            </w:pPr>
            <w:r>
              <w:rPr>
                <w:rFonts w:ascii="Arial" w:cs="Arial" w:eastAsia="Arial" w:hAnsi="Arial"/>
                <w:sz w:val="18"/>
                <w:szCs w:val="18"/>
                <w:color w:val="auto"/>
              </w:rPr>
              <w:t>3,538</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2,682</w:t>
            </w: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1,216</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730</w:t>
            </w: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1,428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3"/>
                <w:szCs w:val="23"/>
                <w:color w:val="auto"/>
                <w:vertAlign w:val="superscript"/>
              </w:rPr>
              <w:t>(5)</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3,192</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4,350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4,302</w:t>
            </w: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4,260</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4,380</w:t>
            </w:r>
          </w:p>
        </w:tc>
        <w:tc>
          <w:tcPr>
            <w:tcW w:w="11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17,172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37,656</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3"/>
                <w:szCs w:val="23"/>
                <w:color w:val="auto"/>
                <w:vertAlign w:val="superscript"/>
              </w:rPr>
              <w:t>(6)</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341</w:t>
            </w:r>
          </w:p>
        </w:tc>
        <w:tc>
          <w:tcPr>
            <w:tcW w:w="1120" w:type="dxa"/>
            <w:vAlign w:val="bottom"/>
          </w:tcPr>
          <w:p>
            <w:pPr>
              <w:jc w:val="right"/>
              <w:ind w:right="215"/>
              <w:spacing w:after="0"/>
              <w:rPr>
                <w:sz w:val="20"/>
                <w:szCs w:val="20"/>
                <w:color w:val="auto"/>
              </w:rPr>
            </w:pPr>
            <w:r>
              <w:rPr>
                <w:rFonts w:ascii="Arial" w:cs="Arial" w:eastAsia="Arial" w:hAnsi="Arial"/>
                <w:sz w:val="18"/>
                <w:szCs w:val="18"/>
                <w:color w:val="auto"/>
              </w:rPr>
              <w:t>812</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1,620</w:t>
            </w: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3,044</w:t>
            </w: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3,650</w:t>
            </w: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15,744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25,211</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Percentage of total contracted days/total available</w:t>
            </w:r>
          </w:p>
        </w:tc>
        <w:tc>
          <w:tcPr>
            <w:tcW w:w="1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days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28.5%</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16.7%</w:t>
            </w: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right="140" w:hanging="192"/>
        <w:spacing w:after="0" w:line="203" w:lineRule="auto"/>
        <w:tabs>
          <w:tab w:leader="none" w:pos="182"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 xml:space="preserve">Reflects time charter revenues and contracted days for the 12 LNG carriers in our fleet as of April 1, 2018. Does not include charter revenues for the </w:t>
      </w:r>
      <w:r>
        <w:rPr>
          <w:rFonts w:ascii="Arial" w:cs="Arial" w:eastAsia="Arial" w:hAnsi="Arial"/>
          <w:sz w:val="13"/>
          <w:szCs w:val="13"/>
          <w:i w:val="1"/>
          <w:iCs w:val="1"/>
          <w:color w:val="auto"/>
        </w:rPr>
        <w:t>GasLog Gibraltar</w:t>
      </w:r>
      <w:r>
        <w:rPr>
          <w:rFonts w:ascii="Arial" w:cs="Arial" w:eastAsia="Arial" w:hAnsi="Arial"/>
          <w:sz w:val="13"/>
          <w:szCs w:val="13"/>
          <w:color w:val="auto"/>
        </w:rPr>
        <w:t>, the acquisition of which was completed on April 26, 2018. This acquisition is expected to increase the percentage of our total contracted days to 35.4%.</w:t>
      </w:r>
    </w:p>
    <w:p>
      <w:pPr>
        <w:spacing w:after="0" w:line="182" w:lineRule="exact"/>
        <w:rPr>
          <w:rFonts w:ascii="Arial" w:cs="Arial" w:eastAsia="Arial" w:hAnsi="Arial"/>
          <w:sz w:val="21"/>
          <w:szCs w:val="21"/>
          <w:color w:val="auto"/>
          <w:vertAlign w:val="superscript"/>
        </w:rPr>
      </w:pPr>
    </w:p>
    <w:p>
      <w:pPr>
        <w:ind w:left="200" w:right="420" w:hanging="192"/>
        <w:spacing w:after="0" w:line="203" w:lineRule="auto"/>
        <w:tabs>
          <w:tab w:leader="none" w:pos="182"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Our ships are scheduled to undergo dry-docking once every five years. Revenue calculations assume 365 revenue days per ship per annum, with 30 off-hire days when each ship undergoes scheduled dry-docking. We have also assumed ten additional days after the dry-docking for the two vessel enhancements.</w:t>
      </w:r>
    </w:p>
    <w:p>
      <w:pPr>
        <w:spacing w:after="0" w:line="12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For time charters that include an operating cost component, revenue calculations include an estimate of the amount of that operating cost component.</w:t>
      </w:r>
    </w:p>
    <w:p>
      <w:pPr>
        <w:spacing w:after="0" w:line="12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Revenue calculations assume no exercise of any option to extend the terms of the charters.</w:t>
      </w:r>
    </w:p>
    <w:p>
      <w:pPr>
        <w:spacing w:after="0" w:line="12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Available days represent total calendar days after deducting 30 off-hire days when the ship undergoes scheduled dry-docking.</w:t>
      </w:r>
    </w:p>
    <w:p>
      <w:pPr>
        <w:spacing w:after="0" w:line="12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Represents available days for the ships after the expiration of the existing charters (assuming charterers do not exercise any option to extend the terms of the charters).</w:t>
      </w:r>
    </w:p>
    <w:p>
      <w:pPr>
        <w:spacing w:after="0" w:line="18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table above provides information about our contracted charter revenues and ship utilization based on contracts in effect for the 12 LNG carriers in our fleet as of April 1, 2018.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12, 2018.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ectPr>
          <w:pgSz w:w="11900" w:h="16838" w:orient="portrait"/>
          <w:cols w:equalWidth="0" w:num="1">
            <w:col w:w="11420"/>
          </w:cols>
          <w:pgMar w:left="240" w:top="118" w:right="239" w:bottom="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gridSpan w:val="8"/>
            <w:vMerge w:val="restart"/>
          </w:tcPr>
          <w:p>
            <w:pPr>
              <w:spacing w:after="0"/>
              <w:rPr>
                <w:sz w:val="20"/>
                <w:szCs w:val="20"/>
                <w:color w:val="auto"/>
              </w:rPr>
            </w:pPr>
            <w:r>
              <w:rPr>
                <w:rFonts w:ascii="Arial" w:cs="Arial" w:eastAsia="Arial" w:hAnsi="Arial"/>
                <w:sz w:val="18"/>
                <w:szCs w:val="18"/>
                <w:color w:val="auto"/>
                <w:w w:val="95"/>
              </w:rPr>
              <w:t>Unaudited condensed consolidated statements of financial position as of December 31, 2017 and March 31, 2018</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700" w:type="dxa"/>
            <w:vAlign w:val="bottom"/>
            <w:gridSpan w:val="8"/>
            <w:vMerge w:val="continue"/>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3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gridSpan w:val="13"/>
          </w:tcPr>
          <w:p>
            <w:pPr>
              <w:spacing w:after="0"/>
              <w:rPr>
                <w:sz w:val="20"/>
                <w:szCs w:val="20"/>
                <w:color w:val="auto"/>
              </w:rPr>
            </w:pPr>
            <w:r>
              <w:rPr>
                <w:rFonts w:ascii="Arial" w:cs="Arial" w:eastAsia="Arial" w:hAnsi="Arial"/>
                <w:sz w:val="18"/>
                <w:szCs w:val="18"/>
                <w:color w:val="auto"/>
                <w:w w:val="93"/>
              </w:rPr>
              <w:t>Unaudited condensed consolidated statements of profit or loss and total comprehensive income for the three months ended March 31, 2017</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7"/>
              </w:rPr>
              <w:t>and 2018</w:t>
            </w:r>
          </w:p>
        </w:tc>
        <w:tc>
          <w:tcPr>
            <w:tcW w:w="6700" w:type="dxa"/>
            <w:vAlign w:val="bottom"/>
            <w:tcBorders>
              <w:top w:val="single" w:sz="8" w:color="auto"/>
            </w:tcBorders>
            <w:gridSpan w:val="2"/>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400" w:type="dxa"/>
            <w:vAlign w:val="bottom"/>
            <w:gridSpan w:val="13"/>
          </w:tcPr>
          <w:p>
            <w:pPr>
              <w:spacing w:after="0" w:line="196" w:lineRule="exact"/>
              <w:rPr>
                <w:sz w:val="20"/>
                <w:szCs w:val="20"/>
                <w:color w:val="auto"/>
              </w:rPr>
            </w:pPr>
            <w:r>
              <w:rPr>
                <w:rFonts w:ascii="Arial" w:cs="Arial" w:eastAsia="Arial" w:hAnsi="Arial"/>
                <w:sz w:val="18"/>
                <w:szCs w:val="18"/>
                <w:color w:val="auto"/>
                <w:w w:val="93"/>
              </w:rPr>
              <w:t>Unaudited condensed consolidated statements of changes in owners’/partners’ equity for the three months ended March 31, 2017 and 2018</w:t>
            </w:r>
          </w:p>
        </w:tc>
        <w:tc>
          <w:tcPr>
            <w:tcW w:w="106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70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w w:val="94"/>
              </w:rPr>
              <w:t>Unaudited condensed consolidated statements of cash flows for the three months ended March 31, 2017 and 2018</w:t>
            </w: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756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Notes to the unaudited condensed consolidated financial statements</w:t>
            </w: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53"/>
        </w:trPr>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2680" w:type="dxa"/>
            <w:vAlign w:val="bottom"/>
          </w:tcPr>
          <w:p>
            <w:pPr>
              <w:ind w:left="700"/>
              <w:spacing w:after="0"/>
              <w:rPr>
                <w:sz w:val="20"/>
                <w:szCs w:val="20"/>
                <w:color w:val="auto"/>
              </w:rPr>
            </w:pPr>
            <w:r>
              <w:rPr>
                <w:rFonts w:ascii="Arial" w:cs="Arial" w:eastAsia="Arial" w:hAnsi="Arial"/>
                <w:sz w:val="18"/>
                <w:szCs w:val="18"/>
                <w:color w:val="auto"/>
              </w:rPr>
              <w:t>F-1</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GasLog Partners LP</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 and March 31, 2018</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9"/>
              </w:rPr>
              <w:t>Note</w:t>
            </w:r>
          </w:p>
        </w:tc>
        <w:tc>
          <w:tcPr>
            <w:tcW w:w="170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11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Non-current assets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Vessels</w:t>
            </w:r>
          </w:p>
        </w:tc>
        <w:tc>
          <w:tcPr>
            <w:tcW w:w="600" w:type="dxa"/>
            <w:vAlign w:val="bottom"/>
          </w:tcPr>
          <w:p>
            <w:pPr>
              <w:jc w:val="center"/>
              <w:ind w:left="111"/>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1,953,057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1,943,426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1,959,095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1,953,708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Prepayments and other current assets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Short-term investments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145,101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151,295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2,110,390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2,113,517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Partners’ equity and liabilities</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6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60" w:type="dxa"/>
            <w:vAlign w:val="bottom"/>
            <w:gridSpan w:val="4"/>
          </w:tcPr>
          <w:p>
            <w:pPr>
              <w:spacing w:after="0" w:line="201" w:lineRule="exact"/>
              <w:rPr>
                <w:sz w:val="20"/>
                <w:szCs w:val="20"/>
                <w:color w:val="auto"/>
              </w:rPr>
            </w:pPr>
            <w:r>
              <w:rPr>
                <w:rFonts w:ascii="Arial" w:cs="Arial" w:eastAsia="Arial" w:hAnsi="Arial"/>
                <w:sz w:val="18"/>
                <w:szCs w:val="18"/>
                <w:color w:val="auto"/>
              </w:rPr>
              <w:t>Common unitholders (41,002,121 units issued and outstanding as of December 31, 2017 and</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600" w:type="dxa"/>
            <w:vAlign w:val="bottom"/>
          </w:tcPr>
          <w:p>
            <w:pPr>
              <w:jc w:val="center"/>
              <w:ind w:left="111"/>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752,456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755,172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General partner (836,779 units issued and outstanding as of December 31, 2017 and March 31,</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40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11,866</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Incentive distribution rights (“IDR”)</w:t>
            </w:r>
          </w:p>
        </w:tc>
        <w:tc>
          <w:tcPr>
            <w:tcW w:w="600" w:type="dxa"/>
            <w:vAlign w:val="bottom"/>
          </w:tcPr>
          <w:p>
            <w:pPr>
              <w:jc w:val="center"/>
              <w:ind w:left="111"/>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Preference unitholders (5,750,000 Series A Preference Units issued and outstanding as of</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December 31, 2017 and 5,750,000 Series A Preference Units and 4,600,000 Series B Preference</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Units issued and outstanding as of March 31, 2018)</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139,321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250,895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partners’ equity</w:t>
            </w:r>
          </w:p>
        </w:tc>
        <w:tc>
          <w:tcPr>
            <w:tcW w:w="6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910,154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1,026,052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Trade accounts payable</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Derivative financial instruments</w:t>
            </w:r>
          </w:p>
        </w:tc>
        <w:tc>
          <w:tcPr>
            <w:tcW w:w="600" w:type="dxa"/>
            <w:vAlign w:val="bottom"/>
          </w:tcPr>
          <w:p>
            <w:pPr>
              <w:jc w:val="center"/>
              <w:ind w:left="111"/>
              <w:spacing w:after="0"/>
              <w:rPr>
                <w:sz w:val="20"/>
                <w:szCs w:val="20"/>
                <w:color w:val="auto"/>
              </w:rPr>
            </w:pPr>
            <w:r>
              <w:rPr>
                <w:rFonts w:ascii="Arial" w:cs="Arial" w:eastAsia="Arial" w:hAnsi="Arial"/>
                <w:sz w:val="18"/>
                <w:szCs w:val="18"/>
                <w:color w:val="auto"/>
                <w:w w:val="79"/>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Borrowings—current portion</w:t>
            </w:r>
          </w:p>
        </w:tc>
        <w:tc>
          <w:tcPr>
            <w:tcW w:w="600" w:type="dxa"/>
            <w:vAlign w:val="bottom"/>
          </w:tcPr>
          <w:p>
            <w:pPr>
              <w:jc w:val="center"/>
              <w:ind w:left="111"/>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103,829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74,188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148,219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Borrowings—non-current portion</w:t>
            </w:r>
          </w:p>
        </w:tc>
        <w:tc>
          <w:tcPr>
            <w:tcW w:w="60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79"/>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979,645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Other non-current liabilities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1,052,017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gridSpan w:val="4"/>
          </w:tcPr>
          <w:p>
            <w:pPr>
              <w:spacing w:after="0"/>
              <w:rPr>
                <w:sz w:val="20"/>
                <w:szCs w:val="20"/>
                <w:color w:val="auto"/>
              </w:rPr>
            </w:pPr>
            <w:r>
              <w:rPr>
                <w:rFonts w:ascii="Arial" w:cs="Arial" w:eastAsia="Arial" w:hAnsi="Arial"/>
                <w:sz w:val="18"/>
                <w:szCs w:val="18"/>
                <w:b w:val="1"/>
                <w:bCs w:val="1"/>
                <w:color w:val="auto"/>
              </w:rPr>
              <w:t>Total partners’ equity and liabilities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2,110,390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2,113,517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-6707505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-6707505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ectPr>
          <w:pgSz w:w="11900" w:h="16838" w:orient="portrait"/>
          <w:cols w:equalWidth="0" w:num="1">
            <w:col w:w="11460"/>
          </w:cols>
          <w:pgMar w:left="240" w:top="125" w:right="199" w:bottom="9" w:gutter="0" w:footer="0" w:header="0"/>
        </w:sectPr>
      </w:pPr>
    </w:p>
    <w:bookmarkStart w:id="19" w:name="page20"/>
    <w:bookmarkEnd w:id="19"/>
    <w:p>
      <w:pPr>
        <w:ind w:right="4160"/>
        <w:spacing w:after="0" w:line="261" w:lineRule="auto"/>
        <w:rPr>
          <w:sz w:val="20"/>
          <w:szCs w:val="20"/>
          <w:color w:val="auto"/>
        </w:rPr>
      </w:pPr>
      <w:r>
        <w:rPr>
          <w:rFonts w:ascii="Arial" w:cs="Arial" w:eastAsia="Arial" w:hAnsi="Arial"/>
          <w:sz w:val="18"/>
          <w:szCs w:val="18"/>
          <w:b w:val="1"/>
          <w:bCs w:val="1"/>
          <w:color w:val="auto"/>
        </w:rPr>
        <w:t>Unaudited condensed consolidated statements of profit or loss and total comprehensive income For the three months ended March 31, 2017 and 2018</w:t>
      </w: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Note</w:t>
            </w:r>
          </w:p>
        </w:tc>
        <w:tc>
          <w:tcPr>
            <w:tcW w:w="2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March 31, 2017</w:t>
            </w:r>
          </w:p>
        </w:tc>
        <w:tc>
          <w:tcPr>
            <w:tcW w:w="12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6"/>
                <w:szCs w:val="16"/>
                <w:b w:val="1"/>
                <w:bCs w:val="1"/>
                <w:color w:val="auto"/>
                <w:vertAlign w:val="superscript"/>
              </w:rPr>
              <w:t>(1)</w:t>
            </w: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77,187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Vessel operating costs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(13,643)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Depreciation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(16,697)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(3,381)</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8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42,499</w:t>
            </w:r>
          </w:p>
        </w:tc>
        <w:tc>
          <w:tcPr>
            <w:tcW w:w="3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Financial income</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Gain on interest rate swaps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8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(12,610)</w:t>
            </w:r>
          </w:p>
        </w:tc>
        <w:tc>
          <w:tcPr>
            <w:tcW w:w="3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and total comprehensive income for the period</w:t>
            </w: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29,889</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unit attributable to the Partnership, basic and diluted: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Common unit (basic and diluted)</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partner unit</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0.56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340" w:right="720" w:hanging="332"/>
        <w:spacing w:after="0" w:line="186"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Ltd. (“GasLog”) (Note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ind w:right="4900"/>
        <w:spacing w:after="0" w:line="276" w:lineRule="auto"/>
        <w:rPr>
          <w:sz w:val="20"/>
          <w:szCs w:val="20"/>
          <w:color w:val="auto"/>
        </w:rPr>
      </w:pPr>
      <w:r>
        <w:rPr>
          <w:rFonts w:ascii="Arial" w:cs="Arial" w:eastAsia="Arial" w:hAnsi="Arial"/>
          <w:sz w:val="17"/>
          <w:szCs w:val="17"/>
          <w:b w:val="1"/>
          <w:bCs w:val="1"/>
          <w:color w:val="auto"/>
        </w:rPr>
        <w:t>Unaudited condensed consolidated statements of changes in owners’/partners’ equity For the three months ended March 31, 2017 and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left="297"/>
              <w:spacing w:after="0"/>
              <w:rPr>
                <w:sz w:val="20"/>
                <w:szCs w:val="20"/>
                <w:color w:val="auto"/>
              </w:rPr>
            </w:pPr>
            <w:r>
              <w:rPr>
                <w:rFonts w:ascii="Arial" w:cs="Arial" w:eastAsia="Arial" w:hAnsi="Arial"/>
                <w:sz w:val="13"/>
                <w:szCs w:val="13"/>
                <w:b w:val="1"/>
                <w:bCs w:val="1"/>
                <w:color w:val="auto"/>
                <w:w w:val="88"/>
              </w:rPr>
              <w:t>Subordinated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left="357"/>
              <w:spacing w:after="0"/>
              <w:rPr>
                <w:sz w:val="20"/>
                <w:szCs w:val="20"/>
                <w:color w:val="auto"/>
              </w:rPr>
            </w:pPr>
            <w:r>
              <w:rPr>
                <w:rFonts w:ascii="Arial" w:cs="Arial" w:eastAsia="Arial" w:hAnsi="Arial"/>
                <w:sz w:val="13"/>
                <w:szCs w:val="13"/>
                <w:b w:val="1"/>
                <w:bCs w:val="1"/>
                <w:color w:val="auto"/>
                <w:w w:val="86"/>
              </w:rPr>
              <w:t>Preference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General partner</w:t>
            </w:r>
          </w:p>
        </w:tc>
        <w:tc>
          <w:tcPr>
            <w:tcW w:w="1680" w:type="dxa"/>
            <w:vAlign w:val="bottom"/>
            <w:gridSpan w:val="4"/>
          </w:tcPr>
          <w:p>
            <w:pPr>
              <w:ind w:left="180"/>
              <w:spacing w:after="0"/>
              <w:rPr>
                <w:sz w:val="20"/>
                <w:szCs w:val="20"/>
                <w:color w:val="auto"/>
              </w:rPr>
            </w:pPr>
            <w:r>
              <w:rPr>
                <w:rFonts w:ascii="Arial" w:cs="Arial" w:eastAsia="Arial" w:hAnsi="Arial"/>
                <w:sz w:val="13"/>
                <w:szCs w:val="13"/>
                <w:b w:val="1"/>
                <w:bCs w:val="1"/>
                <w:color w:val="auto"/>
              </w:rPr>
              <w:t>Common unitholders</w:t>
            </w:r>
          </w:p>
        </w:tc>
        <w:tc>
          <w:tcPr>
            <w:tcW w:w="1100" w:type="dxa"/>
            <w:vAlign w:val="bottom"/>
            <w:gridSpan w:val="3"/>
          </w:tcPr>
          <w:p>
            <w:pPr>
              <w:jc w:val="center"/>
              <w:ind w:left="297"/>
              <w:spacing w:after="0"/>
              <w:rPr>
                <w:sz w:val="20"/>
                <w:szCs w:val="20"/>
                <w:color w:val="auto"/>
              </w:rPr>
            </w:pPr>
            <w:r>
              <w:rPr>
                <w:rFonts w:ascii="Arial" w:cs="Arial" w:eastAsia="Arial" w:hAnsi="Arial"/>
                <w:sz w:val="13"/>
                <w:szCs w:val="13"/>
                <w:b w:val="1"/>
                <w:bCs w:val="1"/>
                <w:color w:val="auto"/>
                <w:w w:val="87"/>
              </w:rPr>
              <w:t>unitholders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IDR</w:t>
            </w:r>
          </w:p>
        </w:tc>
        <w:tc>
          <w:tcPr>
            <w:tcW w:w="1040" w:type="dxa"/>
            <w:vAlign w:val="bottom"/>
            <w:gridSpan w:val="3"/>
          </w:tcPr>
          <w:p>
            <w:pPr>
              <w:jc w:val="center"/>
              <w:ind w:left="357"/>
              <w:spacing w:after="0"/>
              <w:rPr>
                <w:sz w:val="20"/>
                <w:szCs w:val="20"/>
                <w:color w:val="auto"/>
              </w:rPr>
            </w:pPr>
            <w:r>
              <w:rPr>
                <w:rFonts w:ascii="Arial" w:cs="Arial" w:eastAsia="Arial" w:hAnsi="Arial"/>
                <w:sz w:val="13"/>
                <w:szCs w:val="13"/>
                <w:b w:val="1"/>
                <w:bCs w:val="1"/>
                <w:color w:val="auto"/>
                <w:w w:val="87"/>
              </w:rPr>
              <w:t>unitholders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Partners’</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Owners’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4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Units</w:t>
            </w: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Units</w:t>
            </w: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3"/>
                <w:szCs w:val="13"/>
                <w:b w:val="1"/>
                <w:bCs w:val="1"/>
                <w:color w:val="auto"/>
              </w:rPr>
              <w:t>Units</w:t>
            </w: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gridSpan w:val="3"/>
          </w:tcPr>
          <w:p>
            <w:pPr>
              <w:ind w:left="220"/>
              <w:spacing w:after="0" w:line="129" w:lineRule="exact"/>
              <w:rPr>
                <w:sz w:val="20"/>
                <w:szCs w:val="20"/>
                <w:color w:val="auto"/>
              </w:rPr>
            </w:pPr>
            <w:r>
              <w:rPr>
                <w:rFonts w:ascii="Arial" w:cs="Arial" w:eastAsia="Arial" w:hAnsi="Arial"/>
                <w:sz w:val="13"/>
                <w:szCs w:val="13"/>
                <w:b w:val="1"/>
                <w:bCs w:val="1"/>
                <w:color w:val="auto"/>
              </w:rPr>
              <w:t>Units</w:t>
            </w: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8"/>
              </w:rPr>
              <w:t>equity</w:t>
            </w:r>
          </w:p>
        </w:tc>
        <w:tc>
          <w:tcPr>
            <w:tcW w:w="800" w:type="dxa"/>
            <w:vAlign w:val="bottom"/>
            <w:gridSpan w:val="2"/>
          </w:tcPr>
          <w:p>
            <w:pPr>
              <w:ind w:left="140"/>
              <w:spacing w:after="0" w:line="129" w:lineRule="exact"/>
              <w:rPr>
                <w:sz w:val="20"/>
                <w:szCs w:val="20"/>
                <w:color w:val="auto"/>
              </w:rPr>
            </w:pPr>
            <w:r>
              <w:rPr>
                <w:rFonts w:ascii="Arial" w:cs="Arial" w:eastAsia="Arial" w:hAnsi="Arial"/>
                <w:sz w:val="13"/>
                <w:szCs w:val="13"/>
                <w:b w:val="1"/>
                <w:bCs w:val="1"/>
                <w:color w:val="auto"/>
              </w:rPr>
              <w:t>capital</w:t>
            </w:r>
          </w:p>
        </w:tc>
        <w:tc>
          <w:tcPr>
            <w:tcW w:w="7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January 1, 2017</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701,933</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10,095</w:t>
            </w: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180"/>
              <w:spacing w:after="0" w:line="129" w:lineRule="exact"/>
              <w:rPr>
                <w:sz w:val="20"/>
                <w:szCs w:val="20"/>
                <w:color w:val="auto"/>
              </w:rPr>
            </w:pPr>
            <w:r>
              <w:rPr>
                <w:rFonts w:ascii="Arial" w:cs="Arial" w:eastAsia="Arial" w:hAnsi="Arial"/>
                <w:sz w:val="13"/>
                <w:szCs w:val="13"/>
                <w:b w:val="1"/>
                <w:bCs w:val="1"/>
                <w:color w:val="auto"/>
                <w:w w:val="82"/>
              </w:rPr>
              <w:t>24,572,358</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565,408</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9,822,358</w:t>
            </w: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0"/>
              </w:rPr>
              <w:t>60,988</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5,878</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642,369</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155,669</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798,038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line="121" w:lineRule="exact"/>
              <w:rPr>
                <w:sz w:val="20"/>
                <w:szCs w:val="20"/>
                <w:color w:val="auto"/>
              </w:rPr>
            </w:pPr>
            <w:r>
              <w:rPr>
                <w:rFonts w:ascii="Arial" w:cs="Arial" w:eastAsia="Arial" w:hAnsi="Arial"/>
                <w:sz w:val="13"/>
                <w:szCs w:val="13"/>
                <w:color w:val="auto"/>
              </w:rPr>
              <w:t>Profit and total comprehensive</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160"/>
              <w:spacing w:after="0" w:line="135" w:lineRule="exact"/>
              <w:rPr>
                <w:sz w:val="20"/>
                <w:szCs w:val="20"/>
                <w:color w:val="auto"/>
              </w:rPr>
            </w:pPr>
            <w:r>
              <w:rPr>
                <w:rFonts w:ascii="Arial" w:cs="Arial" w:eastAsia="Arial" w:hAnsi="Arial"/>
                <w:sz w:val="13"/>
                <w:szCs w:val="13"/>
                <w:color w:val="auto"/>
              </w:rPr>
              <w:t>income attributable to</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rPr>
                <w:sz w:val="20"/>
                <w:szCs w:val="20"/>
                <w:color w:val="auto"/>
              </w:rPr>
            </w:pPr>
            <w:r>
              <w:rPr>
                <w:rFonts w:ascii="Arial" w:cs="Arial" w:eastAsia="Arial" w:hAnsi="Arial"/>
                <w:sz w:val="13"/>
                <w:szCs w:val="13"/>
                <w:color w:val="auto"/>
                <w:w w:val="99"/>
              </w:rPr>
              <w:t>GasLog’s operations (Note 13)</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8,867</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Net proceeds from public offerings</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w w:val="96"/>
              </w:rPr>
              <w:t>and issuances of common units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and general partner units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78,980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3,870,000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78,025</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3"/>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79,644</w:t>
            </w:r>
          </w:p>
        </w:tc>
        <w:tc>
          <w:tcPr>
            <w:tcW w:w="800" w:type="dxa"/>
            <w:vAlign w:val="bottom"/>
            <w:gridSpan w:val="2"/>
            <w:vMerge w:val="continue"/>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79,644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line="135" w:lineRule="exact"/>
              <w:rPr>
                <w:sz w:val="20"/>
                <w:szCs w:val="20"/>
                <w:color w:val="auto"/>
              </w:rPr>
            </w:pPr>
            <w:r>
              <w:rPr>
                <w:rFonts w:ascii="Arial" w:cs="Arial" w:eastAsia="Arial" w:hAnsi="Arial"/>
                <w:sz w:val="13"/>
                <w:szCs w:val="13"/>
                <w:color w:val="auto"/>
              </w:rPr>
              <w:t>Distributions declared</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(391)</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(13,878)</w:t>
            </w:r>
          </w:p>
        </w:tc>
        <w:tc>
          <w:tcPr>
            <w:tcW w:w="1100" w:type="dxa"/>
            <w:vAlign w:val="bottom"/>
            <w:gridSpan w:val="3"/>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7"/>
              </w:rPr>
              <w:t>(4,813)</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(467)</w:t>
            </w:r>
          </w:p>
        </w:tc>
        <w:tc>
          <w:tcPr>
            <w:tcW w:w="104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(19,549)</w:t>
            </w:r>
          </w:p>
        </w:tc>
        <w:tc>
          <w:tcPr>
            <w:tcW w:w="80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(19,549)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Share-based compensation, net of</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accrued distribution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160"/>
              <w:spacing w:after="0" w:line="135" w:lineRule="exact"/>
              <w:rPr>
                <w:sz w:val="20"/>
                <w:szCs w:val="20"/>
                <w:color w:val="auto"/>
              </w:rPr>
            </w:pPr>
            <w:r>
              <w:rPr>
                <w:rFonts w:ascii="Arial" w:cs="Arial" w:eastAsia="Arial" w:hAnsi="Arial"/>
                <w:sz w:val="13"/>
                <w:szCs w:val="13"/>
                <w:color w:val="auto"/>
              </w:rPr>
              <w:t>comprehensive income (Note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rPr>
                <w:sz w:val="20"/>
                <w:szCs w:val="20"/>
                <w:color w:val="auto"/>
              </w:rPr>
            </w:pPr>
            <w:r>
              <w:rPr>
                <w:rFonts w:ascii="Arial" w:cs="Arial" w:eastAsia="Arial" w:hAnsi="Arial"/>
                <w:sz w:val="13"/>
                <w:szCs w:val="13"/>
                <w:color w:val="auto"/>
              </w:rPr>
              <w:t>13)</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420</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14,724</w:t>
            </w:r>
          </w:p>
        </w:tc>
        <w:tc>
          <w:tcPr>
            <w:tcW w:w="11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5,085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793</w:t>
            </w:r>
          </w:p>
        </w:tc>
        <w:tc>
          <w:tcPr>
            <w:tcW w:w="10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21,022</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Balance at March 31, 2017 (as</w:t>
            </w: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780,913</w:t>
            </w:r>
          </w:p>
        </w:tc>
        <w:tc>
          <w:tcPr>
            <w:tcW w:w="160" w:type="dxa"/>
            <w:vAlign w:val="bottom"/>
            <w:vMerge w:val="restart"/>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11,745</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28,442,358</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644,331</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9,822,358</w:t>
            </w:r>
          </w:p>
        </w:tc>
        <w:tc>
          <w:tcPr>
            <w:tcW w:w="24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b w:val="1"/>
                <w:bCs w:val="1"/>
                <w:color w:val="auto"/>
                <w:w w:val="80"/>
              </w:rPr>
              <w:t>61,278</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6,226</w:t>
            </w:r>
          </w:p>
        </w:tc>
        <w:tc>
          <w:tcPr>
            <w:tcW w:w="10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723,580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164,536</w:t>
            </w:r>
          </w:p>
        </w:tc>
        <w:tc>
          <w:tcPr>
            <w:tcW w:w="18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888,116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b w:val="1"/>
                <w:bCs w:val="1"/>
                <w:color w:val="auto"/>
              </w:rPr>
              <w:t>restated</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58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040" w:type="dxa"/>
            <w:vAlign w:val="bottom"/>
            <w:gridSpan w:val="3"/>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January 1, 2018</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836,779</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11,781</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41,002,121</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752,456</w:t>
            </w:r>
          </w:p>
        </w:tc>
        <w:tc>
          <w:tcPr>
            <w:tcW w:w="110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6,596</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5,750,000</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5"/>
              </w:rPr>
              <w:t>139,321</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910,154</w:t>
            </w:r>
          </w:p>
        </w:tc>
        <w:tc>
          <w:tcPr>
            <w:tcW w:w="80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910,154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line="121" w:lineRule="exact"/>
              <w:rPr>
                <w:sz w:val="20"/>
                <w:szCs w:val="20"/>
                <w:color w:val="auto"/>
              </w:rPr>
            </w:pPr>
            <w:r>
              <w:rPr>
                <w:rFonts w:ascii="Arial" w:cs="Arial" w:eastAsia="Arial" w:hAnsi="Arial"/>
                <w:sz w:val="13"/>
                <w:szCs w:val="13"/>
                <w:color w:val="auto"/>
              </w:rPr>
              <w:t>Net proceeds from public offering</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ind w:left="160"/>
              <w:spacing w:after="0" w:line="135" w:lineRule="exact"/>
              <w:rPr>
                <w:sz w:val="20"/>
                <w:szCs w:val="20"/>
                <w:color w:val="auto"/>
              </w:rPr>
            </w:pPr>
            <w:r>
              <w:rPr>
                <w:rFonts w:ascii="Arial" w:cs="Arial" w:eastAsia="Arial" w:hAnsi="Arial"/>
                <w:sz w:val="13"/>
                <w:szCs w:val="13"/>
                <w:color w:val="auto"/>
              </w:rPr>
              <w:t>of common units and issuance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rPr>
                <w:sz w:val="20"/>
                <w:szCs w:val="20"/>
                <w:color w:val="auto"/>
              </w:rPr>
            </w:pPr>
            <w:r>
              <w:rPr>
                <w:rFonts w:ascii="Arial" w:cs="Arial" w:eastAsia="Arial" w:hAnsi="Arial"/>
                <w:sz w:val="13"/>
                <w:szCs w:val="13"/>
                <w:color w:val="auto"/>
              </w:rPr>
              <w:t>of preference units (Note 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42</w:t>
            </w:r>
          </w:p>
        </w:tc>
        <w:tc>
          <w:tcPr>
            <w:tcW w:w="180" w:type="dxa"/>
            <w:vAlign w:val="bottom"/>
          </w:tcPr>
          <w:p>
            <w:pPr>
              <w:spacing w:after="0"/>
              <w:rPr>
                <w:sz w:val="12"/>
                <w:szCs w:val="1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4,600,000</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111,155</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111,197</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111,197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declared (Note 12)</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(457)</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(21,465)</w:t>
            </w:r>
          </w:p>
        </w:tc>
        <w:tc>
          <w:tcPr>
            <w:tcW w:w="1100" w:type="dxa"/>
            <w:vAlign w:val="bottom"/>
            <w:gridSpan w:val="3"/>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(923)</w:t>
            </w:r>
          </w:p>
        </w:tc>
        <w:tc>
          <w:tcPr>
            <w:tcW w:w="104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(4,619)</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(27,464)</w:t>
            </w:r>
          </w:p>
        </w:tc>
        <w:tc>
          <w:tcPr>
            <w:tcW w:w="80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(27,464)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line="121" w:lineRule="exact"/>
              <w:rPr>
                <w:sz w:val="20"/>
                <w:szCs w:val="20"/>
                <w:color w:val="auto"/>
              </w:rPr>
            </w:pPr>
            <w:r>
              <w:rPr>
                <w:rFonts w:ascii="Arial" w:cs="Arial" w:eastAsia="Arial" w:hAnsi="Arial"/>
                <w:sz w:val="13"/>
                <w:szCs w:val="13"/>
                <w:color w:val="auto"/>
                <w:w w:val="96"/>
              </w:rPr>
              <w:t>Share-based compensation, net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rPr>
                <w:sz w:val="20"/>
                <w:szCs w:val="20"/>
                <w:color w:val="auto"/>
              </w:rPr>
            </w:pPr>
            <w:r>
              <w:rPr>
                <w:rFonts w:ascii="Arial" w:cs="Arial" w:eastAsia="Arial" w:hAnsi="Arial"/>
                <w:sz w:val="13"/>
                <w:szCs w:val="13"/>
                <w:color w:val="auto"/>
              </w:rPr>
              <w:t>accrued distribution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2"/>
                <w:szCs w:val="12"/>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78</w:t>
            </w:r>
          </w:p>
        </w:tc>
        <w:tc>
          <w:tcPr>
            <w:tcW w:w="10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163</w:t>
            </w: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Partnership’s profit and total</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comprehensive income (Note</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24,057</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2,368</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5,038</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32,002</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32,002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March 31, 2018</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836,779</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11,866</w:t>
            </w:r>
          </w:p>
        </w:tc>
        <w:tc>
          <w:tcPr>
            <w:tcW w:w="180" w:type="dxa"/>
            <w:vAlign w:val="bottom"/>
          </w:tcPr>
          <w:p>
            <w:pPr>
              <w:spacing w:after="0"/>
              <w:rPr>
                <w:sz w:val="11"/>
                <w:szCs w:val="11"/>
                <w:color w:val="auto"/>
              </w:rPr>
            </w:pPr>
          </w:p>
        </w:tc>
        <w:tc>
          <w:tcPr>
            <w:tcW w:w="740" w:type="dxa"/>
            <w:vAlign w:val="bottom"/>
            <w:tcBorders>
              <w:top w:val="single" w:sz="8" w:color="auto"/>
              <w:bottom w:val="single" w:sz="8" w:color="auto"/>
            </w:tcBorders>
          </w:tcPr>
          <w:p>
            <w:pPr>
              <w:ind w:left="180"/>
              <w:spacing w:after="0" w:line="129" w:lineRule="exact"/>
              <w:rPr>
                <w:sz w:val="20"/>
                <w:szCs w:val="20"/>
                <w:color w:val="auto"/>
              </w:rPr>
            </w:pPr>
            <w:r>
              <w:rPr>
                <w:rFonts w:ascii="Arial" w:cs="Arial" w:eastAsia="Arial" w:hAnsi="Arial"/>
                <w:sz w:val="13"/>
                <w:szCs w:val="13"/>
                <w:b w:val="1"/>
                <w:bCs w:val="1"/>
                <w:color w:val="auto"/>
                <w:w w:val="82"/>
              </w:rPr>
              <w:t>41,002,121</w:t>
            </w:r>
          </w:p>
        </w:tc>
        <w:tc>
          <w:tcPr>
            <w:tcW w:w="1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755,172</w:t>
            </w:r>
          </w:p>
        </w:tc>
        <w:tc>
          <w:tcPr>
            <w:tcW w:w="1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8,119</w:t>
            </w:r>
          </w:p>
        </w:tc>
        <w:tc>
          <w:tcPr>
            <w:tcW w:w="16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10,350,000</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250,895</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1,026,052</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500"/>
              <w:spacing w:after="0" w:line="129" w:lineRule="exact"/>
              <w:rPr>
                <w:sz w:val="20"/>
                <w:szCs w:val="20"/>
                <w:color w:val="auto"/>
              </w:rPr>
            </w:pPr>
            <w:r>
              <w:rPr>
                <w:rFonts w:ascii="Arial" w:cs="Arial" w:eastAsia="Arial" w:hAnsi="Arial"/>
                <w:sz w:val="13"/>
                <w:szCs w:val="13"/>
                <w:b w:val="1"/>
                <w:bCs w:val="1"/>
                <w:color w:val="auto"/>
                <w:w w:val="76"/>
              </w:rPr>
              <w:t>—</w:t>
            </w:r>
          </w:p>
        </w:tc>
        <w:tc>
          <w:tcPr>
            <w:tcW w:w="1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1,026,052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720" w:hanging="332"/>
        <w:spacing w:after="0" w:line="186"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ectPr>
          <w:pgSz w:w="11900" w:h="16838" w:orient="portrait"/>
          <w:cols w:equalWidth="0" w:num="1">
            <w:col w:w="11420"/>
          </w:cols>
          <w:pgMar w:left="240" w:top="121" w:right="239" w:bottom="0" w:gutter="0" w:footer="0" w:header="0"/>
        </w:sectPr>
      </w:pPr>
    </w:p>
    <w:p>
      <w:pPr>
        <w:spacing w:after="0" w:line="202" w:lineRule="exact"/>
        <w:rPr>
          <w:sz w:val="20"/>
          <w:szCs w:val="20"/>
          <w:color w:val="auto"/>
        </w:rPr>
      </w:pPr>
    </w:p>
    <w:p>
      <w:pPr>
        <w:ind w:left="9260"/>
        <w:spacing w:after="0"/>
        <w:rPr>
          <w:sz w:val="20"/>
          <w:szCs w:val="20"/>
          <w:color w:val="auto"/>
        </w:rPr>
      </w:pPr>
      <w:r>
        <w:rPr>
          <w:rFonts w:ascii="Arial" w:cs="Arial" w:eastAsia="Arial" w:hAnsi="Arial"/>
          <w:sz w:val="12"/>
          <w:szCs w:val="12"/>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20955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Note</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(restated)</w:t>
            </w:r>
            <w:r>
              <w:rPr>
                <w:rFonts w:ascii="Arial" w:cs="Arial" w:eastAsia="Arial" w:hAnsi="Arial"/>
                <w:sz w:val="16"/>
                <w:szCs w:val="16"/>
                <w:b w:val="1"/>
                <w:bCs w:val="1"/>
                <w:color w:val="auto"/>
                <w:w w:val="91"/>
                <w:vertAlign w:val="superscript"/>
              </w:rPr>
              <w:t>(1)</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Profit and total comprehensive income for the period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29,889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16,697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12,760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Financial income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 on interest rate swaps held for trading</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58,706</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Movements in working capital</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(2,557)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56,149</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paid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40,989</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Payments for vessels’ additions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Financial income received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Maturity of short-term investments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Purchase of short-term investments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Borrowings repayments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3"/>
          </w:tcPr>
          <w:p>
            <w:pPr>
              <w:spacing w:after="0" w:line="201" w:lineRule="exact"/>
              <w:rPr>
                <w:sz w:val="20"/>
                <w:szCs w:val="20"/>
                <w:color w:val="auto"/>
              </w:rPr>
            </w:pPr>
            <w:r>
              <w:rPr>
                <w:rFonts w:ascii="Arial" w:cs="Arial" w:eastAsia="Arial" w:hAnsi="Arial"/>
                <w:sz w:val="18"/>
                <w:szCs w:val="18"/>
                <w:color w:val="auto"/>
              </w:rPr>
              <w:t>Proceeds from public offerings and issuances of common units and general partner units (net of</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gridSpan w:val="3"/>
          </w:tcPr>
          <w:p>
            <w:pPr>
              <w:ind w:left="160"/>
              <w:spacing w:after="0"/>
              <w:rPr>
                <w:sz w:val="20"/>
                <w:szCs w:val="20"/>
                <w:color w:val="auto"/>
              </w:rPr>
            </w:pPr>
            <w:r>
              <w:rPr>
                <w:rFonts w:ascii="Arial" w:cs="Arial" w:eastAsia="Arial" w:hAnsi="Arial"/>
                <w:sz w:val="18"/>
                <w:szCs w:val="18"/>
                <w:color w:val="auto"/>
              </w:rPr>
              <w:t>underwriting discounts and commissions)</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80,141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issuance of preference units (net of underwriting discounts and commissions)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Payment of offering costs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(19,549)</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31,302</w:t>
            </w:r>
          </w:p>
        </w:tc>
        <w:tc>
          <w:tcPr>
            <w:tcW w:w="3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78,170</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and cash equivalents, beginning of the period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56,506</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134,676</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Offering costs included in liabilities at the end of the period</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720" w:hanging="332"/>
        <w:spacing w:after="0" w:line="186"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Restated so as to reflect the historical financial statements of GAS-eleven Ltd., GAS-thirteen Ltd. and GAS-eight Ltd. acquired on May 3, 2017, July 3, 2017 and October 20, 2017, respectively, from GasLog (Note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20" w:firstLine="396"/>
        <w:spacing w:after="0" w:line="312"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47"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 xml:space="preserve">On May 3, 2017, GasLog Partners acquired from GasLog 100% of the ownership interests in GAS-eleven Ltd., the entity that owns a 174,000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w:t>
      </w:r>
    </w:p>
    <w:p>
      <w:pPr>
        <w:spacing w:after="0" w:line="170" w:lineRule="exact"/>
        <w:rPr>
          <w:sz w:val="20"/>
          <w:szCs w:val="20"/>
          <w:color w:val="auto"/>
        </w:rPr>
      </w:pPr>
    </w:p>
    <w:p>
      <w:pPr>
        <w:ind w:right="380" w:firstLine="396"/>
        <w:spacing w:after="0" w:line="277" w:lineRule="auto"/>
        <w:rPr>
          <w:sz w:val="20"/>
          <w:szCs w:val="20"/>
          <w:color w:val="auto"/>
        </w:rPr>
      </w:pPr>
      <w:r>
        <w:rPr>
          <w:rFonts w:ascii="Arial" w:cs="Arial" w:eastAsia="Arial" w:hAnsi="Arial"/>
          <w:sz w:val="18"/>
          <w:szCs w:val="18"/>
          <w:color w:val="auto"/>
        </w:rPr>
        <w:t xml:space="preserve">On July 3, 2017, GasLog Partners acquired from GasLog 100% of the ownership interests in GAS-thirteen Ltd., the entity that owns a 174,000 cbm LNG carrier, the </w:t>
      </w:r>
      <w:r>
        <w:rPr>
          <w:rFonts w:ascii="Arial" w:cs="Arial" w:eastAsia="Arial" w:hAnsi="Arial"/>
          <w:sz w:val="18"/>
          <w:szCs w:val="18"/>
          <w:i w:val="1"/>
          <w:iCs w:val="1"/>
          <w:color w:val="auto"/>
        </w:rPr>
        <w:t>GasLog Geneva</w:t>
      </w:r>
      <w:r>
        <w:rPr>
          <w:rFonts w:ascii="Arial" w:cs="Arial" w:eastAsia="Arial" w:hAnsi="Arial"/>
          <w:sz w:val="18"/>
          <w:szCs w:val="18"/>
          <w:color w:val="auto"/>
        </w:rPr>
        <w:t>, for an aggregate purchase price of $211,000.</w:t>
      </w:r>
    </w:p>
    <w:p>
      <w:pPr>
        <w:spacing w:after="0" w:line="170" w:lineRule="exact"/>
        <w:rPr>
          <w:sz w:val="20"/>
          <w:szCs w:val="20"/>
          <w:color w:val="auto"/>
        </w:rPr>
      </w:pPr>
    </w:p>
    <w:p>
      <w:pPr>
        <w:ind w:right="240" w:firstLine="396"/>
        <w:spacing w:after="0" w:line="277" w:lineRule="auto"/>
        <w:rPr>
          <w:sz w:val="20"/>
          <w:szCs w:val="20"/>
          <w:color w:val="auto"/>
        </w:rPr>
      </w:pPr>
      <w:r>
        <w:rPr>
          <w:rFonts w:ascii="Arial" w:cs="Arial" w:eastAsia="Arial" w:hAnsi="Arial"/>
          <w:sz w:val="18"/>
          <w:szCs w:val="18"/>
          <w:color w:val="auto"/>
        </w:rPr>
        <w:t xml:space="preserve">On October 20, 2017, GasLog Partners acquired 100% of the ownership interests in GAS-eight Ltd., the entity that owns a 155,000 cbm LNG carrier, the </w:t>
      </w:r>
      <w:r>
        <w:rPr>
          <w:rFonts w:ascii="Arial" w:cs="Arial" w:eastAsia="Arial" w:hAnsi="Arial"/>
          <w:sz w:val="18"/>
          <w:szCs w:val="18"/>
          <w:i w:val="1"/>
          <w:iCs w:val="1"/>
          <w:color w:val="auto"/>
        </w:rPr>
        <w:t>Solaris</w:t>
      </w:r>
      <w:r>
        <w:rPr>
          <w:rFonts w:ascii="Arial" w:cs="Arial" w:eastAsia="Arial" w:hAnsi="Arial"/>
          <w:sz w:val="18"/>
          <w:szCs w:val="18"/>
          <w:color w:val="auto"/>
        </w:rPr>
        <w:t>, for an aggregate purchase price of $185,900.</w:t>
      </w:r>
    </w:p>
    <w:p>
      <w:pPr>
        <w:spacing w:after="0" w:line="170" w:lineRule="exact"/>
        <w:rPr>
          <w:sz w:val="20"/>
          <w:szCs w:val="20"/>
          <w:color w:val="auto"/>
        </w:rPr>
      </w:pPr>
    </w:p>
    <w:p>
      <w:pPr>
        <w:ind w:right="100" w:firstLine="383"/>
        <w:spacing w:after="0" w:line="257" w:lineRule="auto"/>
        <w:rPr>
          <w:sz w:val="20"/>
          <w:szCs w:val="20"/>
          <w:color w:val="auto"/>
        </w:rPr>
      </w:pPr>
      <w:r>
        <w:rPr>
          <w:rFonts w:ascii="Arial" w:cs="Arial" w:eastAsia="Arial" w:hAnsi="Arial"/>
          <w:sz w:val="18"/>
          <w:szCs w:val="18"/>
          <w:color w:val="auto"/>
        </w:rPr>
        <w:t xml:space="preserve">The acquisitions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from GasLog were accounted for as reorganizations of companies under common control. The Partnership’s historical results were retroactively restated to reflect the historical results of GAS-eleven Ltd., the entity that owns the </w:t>
      </w:r>
      <w:r>
        <w:rPr>
          <w:rFonts w:ascii="Arial" w:cs="Arial" w:eastAsia="Arial" w:hAnsi="Arial"/>
          <w:sz w:val="18"/>
          <w:szCs w:val="18"/>
          <w:i w:val="1"/>
          <w:iCs w:val="1"/>
          <w:color w:val="auto"/>
        </w:rPr>
        <w:t>GasLog Greece</w:t>
      </w:r>
      <w:r>
        <w:rPr>
          <w:rFonts w:ascii="Arial" w:cs="Arial" w:eastAsia="Arial" w:hAnsi="Arial"/>
          <w:sz w:val="18"/>
          <w:szCs w:val="18"/>
          <w:color w:val="auto"/>
        </w:rPr>
        <w:t>, GAS-thirteen Ltd., the entity that owns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GAS-eight Ltd., the entity that owns the</w:t>
      </w:r>
      <w:r>
        <w:rPr>
          <w:rFonts w:ascii="Arial" w:cs="Arial" w:eastAsia="Arial" w:hAnsi="Arial"/>
          <w:sz w:val="18"/>
          <w:szCs w:val="18"/>
          <w:i w:val="1"/>
          <w:iCs w:val="1"/>
          <w:color w:val="auto"/>
        </w:rPr>
        <w:t xml:space="preserve"> Solaris</w:t>
      </w:r>
      <w:r>
        <w:rPr>
          <w:rFonts w:ascii="Arial" w:cs="Arial" w:eastAsia="Arial" w:hAnsi="Arial"/>
          <w:sz w:val="18"/>
          <w:szCs w:val="18"/>
          <w:color w:val="auto"/>
        </w:rPr>
        <w:t>, from their respective dates</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by GasLog. The carrying amounts of assets and liabilities included are based on the historical carrying amounts of such assets and liabilities recognized by the subsidiaries.</w:t>
      </w:r>
    </w:p>
    <w:p>
      <w:pPr>
        <w:sectPr>
          <w:pgSz w:w="11900" w:h="16838" w:orient="portrait"/>
          <w:cols w:equalWidth="0" w:num="1">
            <w:col w:w="11420"/>
          </w:cols>
          <w:pgMar w:left="240" w:top="104" w:right="239" w:bottom="0" w:gutter="0" w:footer="0" w:header="0"/>
        </w:sectPr>
      </w:pPr>
    </w:p>
    <w:bookmarkStart w:id="21" w:name="page22"/>
    <w:bookmarkEnd w:id="21"/>
    <w:p>
      <w:pPr>
        <w:ind w:right="200" w:firstLine="383"/>
        <w:spacing w:after="0" w:line="264" w:lineRule="auto"/>
        <w:rPr>
          <w:sz w:val="20"/>
          <w:szCs w:val="20"/>
          <w:color w:val="auto"/>
        </w:rPr>
      </w:pPr>
      <w:r>
        <w:rPr>
          <w:rFonts w:ascii="Arial" w:cs="Arial" w:eastAsia="Arial" w:hAnsi="Arial"/>
          <w:sz w:val="18"/>
          <w:szCs w:val="18"/>
          <w:color w:val="auto"/>
        </w:rPr>
        <w:t>As of March 31, 2018, GasLog holds a 25.9% interest in the Partnership.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1" w:lineRule="exact"/>
        <w:rPr>
          <w:sz w:val="20"/>
          <w:szCs w:val="20"/>
          <w:color w:val="auto"/>
        </w:rPr>
      </w:pPr>
    </w:p>
    <w:p>
      <w:pPr>
        <w:jc w:val="both"/>
        <w:ind w:right="460" w:firstLine="405"/>
        <w:spacing w:after="0" w:line="286" w:lineRule="auto"/>
        <w:rPr>
          <w:sz w:val="20"/>
          <w:szCs w:val="20"/>
          <w:color w:val="auto"/>
        </w:rPr>
      </w:pPr>
      <w:r>
        <w:rPr>
          <w:rFonts w:ascii="Arial" w:cs="Arial" w:eastAsia="Arial" w:hAnsi="Arial"/>
          <w:sz w:val="17"/>
          <w:szCs w:val="17"/>
          <w:color w:val="auto"/>
        </w:rPr>
        <w:t>The Partnership’s principal business is the acquisition and operation of vessels in the LNG market, providing transportation services of LNG on a worldwide basis under long-term charters. GasLog LNG Services Ltd. (“GasLog LNG Services” or the “Manager”), a related party and a wholly owned subsidiary of GasLog, incorporated under the laws of the Bermuda, provides technical services to the Partnership.</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31, 2018, the companies listed below were 100% held by the Partnership:</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Place of</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Date of</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Cargo Capacity</w:t>
            </w:r>
          </w:p>
        </w:tc>
        <w:tc>
          <w:tcPr>
            <w:tcW w:w="1140" w:type="dxa"/>
            <w:vAlign w:val="bottom"/>
          </w:tcPr>
          <w:p>
            <w:pPr>
              <w:spacing w:after="0"/>
              <w:rPr>
                <w:sz w:val="14"/>
                <w:szCs w:val="14"/>
                <w:color w:val="auto"/>
              </w:rPr>
            </w:pPr>
          </w:p>
        </w:tc>
      </w:tr>
      <w:tr>
        <w:trPr>
          <w:trHeight w:val="16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incorporation</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incorporation</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Principal activities</w:t>
            </w:r>
          </w:p>
        </w:tc>
        <w:tc>
          <w:tcPr>
            <w:tcW w:w="2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6"/>
              </w:rPr>
              <w:t>Vessel</w:t>
            </w: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(cbm)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Delivery Date</w:t>
            </w:r>
          </w:p>
        </w:tc>
      </w:tr>
      <w:tr>
        <w:trPr>
          <w:trHeight w:val="142"/>
        </w:trPr>
        <w:tc>
          <w:tcPr>
            <w:tcW w:w="2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GAS-three Ltd.</w:t>
            </w:r>
          </w:p>
        </w:tc>
        <w:tc>
          <w:tcPr>
            <w:tcW w:w="2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4"/>
              </w:rPr>
              <w:t>Bermuda</w:t>
            </w:r>
          </w:p>
        </w:tc>
        <w:tc>
          <w:tcPr>
            <w:tcW w:w="2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April 2010</w:t>
            </w:r>
          </w:p>
        </w:tc>
        <w:tc>
          <w:tcPr>
            <w:tcW w:w="22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Vessel-owning company</w:t>
            </w:r>
          </w:p>
        </w:tc>
        <w:tc>
          <w:tcPr>
            <w:tcW w:w="20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i w:val="1"/>
                <w:iCs w:val="1"/>
                <w:color w:val="auto"/>
                <w:w w:val="87"/>
              </w:rPr>
              <w:t>GasLog Shanghai</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155,000</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4"/>
              </w:rPr>
              <w:t>January 2013</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April 2010</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86"/>
              </w:rPr>
              <w:t>GasLog Santiago</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2013</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GAS-five Ltd.</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February 2011</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i w:val="1"/>
                <w:iCs w:val="1"/>
                <w:color w:val="auto"/>
                <w:w w:val="84"/>
              </w:rPr>
              <w:t>GasLog Sydney</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May 2013</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March 2011</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84"/>
              </w:rPr>
              <w:t>GasLog Seattle</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GAS-eight Ltd.</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March 2011</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i w:val="1"/>
                <w:iCs w:val="1"/>
                <w:color w:val="auto"/>
                <w:w w:val="88"/>
              </w:rPr>
              <w:t>Solaris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2014</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6"/>
              </w:rPr>
              <w:t>December 2012</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86"/>
              </w:rPr>
              <w:t>GasLog Greece</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174,000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GAS-thirteen Ltd.</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July 2013</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i w:val="1"/>
                <w:iCs w:val="1"/>
                <w:color w:val="auto"/>
                <w:w w:val="84"/>
              </w:rPr>
              <w:t>GasLog Geneva</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2016</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January 2014</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i w:val="1"/>
                <w:iCs w:val="1"/>
                <w:color w:val="auto"/>
                <w:w w:val="87"/>
              </w:rPr>
              <w:t>Methane Rita Andrea</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2014</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GAS-seventeen Ltd.</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January 2014</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i w:val="1"/>
                <w:iCs w:val="1"/>
                <w:color w:val="auto"/>
                <w:w w:val="86"/>
              </w:rPr>
              <w:t>Methane Jane Elizabeth</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April 2014</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April 2014</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i w:val="1"/>
                <w:iCs w:val="1"/>
                <w:color w:val="auto"/>
                <w:w w:val="89"/>
              </w:rPr>
              <w:t>Methane Alison Victoria</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2"/>
              </w:rPr>
              <w:t>June 2014</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Ltd.</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April 2014</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i w:val="1"/>
                <w:iCs w:val="1"/>
                <w:color w:val="auto"/>
                <w:w w:val="87"/>
              </w:rPr>
              <w:t>Methane Shirley Elisabeth</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2"/>
              </w:rPr>
              <w:t>June 2014</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Bermuda</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April 2014</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Vessel-owning company</w:t>
            </w: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i w:val="1"/>
                <w:iCs w:val="1"/>
                <w:color w:val="auto"/>
                <w:w w:val="88"/>
              </w:rPr>
              <w:t>Methane Heather Sally</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145,000</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2"/>
              </w:rPr>
              <w:t>June 2014</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3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Marshall Islands</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April 2014</w:t>
            </w:r>
          </w:p>
        </w:tc>
        <w:tc>
          <w:tcPr>
            <w:tcW w:w="1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Holding company</w:t>
            </w:r>
          </w:p>
        </w:tc>
        <w:tc>
          <w:tcPr>
            <w:tcW w:w="20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20" w:firstLine="396"/>
        <w:spacing w:after="0" w:line="297"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 xml:space="preserve">Interim Financial Reporting </w:t>
      </w:r>
      <w:r>
        <w:rPr>
          <w:rFonts w:ascii="Arial" w:cs="Arial" w:eastAsia="Arial" w:hAnsi="Arial"/>
          <w:sz w:val="16"/>
          <w:szCs w:val="16"/>
          <w:color w:val="auto"/>
        </w:rPr>
        <w:t>as issued by the International Accounting Standards Board (“IASB”). Certain information and footnote disclosures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2017, filed on an Annual Report on Form 20-F with the Securities Exchange Commission on February 12, 2018.</w:t>
      </w:r>
    </w:p>
    <w:p>
      <w:pPr>
        <w:spacing w:after="0" w:line="158" w:lineRule="exact"/>
        <w:rPr>
          <w:sz w:val="20"/>
          <w:szCs w:val="20"/>
          <w:color w:val="auto"/>
        </w:rPr>
      </w:pPr>
    </w:p>
    <w:p>
      <w:pPr>
        <w:ind w:right="360" w:firstLine="396"/>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70" w:lineRule="exact"/>
        <w:rPr>
          <w:sz w:val="20"/>
          <w:szCs w:val="20"/>
          <w:color w:val="auto"/>
        </w:rPr>
      </w:pPr>
    </w:p>
    <w:p>
      <w:pPr>
        <w:ind w:right="160" w:firstLine="396"/>
        <w:spacing w:after="0" w:line="259" w:lineRule="auto"/>
        <w:rPr>
          <w:sz w:val="20"/>
          <w:szCs w:val="20"/>
          <w:color w:val="auto"/>
        </w:rPr>
      </w:pPr>
      <w:r>
        <w:rPr>
          <w:rFonts w:ascii="Arial" w:cs="Arial" w:eastAsia="Arial" w:hAnsi="Arial"/>
          <w:sz w:val="18"/>
          <w:szCs w:val="18"/>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2017. On April 26, 2018, the Partnership’s board of directors authorized the unaudited condensed consolidated financial statements for issuance.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96"/>
        <w:spacing w:after="0" w:line="277" w:lineRule="auto"/>
        <w:rPr>
          <w:sz w:val="20"/>
          <w:szCs w:val="20"/>
          <w:color w:val="auto"/>
        </w:rPr>
      </w:pPr>
      <w:r>
        <w:rPr>
          <w:rFonts w:ascii="Arial" w:cs="Arial" w:eastAsia="Arial" w:hAnsi="Arial"/>
          <w:sz w:val="18"/>
          <w:szCs w:val="18"/>
          <w:color w:val="auto"/>
        </w:rPr>
        <w:t>The critical accounting judgments and key sources of estimation uncertainty were disclosed in the Partnership’s annual consolidated financial statements for the year ended December 31, 2017 and remain unchanged.</w:t>
      </w:r>
    </w:p>
    <w:p>
      <w:pPr>
        <w:spacing w:after="0" w:line="170" w:lineRule="exact"/>
        <w:rPr>
          <w:sz w:val="20"/>
          <w:szCs w:val="20"/>
          <w:color w:val="auto"/>
        </w:rPr>
      </w:pPr>
    </w:p>
    <w:p>
      <w:pPr>
        <w:jc w:val="both"/>
        <w:ind w:right="80" w:firstLine="396"/>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81" w:lineRule="exact"/>
        <w:rPr>
          <w:sz w:val="20"/>
          <w:szCs w:val="20"/>
          <w:color w:val="auto"/>
        </w:rPr>
      </w:pPr>
    </w:p>
    <w:p>
      <w:pPr>
        <w:ind w:right="20" w:firstLine="396"/>
        <w:spacing w:after="0" w:line="302" w:lineRule="auto"/>
        <w:rPr>
          <w:sz w:val="20"/>
          <w:szCs w:val="20"/>
          <w:color w:val="auto"/>
        </w:rPr>
      </w:pPr>
      <w:r>
        <w:rPr>
          <w:rFonts w:ascii="Arial" w:cs="Arial" w:eastAsia="Arial" w:hAnsi="Arial"/>
          <w:sz w:val="16"/>
          <w:szCs w:val="16"/>
          <w:color w:val="auto"/>
        </w:rPr>
        <w:t>Management anticipates that the Partnership’s primary sources of funds will be available cash, cash from operations, borrowings under existing debt and equity financing.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acceptable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period:</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 xml:space="preserve">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IAS 11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t>
      </w:r>
      <w:r>
        <w:rPr>
          <w:rFonts w:ascii="Arial" w:cs="Arial" w:eastAsia="Arial" w:hAnsi="Arial"/>
          <w:sz w:val="18"/>
          <w:szCs w:val="18"/>
          <w:color w:val="auto"/>
        </w:rPr>
        <w:t>and a number of revenue-related interpretations. The standard was effective for annual periods beginning on or after January 1, 2018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by the Partnership using the modified retrospective approach. However, the standard only had a disclosure impact on the Partnership’s financial statements (Note 15).</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Partnership assessed that under the time charter agreements, the hire rate per the charter agreement has two components: the lease component and the service component relating to the vessel operating costs. The revenue in relation to the lease component of the agreements, will be accounted for under the leases standard. The vessel operating expenses include expenses such as management fees, crew wages, provisions and stores, technical maintenance and insurance expenses that are paid by the vessel owner. These costs are essential to operating a charter and therefore, the charterers receive the benefit of these when the vessel is used during the contracted time and will be accounted for in accordance with the requirements of IFRS 15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no revenue disaggregation disclosure was considered necessary since revenues under time charter agreements are similar in nature.</w:t>
      </w:r>
    </w:p>
    <w:p>
      <w:pPr>
        <w:sectPr>
          <w:pgSz w:w="11900" w:h="16838" w:orient="portrait"/>
          <w:cols w:equalWidth="0" w:num="1">
            <w:col w:w="11420"/>
          </w:cols>
          <w:pgMar w:left="240" w:top="125" w:right="239" w:bottom="30" w:gutter="0" w:footer="0" w:header="0"/>
        </w:sectPr>
      </w:pPr>
    </w:p>
    <w:bookmarkStart w:id="22" w:name="page23"/>
    <w:bookmarkEnd w:id="22"/>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July 2014, the IASB issued the complete version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which was effective for annual periods beginning on or after January 1, 2018, did not have an impact on the Partnership’s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the date of authorization of these unaudited condensed consolidated financial statements, the following standard relevant to the Partnership was in issue but not yet effective:</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twelve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has elected not to early adopt, and it anticipates that the implementation of this standard will not have a material impact on the Partnership’s financial statements, since the changes for lessors are fairly minor.</w:t>
      </w:r>
    </w:p>
    <w:p>
      <w:pPr>
        <w:spacing w:after="0" w:line="182" w:lineRule="exact"/>
        <w:rPr>
          <w:sz w:val="20"/>
          <w:szCs w:val="20"/>
          <w:color w:val="auto"/>
        </w:rPr>
      </w:pPr>
    </w:p>
    <w:p>
      <w:pPr>
        <w:ind w:right="760" w:firstLine="356"/>
        <w:spacing w:after="0" w:line="277"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on the Partnership’s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right="580" w:firstLine="383"/>
        <w:spacing w:after="0" w:line="277" w:lineRule="auto"/>
        <w:rPr>
          <w:sz w:val="20"/>
          <w:szCs w:val="20"/>
          <w:color w:val="auto"/>
        </w:rPr>
      </w:pPr>
      <w:r>
        <w:rPr>
          <w:rFonts w:ascii="Arial" w:cs="Arial" w:eastAsia="Arial" w:hAnsi="Arial"/>
          <w:sz w:val="18"/>
          <w:szCs w:val="18"/>
          <w:color w:val="auto"/>
        </w:rPr>
        <w:t>The Partnership has the following balances with related parties, which have been included in the unaudited condensed consolidated statements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Due from GasLog LNG Services </w:t>
            </w:r>
            <w:r>
              <w:rPr>
                <w:rFonts w:ascii="Arial" w:cs="Arial" w:eastAsia="Arial" w:hAnsi="Arial"/>
                <w:sz w:val="23"/>
                <w:szCs w:val="23"/>
                <w:color w:val="auto"/>
                <w:vertAlign w:val="superscript"/>
              </w:rPr>
              <w:t>(a)</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3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vMerge w:val="continue"/>
          </w:tcPr>
          <w:p>
            <w:pPr>
              <w:spacing w:after="0"/>
              <w:rPr>
                <w:sz w:val="24"/>
                <w:szCs w:val="24"/>
                <w:color w:val="auto"/>
              </w:rPr>
            </w:pPr>
          </w:p>
        </w:tc>
        <w:tc>
          <w:tcPr>
            <w:tcW w:w="1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49"/>
        </w:trPr>
        <w:tc>
          <w:tcPr>
            <w:tcW w:w="80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Due to GasLog LNG Services </w:t>
            </w:r>
            <w:r>
              <w:rPr>
                <w:rFonts w:ascii="Arial" w:cs="Arial" w:eastAsia="Arial" w:hAnsi="Arial"/>
                <w:sz w:val="23"/>
                <w:szCs w:val="23"/>
                <w:color w:val="auto"/>
                <w:vertAlign w:val="superscript"/>
              </w:rPr>
              <w:t>(a)</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line="216" w:lineRule="exact"/>
              <w:rPr>
                <w:sz w:val="20"/>
                <w:szCs w:val="20"/>
                <w:color w:val="auto"/>
              </w:rPr>
            </w:pPr>
            <w:r>
              <w:rPr>
                <w:rFonts w:ascii="Arial" w:cs="Arial" w:eastAsia="Arial" w:hAnsi="Arial"/>
                <w:sz w:val="18"/>
                <w:szCs w:val="18"/>
                <w:color w:val="auto"/>
              </w:rPr>
              <w:t xml:space="preserve">Due to GasLog </w:t>
            </w:r>
            <w:r>
              <w:rPr>
                <w:rFonts w:ascii="Arial" w:cs="Arial" w:eastAsia="Arial" w:hAnsi="Arial"/>
                <w:sz w:val="23"/>
                <w:szCs w:val="23"/>
                <w:color w:val="auto"/>
                <w:vertAlign w:val="superscript"/>
              </w:rPr>
              <w:t>(b)</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60" w:right="20" w:hanging="328"/>
        <w:spacing w:after="0" w:line="218" w:lineRule="auto"/>
        <w:tabs>
          <w:tab w:leader="none" w:pos="655"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The balance as of December 31, 2017 represented mainly net amounts advanced to the Manager to cover future operating expenses of the Partnership. The balance as of March 31, 2018 represents mainly payments made by the Manager on behalf of the Partnership.</w:t>
      </w:r>
    </w:p>
    <w:p>
      <w:pPr>
        <w:spacing w:after="0" w:line="1" w:lineRule="exact"/>
        <w:rPr>
          <w:rFonts w:ascii="Arial" w:cs="Arial" w:eastAsia="Arial" w:hAnsi="Arial"/>
          <w:sz w:val="23"/>
          <w:szCs w:val="23"/>
          <w:color w:val="auto"/>
          <w:vertAlign w:val="superscript"/>
        </w:rPr>
      </w:pPr>
    </w:p>
    <w:p>
      <w:pPr>
        <w:ind w:left="640" w:hanging="308"/>
        <w:spacing w:after="0" w:line="183" w:lineRule="auto"/>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6"/>
          <w:szCs w:val="16"/>
          <w:color w:val="auto"/>
        </w:rPr>
        <w:t>The balances represent mainly payments made by GasLog on behalf of the Partnership.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due to related parties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facility with GasLog</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45,000</w:t>
            </w:r>
          </w:p>
        </w:tc>
        <w:tc>
          <w:tcPr>
            <w:tcW w:w="3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Arial" w:cs="Arial" w:eastAsia="Arial" w:hAnsi="Arial"/>
                <w:sz w:val="18"/>
                <w:szCs w:val="18"/>
                <w:b w:val="1"/>
                <w:bCs w:val="1"/>
                <w:color w:val="auto"/>
                <w:w w:val="88"/>
              </w:rPr>
              <w:t>—</w:t>
            </w:r>
          </w:p>
        </w:tc>
        <w:tc>
          <w:tcPr>
            <w:tcW w:w="100" w:type="dxa"/>
            <w:vAlign w:val="bottom"/>
            <w:gridSpan w:val="2"/>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April 3, 2017, GasLog Partners entered into a new unsecured five-year term loan of $45,000 and a new five-year revolving credit facility of $30,000 with GasLog (together, the “Sponsor Credit Facility”), to be used for general partnership purposes.</w:t>
      </w:r>
    </w:p>
    <w:p>
      <w:pPr>
        <w:spacing w:after="0" w:line="170"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On April 5, 2017, an amount of $45,000 under the term loan facility and an amount of $15,000 under the revolving credit facility were drawn by the Partnership, with the latter fully repaid on May 22, 2017. On March 23, 2018, the remaining $45,000, which was due in March 2022, was prepaid and the respective term loan facility was terminated.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the amount outstanding under the revolving credit facility described above was nil (December 31, 2017: nil).</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Partnership had the following transactions with related parties, which have been included in the unaudited condensed consolidated statements of profit or loss for the three months ended March 31, 2017 and 2018:</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25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Details</w:t>
            </w:r>
          </w:p>
        </w:tc>
        <w:tc>
          <w:tcPr>
            <w:tcW w:w="220" w:type="dxa"/>
            <w:vAlign w:val="bottom"/>
          </w:tcPr>
          <w:p>
            <w:pPr>
              <w:spacing w:after="0"/>
              <w:rPr>
                <w:sz w:val="14"/>
                <w:szCs w:val="14"/>
                <w:color w:val="auto"/>
              </w:rPr>
            </w:pPr>
          </w:p>
        </w:tc>
        <w:tc>
          <w:tcPr>
            <w:tcW w:w="296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Account</w:t>
            </w:r>
          </w:p>
        </w:tc>
        <w:tc>
          <w:tcPr>
            <w:tcW w:w="28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4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March 31, 2017</w:t>
            </w:r>
          </w:p>
        </w:tc>
        <w:tc>
          <w:tcPr>
            <w:tcW w:w="12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GasLog</w:t>
            </w:r>
          </w:p>
        </w:tc>
        <w:tc>
          <w:tcPr>
            <w:tcW w:w="2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6"/>
                <w:szCs w:val="16"/>
                <w:color w:val="auto"/>
              </w:rPr>
              <w:t>Commercial management fee</w:t>
            </w:r>
            <w:r>
              <w:rPr>
                <w:rFonts w:ascii="Arial" w:cs="Arial" w:eastAsia="Arial" w:hAnsi="Arial"/>
                <w:sz w:val="21"/>
                <w:szCs w:val="21"/>
                <w:color w:val="auto"/>
                <w:vertAlign w:val="superscript"/>
              </w:rPr>
              <w:t>(i)</w:t>
            </w:r>
          </w:p>
        </w:tc>
        <w:tc>
          <w:tcPr>
            <w:tcW w:w="22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GasLog</w:t>
            </w:r>
          </w:p>
        </w:tc>
        <w:tc>
          <w:tcPr>
            <w:tcW w:w="2720" w:type="dxa"/>
            <w:vAlign w:val="bottom"/>
            <w:gridSpan w:val="2"/>
          </w:tcPr>
          <w:p>
            <w:pPr>
              <w:ind w:left="220"/>
              <w:spacing w:after="0" w:line="203" w:lineRule="exact"/>
              <w:rPr>
                <w:sz w:val="20"/>
                <w:szCs w:val="20"/>
                <w:color w:val="auto"/>
              </w:rPr>
            </w:pPr>
            <w:r>
              <w:rPr>
                <w:rFonts w:ascii="Arial" w:cs="Arial" w:eastAsia="Arial" w:hAnsi="Arial"/>
                <w:sz w:val="16"/>
                <w:szCs w:val="16"/>
                <w:color w:val="auto"/>
              </w:rPr>
              <w:t>Administrative services fee</w:t>
            </w:r>
            <w:r>
              <w:rPr>
                <w:rFonts w:ascii="Arial" w:cs="Arial" w:eastAsia="Arial" w:hAnsi="Arial"/>
                <w:sz w:val="21"/>
                <w:szCs w:val="21"/>
                <w:color w:val="auto"/>
                <w:vertAlign w:val="superscript"/>
              </w:rPr>
              <w:t>(ii)</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General and administrative expenses</w:t>
            </w:r>
          </w:p>
        </w:tc>
        <w:tc>
          <w:tcPr>
            <w:tcW w:w="1260" w:type="dxa"/>
            <w:vAlign w:val="bottom"/>
          </w:tcPr>
          <w:p>
            <w:pPr>
              <w:jc w:val="right"/>
              <w:spacing w:after="0"/>
              <w:rPr>
                <w:sz w:val="20"/>
                <w:szCs w:val="20"/>
                <w:color w:val="auto"/>
              </w:rPr>
            </w:pPr>
            <w:r>
              <w:rPr>
                <w:rFonts w:ascii="Arial" w:cs="Arial" w:eastAsia="Arial" w:hAnsi="Arial"/>
                <w:sz w:val="16"/>
                <w:szCs w:val="16"/>
                <w:color w:val="auto"/>
              </w:rPr>
              <w:t>1,423</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GasLog LNG Services</w:t>
            </w:r>
          </w:p>
        </w:tc>
        <w:tc>
          <w:tcPr>
            <w:tcW w:w="272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(iii)</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Vessel operating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GasLog LNG Services</w:t>
            </w:r>
          </w:p>
        </w:tc>
        <w:tc>
          <w:tcPr>
            <w:tcW w:w="2720" w:type="dxa"/>
            <w:vAlign w:val="bottom"/>
            <w:gridSpan w:val="2"/>
          </w:tcPr>
          <w:p>
            <w:pPr>
              <w:ind w:left="220"/>
              <w:spacing w:after="0"/>
              <w:rPr>
                <w:sz w:val="20"/>
                <w:szCs w:val="20"/>
                <w:color w:val="auto"/>
              </w:rPr>
            </w:pPr>
            <w:r>
              <w:rPr>
                <w:rFonts w:ascii="Arial" w:cs="Arial" w:eastAsia="Arial" w:hAnsi="Arial"/>
                <w:sz w:val="16"/>
                <w:szCs w:val="16"/>
                <w:color w:val="auto"/>
              </w:rPr>
              <w:t>Other vessel operating costs</w:t>
            </w:r>
          </w:p>
        </w:tc>
        <w:tc>
          <w:tcPr>
            <w:tcW w:w="3180" w:type="dxa"/>
            <w:vAlign w:val="bottom"/>
            <w:gridSpan w:val="3"/>
          </w:tcPr>
          <w:p>
            <w:pPr>
              <w:ind w:left="220"/>
              <w:spacing w:after="0"/>
              <w:rPr>
                <w:sz w:val="20"/>
                <w:szCs w:val="20"/>
                <w:color w:val="auto"/>
              </w:rPr>
            </w:pPr>
            <w:r>
              <w:rPr>
                <w:rFonts w:ascii="Arial" w:cs="Arial" w:eastAsia="Arial" w:hAnsi="Arial"/>
                <w:sz w:val="16"/>
                <w:szCs w:val="16"/>
                <w:color w:val="auto"/>
              </w:rPr>
              <w:t>Vessel operating costs</w:t>
            </w: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GasLog</w:t>
            </w: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0"/>
              </w:rPr>
              <w:t>Interest expense under Sponsor Credit</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Financial costs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53"/>
        </w:trPr>
        <w:tc>
          <w:tcPr>
            <w:tcW w:w="1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300" w:type="dxa"/>
            <w:vAlign w:val="bottom"/>
            <w:shd w:val="clear" w:color="auto" w:fill="CCEEFF"/>
          </w:tcPr>
          <w:p>
            <w:pPr>
              <w:spacing w:after="0"/>
              <w:rPr>
                <w:sz w:val="17"/>
                <w:szCs w:val="17"/>
                <w:color w:val="auto"/>
              </w:rPr>
            </w:pPr>
          </w:p>
        </w:tc>
        <w:tc>
          <w:tcPr>
            <w:tcW w:w="3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Facility</w:t>
            </w:r>
          </w:p>
        </w:tc>
        <w:tc>
          <w:tcPr>
            <w:tcW w:w="3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3"/>
        </w:trPr>
        <w:tc>
          <w:tcPr>
            <w:tcW w:w="1300" w:type="dxa"/>
            <w:vAlign w:val="bottom"/>
          </w:tcPr>
          <w:p>
            <w:pPr>
              <w:spacing w:after="0"/>
              <w:rPr>
                <w:sz w:val="20"/>
                <w:szCs w:val="20"/>
                <w:color w:val="auto"/>
              </w:rPr>
            </w:pPr>
            <w:r>
              <w:rPr>
                <w:rFonts w:ascii="Arial" w:cs="Arial" w:eastAsia="Arial" w:hAnsi="Arial"/>
                <w:sz w:val="16"/>
                <w:szCs w:val="16"/>
                <w:color w:val="auto"/>
              </w:rPr>
              <w:t>GasLog</w:t>
            </w:r>
          </w:p>
        </w:tc>
        <w:tc>
          <w:tcPr>
            <w:tcW w:w="3180" w:type="dxa"/>
            <w:vAlign w:val="bottom"/>
          </w:tcPr>
          <w:p>
            <w:pPr>
              <w:ind w:left="780"/>
              <w:spacing w:after="0"/>
              <w:rPr>
                <w:sz w:val="20"/>
                <w:szCs w:val="20"/>
                <w:color w:val="auto"/>
              </w:rPr>
            </w:pPr>
            <w:r>
              <w:rPr>
                <w:rFonts w:ascii="Arial" w:cs="Arial" w:eastAsia="Arial" w:hAnsi="Arial"/>
                <w:sz w:val="16"/>
                <w:szCs w:val="16"/>
                <w:color w:val="auto"/>
              </w:rPr>
              <w:t>Commitment fee under Sponsor</w:t>
            </w:r>
          </w:p>
        </w:tc>
        <w:tc>
          <w:tcPr>
            <w:tcW w:w="3180" w:type="dxa"/>
            <w:vAlign w:val="bottom"/>
          </w:tcPr>
          <w:p>
            <w:pPr>
              <w:ind w:left="320"/>
              <w:spacing w:after="0"/>
              <w:rPr>
                <w:sz w:val="20"/>
                <w:szCs w:val="20"/>
                <w:color w:val="auto"/>
              </w:rPr>
            </w:pPr>
            <w:r>
              <w:rPr>
                <w:rFonts w:ascii="Arial" w:cs="Arial" w:eastAsia="Arial" w:hAnsi="Arial"/>
                <w:sz w:val="16"/>
                <w:szCs w:val="16"/>
                <w:color w:val="auto"/>
              </w:rPr>
              <w:t>Financial costs</w:t>
            </w:r>
          </w:p>
        </w:tc>
        <w:tc>
          <w:tcPr>
            <w:tcW w:w="2000" w:type="dxa"/>
            <w:vAlign w:val="bottom"/>
          </w:tcPr>
          <w:p>
            <w:pPr>
              <w:jc w:val="right"/>
              <w:ind w:right="559"/>
              <w:spacing w:after="0"/>
              <w:rPr>
                <w:sz w:val="20"/>
                <w:szCs w:val="20"/>
                <w:color w:val="auto"/>
              </w:rPr>
            </w:pPr>
            <w:r>
              <w:rPr>
                <w:rFonts w:ascii="Arial" w:cs="Arial" w:eastAsia="Arial" w:hAnsi="Arial"/>
                <w:sz w:val="16"/>
                <w:szCs w:val="16"/>
                <w:color w:val="auto"/>
              </w:rPr>
              <w:t>180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209"/>
        </w:trPr>
        <w:tc>
          <w:tcPr>
            <w:tcW w:w="1300" w:type="dxa"/>
            <w:vAlign w:val="bottom"/>
          </w:tcPr>
          <w:p>
            <w:pPr>
              <w:spacing w:after="0"/>
              <w:rPr>
                <w:sz w:val="18"/>
                <w:szCs w:val="18"/>
                <w:color w:val="auto"/>
              </w:rPr>
            </w:pPr>
          </w:p>
        </w:tc>
        <w:tc>
          <w:tcPr>
            <w:tcW w:w="3180" w:type="dxa"/>
            <w:vAlign w:val="bottom"/>
          </w:tcPr>
          <w:p>
            <w:pPr>
              <w:ind w:left="780"/>
              <w:spacing w:after="0"/>
              <w:rPr>
                <w:sz w:val="20"/>
                <w:szCs w:val="20"/>
                <w:color w:val="auto"/>
              </w:rPr>
            </w:pPr>
            <w:r>
              <w:rPr>
                <w:rFonts w:ascii="Arial" w:cs="Arial" w:eastAsia="Arial" w:hAnsi="Arial"/>
                <w:sz w:val="16"/>
                <w:szCs w:val="16"/>
                <w:color w:val="auto"/>
              </w:rPr>
              <w:t>Credit Facility</w:t>
            </w:r>
          </w:p>
        </w:tc>
        <w:tc>
          <w:tcPr>
            <w:tcW w:w="3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6"/>
        </w:trPr>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GasLog</w:t>
            </w:r>
          </w:p>
        </w:tc>
        <w:tc>
          <w:tcPr>
            <w:tcW w:w="3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Interest on swaps (Note 10)</w:t>
            </w:r>
          </w:p>
        </w:tc>
        <w:tc>
          <w:tcPr>
            <w:tcW w:w="3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interest rate swaps</w:t>
            </w:r>
          </w:p>
        </w:tc>
        <w:tc>
          <w:tcPr>
            <w:tcW w:w="20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625</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5" w:lineRule="exact"/>
        <w:rPr>
          <w:sz w:val="20"/>
          <w:szCs w:val="20"/>
          <w:color w:val="auto"/>
        </w:rPr>
      </w:pPr>
    </w:p>
    <w:p>
      <w:pPr>
        <w:ind w:left="320" w:hanging="18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b w:val="1"/>
          <w:bCs w:val="1"/>
          <w:i w:val="1"/>
          <w:iCs w:val="1"/>
          <w:color w:val="auto"/>
        </w:rPr>
        <w:t>Commercial Management Agreements</w:t>
      </w:r>
    </w:p>
    <w:p>
      <w:pPr>
        <w:spacing w:after="0" w:line="182" w:lineRule="exact"/>
        <w:rPr>
          <w:rFonts w:ascii="Arial" w:cs="Arial" w:eastAsia="Arial" w:hAnsi="Arial"/>
          <w:sz w:val="23"/>
          <w:szCs w:val="23"/>
          <w:color w:val="auto"/>
          <w:vertAlign w:val="superscript"/>
        </w:rPr>
      </w:pPr>
    </w:p>
    <w:p>
      <w:pPr>
        <w:ind w:left="340" w:right="140"/>
        <w:spacing w:after="0" w:line="229" w:lineRule="auto"/>
        <w:rPr>
          <w:rFonts w:ascii="Arial" w:cs="Arial" w:eastAsia="Arial" w:hAnsi="Arial"/>
          <w:sz w:val="23"/>
          <w:szCs w:val="23"/>
          <w:color w:val="auto"/>
          <w:vertAlign w:val="superscript"/>
        </w:rPr>
      </w:pPr>
      <w:r>
        <w:rPr>
          <w:rFonts w:ascii="Arial" w:cs="Arial" w:eastAsia="Arial" w:hAnsi="Arial"/>
          <w:sz w:val="14"/>
          <w:szCs w:val="14"/>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18" w:lineRule="exact"/>
        <w:rPr>
          <w:rFonts w:ascii="Arial" w:cs="Arial" w:eastAsia="Arial" w:hAnsi="Arial"/>
          <w:sz w:val="23"/>
          <w:szCs w:val="23"/>
          <w:color w:val="auto"/>
          <w:vertAlign w:val="superscript"/>
        </w:rPr>
      </w:pPr>
    </w:p>
    <w:p>
      <w:pPr>
        <w:ind w:left="340" w:right="100"/>
        <w:spacing w:after="0" w:line="231" w:lineRule="auto"/>
        <w:rPr>
          <w:rFonts w:ascii="Arial" w:cs="Arial" w:eastAsia="Arial" w:hAnsi="Arial"/>
          <w:sz w:val="23"/>
          <w:szCs w:val="23"/>
          <w:color w:val="auto"/>
          <w:vertAlign w:val="superscript"/>
        </w:rPr>
      </w:pPr>
      <w:r>
        <w:rPr>
          <w:rFonts w:ascii="Arial" w:cs="Arial" w:eastAsia="Arial" w:hAnsi="Arial"/>
          <w:sz w:val="14"/>
          <w:szCs w:val="14"/>
          <w:color w:val="auto"/>
        </w:rPr>
        <w:t xml:space="preserve">The same provisions are included in the commercial management agreements that GAS-eleven Ltd., GAS-thirteen Ltd., GAS-sixteen Ltd., GAS-seventeen Ltd., GAS-nineteen Ltd., GAS-twenty Ltd. and GAS-twenty one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respectively, into GasLog’s fleet in March 2016, September 2016, April 2014 and June 2014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Amended Commercial Management Agreements and the commercial management agreements entered into by GAS-seven Ltd. and GAS-eight Ltd. with GasLog, the “Commercial Management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hanging="162"/>
        <w:spacing w:after="0"/>
        <w:tabs>
          <w:tab w:leader="none" w:pos="30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b w:val="1"/>
          <w:bCs w:val="1"/>
          <w:i w:val="1"/>
          <w:iCs w:val="1"/>
          <w:color w:val="auto"/>
        </w:rPr>
        <w:t>Administrative Services Agreement</w:t>
      </w:r>
    </w:p>
    <w:p>
      <w:pPr>
        <w:spacing w:after="0" w:line="115" w:lineRule="exact"/>
        <w:rPr>
          <w:sz w:val="20"/>
          <w:szCs w:val="20"/>
          <w:color w:val="auto"/>
        </w:rPr>
      </w:pPr>
    </w:p>
    <w:p>
      <w:pPr>
        <w:ind w:left="340" w:right="140"/>
        <w:spacing w:after="0" w:line="228" w:lineRule="auto"/>
        <w:rPr>
          <w:sz w:val="20"/>
          <w:szCs w:val="20"/>
          <w:color w:val="auto"/>
        </w:rPr>
      </w:pPr>
      <w:r>
        <w:rPr>
          <w:rFonts w:ascii="Arial" w:cs="Arial" w:eastAsia="Arial" w:hAnsi="Arial"/>
          <w:sz w:val="14"/>
          <w:szCs w:val="14"/>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On November 16, 2016, the board of directors approved an increase in the service fee payable to GasLog under the terms of the Administrative Services Agreement to $632 per vessel per year with effect from January 1, 2017. With effect from January 1, 2018, the service fee increased to $812 per vessel per year.</w:t>
      </w:r>
    </w:p>
    <w:p>
      <w:pPr>
        <w:spacing w:after="0" w:line="47" w:lineRule="exact"/>
        <w:rPr>
          <w:sz w:val="20"/>
          <w:szCs w:val="20"/>
          <w:color w:val="auto"/>
        </w:rPr>
      </w:pPr>
    </w:p>
    <w:p>
      <w:pPr>
        <w:ind w:left="340" w:hanging="202"/>
        <w:spacing w:after="0"/>
        <w:tabs>
          <w:tab w:leader="none" w:pos="340" w:val="left"/>
        </w:tabs>
        <w:numPr>
          <w:ilvl w:val="1"/>
          <w:numId w:val="20"/>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Ship Management Agreements</w:t>
      </w:r>
    </w:p>
    <w:p>
      <w:pPr>
        <w:spacing w:after="0" w:line="114" w:lineRule="exact"/>
        <w:rPr>
          <w:rFonts w:ascii="Arial" w:cs="Arial" w:eastAsia="Arial" w:hAnsi="Arial"/>
          <w:sz w:val="22"/>
          <w:szCs w:val="22"/>
          <w:color w:val="auto"/>
          <w:vertAlign w:val="superscript"/>
        </w:rPr>
      </w:pPr>
    </w:p>
    <w:p>
      <w:pPr>
        <w:ind w:left="340"/>
        <w:spacing w:after="0"/>
        <w:rPr>
          <w:rFonts w:ascii="Arial" w:cs="Arial" w:eastAsia="Arial" w:hAnsi="Arial"/>
          <w:sz w:val="22"/>
          <w:szCs w:val="22"/>
          <w:color w:val="auto"/>
          <w:vertAlign w:val="superscript"/>
        </w:rPr>
      </w:pPr>
      <w:r>
        <w:rPr>
          <w:rFonts w:ascii="Arial" w:cs="Arial" w:eastAsia="Arial" w:hAnsi="Arial"/>
          <w:sz w:val="13"/>
          <w:szCs w:val="13"/>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and GAS-twenty one Ltd. entered into with the Manager upon the deliveries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Alison Victoria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respectively, into GasLog’s fleet in</w:t>
      </w:r>
    </w:p>
    <w:p>
      <w:pPr>
        <w:spacing w:after="0" w:line="4" w:lineRule="exact"/>
        <w:rPr>
          <w:rFonts w:ascii="Arial" w:cs="Arial" w:eastAsia="Arial" w:hAnsi="Arial"/>
          <w:sz w:val="22"/>
          <w:szCs w:val="22"/>
          <w:color w:val="auto"/>
          <w:vertAlign w:val="superscript"/>
        </w:rPr>
      </w:pPr>
    </w:p>
    <w:p>
      <w:pPr>
        <w:ind w:left="340"/>
        <w:spacing w:after="0" w:line="226" w:lineRule="auto"/>
        <w:rPr>
          <w:rFonts w:ascii="Arial" w:cs="Arial" w:eastAsia="Arial" w:hAnsi="Arial"/>
          <w:sz w:val="22"/>
          <w:szCs w:val="22"/>
          <w:color w:val="auto"/>
          <w:vertAlign w:val="superscript"/>
        </w:rPr>
      </w:pPr>
      <w:r>
        <w:rPr>
          <w:rFonts w:ascii="Arial" w:cs="Arial" w:eastAsia="Arial" w:hAnsi="Arial"/>
          <w:sz w:val="14"/>
          <w:szCs w:val="14"/>
          <w:color w:val="auto"/>
        </w:rPr>
        <w:t xml:space="preserve">April 2014 and June 2014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and GAS-thirteen Ltd. had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in March 2016 and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in September 2016, respectively (with a fixed monthly charge of $46).</w:t>
      </w:r>
    </w:p>
    <w:p>
      <w:pPr>
        <w:spacing w:after="0" w:line="186"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Vessels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The movement in vessels is reported in the following table: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Vessels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Cost</w:t>
            </w:r>
          </w:p>
        </w:tc>
        <w:tc>
          <w:tcPr>
            <w:tcW w:w="99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of January 1, 2018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2,186,627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Fully amortized dry-docking component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As of January 1, 2018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Fully amortized dry-docking component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1,953,057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1,943,426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vessels have been pledged as collateral under the terms of the Partnership’s bank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Partners’ Equity</w:t>
      </w:r>
    </w:p>
    <w:p>
      <w:pPr>
        <w:spacing w:after="0" w:line="229"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at a price to the public of $25.00 per preference unit. The net proceeds from the offering, after deducting underwriting discounts, commissions and other offering expenses, were $111,155. The Series B Preference Units are listed on the New York Stock Exchange under the symbol “GLOP PR B”. The initial distribution on the Series B Preference Units was paid on March 15, 2018 (Note 12). The Series B Preference Units issued have been accounted for as equity instruments based on certain characteristics such as the discretion held by our board of directors over distributions, which can be deferred and accumulated, as well as the redemption rights held only by the Partnership. The Series B Preference Units have preference upon liquidation and the holders would receive $25.00 per unit plus any accumulated and unpaid distributions.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6. Borrowings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7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(4,551)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(4,443)</w:t>
            </w: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Borrowings — current portion</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103,829</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1,064,893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990,720</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(13,126)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(11,075)</w:t>
            </w:r>
          </w:p>
        </w:tc>
      </w:tr>
      <w:tr>
        <w:trPr>
          <w:trHeight w:val="210"/>
        </w:trPr>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Borrowings — non-current portion</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1,051,767</w:t>
            </w:r>
          </w:p>
        </w:tc>
        <w:tc>
          <w:tcPr>
            <w:tcW w:w="3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979,645</w:t>
            </w:r>
          </w:p>
        </w:tc>
        <w:tc>
          <w:tcPr>
            <w:tcW w:w="100" w:type="dxa"/>
            <w:vAlign w:val="bottom"/>
            <w:tcBorders>
              <w:bottom w:val="single" w:sz="8" w:color="CCEEFF"/>
            </w:tcBorders>
          </w:tcPr>
          <w:p>
            <w:pPr>
              <w:spacing w:after="0"/>
              <w:rPr>
                <w:sz w:val="18"/>
                <w:szCs w:val="18"/>
                <w:color w:val="auto"/>
              </w:rPr>
            </w:pP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1,155,596</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1,053,833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main terms of the bank loan facilities and the Sponsor Credit Facility have been disclosed in the annual consolidated financial statements for the year ended December 31, 2017. Refer to Note 6 “Borrowings”.</w:t>
      </w:r>
    </w:p>
    <w:p>
      <w:pPr>
        <w:spacing w:after="0" w:line="17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January 5, 2018, the Partnership prepaid $29,750 of the outstanding debt of GAS-nineteen Ltd., GAS-twenty Ltd. and GAS-twenty one Ltd., which would have been originally due in April 2018.</w:t>
      </w:r>
    </w:p>
    <w:p>
      <w:pPr>
        <w:spacing w:after="0" w:line="170"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On March 23, 2018, the outstanding amount of $45,000 under the Sponsor Credit Facility was prepaid. On the same date, the term loan facility was terminated and the respective unamortized loan fees of $900 were written-off to profit or loss. As of March 31, 2018 and December 31, 2017, no amounts were outstanding under the revolving credit facility.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GasLog Partners was in compliance with its financial covenants as of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Payables and Accruals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4300" w:type="dxa"/>
            <w:vAlign w:val="bottom"/>
            <w:gridSpan w:val="3"/>
          </w:tcPr>
          <w:p>
            <w:pPr>
              <w:jc w:val="center"/>
              <w:ind w:left="329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3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4640" w:type="dxa"/>
            <w:vAlign w:val="bottom"/>
            <w:gridSpan w:val="5"/>
          </w:tcPr>
          <w:p>
            <w:pPr>
              <w:jc w:val="right"/>
              <w:ind w:right="22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crew costs</w:t>
            </w:r>
          </w:p>
        </w:tc>
        <w:tc>
          <w:tcPr>
            <w:tcW w:w="4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off-hire</w:t>
            </w:r>
          </w:p>
        </w:tc>
        <w:tc>
          <w:tcPr>
            <w:tcW w:w="4640" w:type="dxa"/>
            <w:vAlign w:val="bottom"/>
            <w:gridSpan w:val="5"/>
          </w:tcPr>
          <w:p>
            <w:pPr>
              <w:jc w:val="right"/>
              <w:ind w:right="220"/>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4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interest</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11,465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board of directors’ fees</w:t>
            </w:r>
          </w:p>
        </w:tc>
        <w:tc>
          <w:tcPr>
            <w:tcW w:w="4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cash distributions</w:t>
            </w:r>
          </w:p>
        </w:tc>
        <w:tc>
          <w:tcPr>
            <w:tcW w:w="4640" w:type="dxa"/>
            <w:vAlign w:val="bottom"/>
            <w:gridSpan w:val="5"/>
          </w:tcPr>
          <w:p>
            <w:pPr>
              <w:jc w:val="right"/>
              <w:ind w:right="2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4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8. General and Administrative Expenses</w:t>
            </w: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tcPr>
          <w:p>
            <w:pPr>
              <w:ind w:left="340"/>
              <w:spacing w:after="0"/>
              <w:rPr>
                <w:sz w:val="20"/>
                <w:szCs w:val="20"/>
                <w:color w:val="auto"/>
              </w:rPr>
            </w:pPr>
            <w:r>
              <w:rPr>
                <w:rFonts w:ascii="Arial" w:cs="Arial" w:eastAsia="Arial" w:hAnsi="Arial"/>
                <w:sz w:val="18"/>
                <w:szCs w:val="18"/>
                <w:color w:val="auto"/>
                <w:w w:val="97"/>
              </w:rPr>
              <w:t>An analysis of general and administrative expenses is as follows:</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720" w:type="dxa"/>
            <w:vAlign w:val="bottom"/>
            <w:tcBorders>
              <w:top w:val="single" w:sz="8" w:color="auto"/>
            </w:tcBorders>
            <w:gridSpan w:val="5"/>
          </w:tcPr>
          <w:p>
            <w:pPr>
              <w:ind w:left="160"/>
              <w:spacing w:after="0" w:line="142" w:lineRule="exact"/>
              <w:rPr>
                <w:sz w:val="20"/>
                <w:szCs w:val="20"/>
                <w:color w:val="auto"/>
              </w:rPr>
            </w:pPr>
            <w:r>
              <w:rPr>
                <w:rFonts w:ascii="Arial" w:cs="Arial" w:eastAsia="Arial" w:hAnsi="Arial"/>
                <w:sz w:val="14"/>
                <w:szCs w:val="14"/>
                <w:b w:val="1"/>
                <w:bCs w:val="1"/>
                <w:color w:val="auto"/>
              </w:rPr>
              <w:t>March 31, 2017</w:t>
            </w:r>
          </w:p>
        </w:tc>
        <w:tc>
          <w:tcPr>
            <w:tcW w:w="11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March 31, 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 fees</w:t>
            </w:r>
          </w:p>
        </w:tc>
        <w:tc>
          <w:tcPr>
            <w:tcW w:w="30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Share-based compensation (Note 14)</w:t>
            </w:r>
          </w:p>
        </w:tc>
        <w:tc>
          <w:tcPr>
            <w:tcW w:w="4420" w:type="dxa"/>
            <w:vAlign w:val="bottom"/>
            <w:gridSpan w:val="4"/>
          </w:tcPr>
          <w:p>
            <w:pPr>
              <w:jc w:val="right"/>
              <w:ind w:right="1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Legal and professional fees</w:t>
            </w:r>
          </w:p>
        </w:tc>
        <w:tc>
          <w:tcPr>
            <w:tcW w:w="44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Commercial management fees (Note 3)</w:t>
            </w:r>
          </w:p>
        </w:tc>
        <w:tc>
          <w:tcPr>
            <w:tcW w:w="4420" w:type="dxa"/>
            <w:vAlign w:val="bottom"/>
            <w:gridSpan w:val="4"/>
          </w:tcPr>
          <w:p>
            <w:pPr>
              <w:jc w:val="right"/>
              <w:ind w:right="120"/>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 (Note 3)</w:t>
            </w:r>
          </w:p>
        </w:tc>
        <w:tc>
          <w:tcPr>
            <w:tcW w:w="44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Foreign exchange differences, net</w:t>
            </w:r>
          </w:p>
        </w:tc>
        <w:tc>
          <w:tcPr>
            <w:tcW w:w="4420" w:type="dxa"/>
            <w:vAlign w:val="bottom"/>
            <w:gridSpan w:val="4"/>
          </w:tcPr>
          <w:p>
            <w:pPr>
              <w:jc w:val="right"/>
              <w:ind w:right="1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44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4760" w:type="dxa"/>
            <w:vAlign w:val="bottom"/>
            <w:gridSpan w:val="6"/>
          </w:tcPr>
          <w:p>
            <w:pPr>
              <w:ind w:left="120"/>
              <w:spacing w:after="0"/>
              <w:rPr>
                <w:sz w:val="20"/>
                <w:szCs w:val="20"/>
                <w:color w:val="auto"/>
              </w:rPr>
            </w:pPr>
            <w:r>
              <w:rPr>
                <w:rFonts w:ascii="Arial" w:cs="Arial" w:eastAsia="Arial" w:hAnsi="Arial"/>
                <w:sz w:val="18"/>
                <w:szCs w:val="18"/>
                <w:color w:val="auto"/>
              </w:rPr>
              <w:t>F-10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2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5420" w:type="dxa"/>
            <w:vAlign w:val="bottom"/>
          </w:tcPr>
          <w:p>
            <w:pPr>
              <w:spacing w:after="0"/>
              <w:rPr>
                <w:sz w:val="20"/>
                <w:szCs w:val="20"/>
                <w:color w:val="auto"/>
              </w:rPr>
            </w:pPr>
            <w:r>
              <w:rPr>
                <w:rFonts w:ascii="Arial" w:cs="Arial" w:eastAsia="Arial" w:hAnsi="Arial"/>
                <w:sz w:val="18"/>
                <w:szCs w:val="18"/>
                <w:b w:val="1"/>
                <w:bCs w:val="1"/>
                <w:color w:val="auto"/>
              </w:rPr>
              <w:t>9. Derivative Financial Instruments</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tcPr>
          <w:p>
            <w:pPr>
              <w:ind w:left="340"/>
              <w:spacing w:after="0"/>
              <w:rPr>
                <w:sz w:val="20"/>
                <w:szCs w:val="20"/>
                <w:color w:val="auto"/>
              </w:rPr>
            </w:pPr>
            <w:r>
              <w:rPr>
                <w:rFonts w:ascii="Arial" w:cs="Arial" w:eastAsia="Arial" w:hAnsi="Arial"/>
                <w:sz w:val="18"/>
                <w:szCs w:val="18"/>
                <w:color w:val="auto"/>
              </w:rPr>
              <w:t>The fair value of the derivative assets is as follows:</w:t>
            </w: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4300" w:type="dxa"/>
            <w:vAlign w:val="bottom"/>
            <w:gridSpan w:val="3"/>
          </w:tcPr>
          <w:p>
            <w:pPr>
              <w:jc w:val="center"/>
              <w:ind w:left="329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Derivative assets carried at fair value through profit or loss (FVTPL)</w:t>
            </w:r>
          </w:p>
        </w:tc>
        <w:tc>
          <w:tcPr>
            <w:tcW w:w="3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rate swaps</w:t>
            </w:r>
          </w:p>
        </w:tc>
        <w:tc>
          <w:tcPr>
            <w:tcW w:w="4640" w:type="dxa"/>
            <w:vAlign w:val="bottom"/>
            <w:gridSpan w:val="5"/>
          </w:tcPr>
          <w:p>
            <w:pPr>
              <w:jc w:val="right"/>
              <w:ind w:right="220"/>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asset</w:t>
            </w:r>
          </w:p>
        </w:tc>
        <w:tc>
          <w:tcPr>
            <w:tcW w:w="3280" w:type="dxa"/>
            <w:vAlign w:val="bottom"/>
            <w:gridSpan w:val="2"/>
            <w:vMerge w:val="restart"/>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577</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2,434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asset</w:t>
            </w:r>
          </w:p>
        </w:tc>
        <w:tc>
          <w:tcPr>
            <w:tcW w:w="4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6,038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-2016760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-2016760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derivative liabilities is as follows:</w:t>
      </w:r>
    </w:p>
    <w:p>
      <w:pPr>
        <w:sectPr>
          <w:pgSz w:w="11900" w:h="16838" w:orient="portrait"/>
          <w:cols w:equalWidth="0" w:num="1">
            <w:col w:w="11460"/>
          </w:cols>
          <w:pgMar w:left="240" w:top="580" w:right="19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87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liability</w:t>
            </w: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34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tcPr>
          <w:p>
            <w:pPr>
              <w:ind w:left="96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amounts based on the three-month U.S. dollar London Interbank Offered Rate (“LIBOR”), and the Partnership effects quarterly payments to the counterparty on the notional amounts at the respective fixed rates.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Fixed</w:t>
            </w:r>
          </w:p>
        </w:tc>
        <w:tc>
          <w:tcPr>
            <w:tcW w:w="2560" w:type="dxa"/>
            <w:vAlign w:val="bottom"/>
            <w:gridSpan w:val="4"/>
          </w:tcPr>
          <w:p>
            <w:pPr>
              <w:ind w:left="70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1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300" w:type="dxa"/>
            <w:vAlign w:val="bottom"/>
            <w:vMerge w:val="restart"/>
          </w:tcPr>
          <w:p>
            <w:pPr>
              <w:spacing w:after="0"/>
              <w:rPr>
                <w:sz w:val="10"/>
                <w:szCs w:val="10"/>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Counterparty</w:t>
            </w:r>
          </w:p>
        </w:tc>
        <w:tc>
          <w:tcPr>
            <w:tcW w:w="300" w:type="dxa"/>
            <w:vAlign w:val="bottom"/>
            <w:vMerge w:val="restart"/>
          </w:tcPr>
          <w:p>
            <w:pPr>
              <w:spacing w:after="0"/>
              <w:rPr>
                <w:sz w:val="10"/>
                <w:szCs w:val="10"/>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Trade Date</w:t>
            </w:r>
          </w:p>
        </w:tc>
        <w:tc>
          <w:tcPr>
            <w:tcW w:w="280" w:type="dxa"/>
            <w:vAlign w:val="bottom"/>
            <w:vMerge w:val="restart"/>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280" w:type="dxa"/>
            <w:vAlign w:val="bottom"/>
            <w:vMerge w:val="restart"/>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Termination</w:t>
            </w: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Interest</w:t>
            </w:r>
          </w:p>
        </w:tc>
        <w:tc>
          <w:tcPr>
            <w:tcW w:w="14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GasLog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 2016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Nov 2016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July 2020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4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Nov 2016</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Nov 2016</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July 2021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130,000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w:t>
            </w: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 2016</w:t>
            </w: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Nov 2016</w:t>
            </w: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3"/>
              </w:rPr>
              <w:t>July 2022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14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July 2017</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July 2017</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June 2022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0"/>
        </w:trPr>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6"/>
        <w:spacing w:after="0" w:line="297"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2018. The change in the fair value of the derivative contracts for the three months ended March 31, 2018 amounted to a gain of $6,370 (for the three months ended March 31, 2017: $648), which was recognized against profit or loss in the period incurred and is included in Gain on interest rate swaps. During the three months ended March 31, 2018, the gain of $6,370 (Note 10) derived mainly from the fact that the LIBOR yield curve, which was used to calculate the present value of the estimated future cash flows, was higher than the agreed fixed interest rates resulting in an increase in net derivative assets from interest rate swaps held for trading.</w:t>
      </w:r>
    </w:p>
    <w:p>
      <w:pPr>
        <w:sectPr>
          <w:pgSz w:w="11900" w:h="16900" w:orient="portrait"/>
          <w:cols w:equalWidth="0" w:num="1">
            <w:col w:w="11460"/>
          </w:cols>
          <w:pgMar w:left="240" w:top="104" w:right="199" w:bottom="0" w:gutter="0" w:footer="0" w:header="0"/>
        </w:sectPr>
      </w:pPr>
    </w:p>
    <w:p>
      <w:pPr>
        <w:spacing w:after="0" w:line="154" w:lineRule="exact"/>
        <w:rPr>
          <w:sz w:val="20"/>
          <w:szCs w:val="20"/>
          <w:color w:val="auto"/>
        </w:rPr>
      </w:pPr>
    </w:p>
    <w:p>
      <w:pPr>
        <w:ind w:left="420" w:right="3600" w:hanging="412"/>
        <w:spacing w:after="0" w:line="629" w:lineRule="auto"/>
        <w:tabs>
          <w:tab w:leader="none" w:pos="28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Costs and Gain on Interest Rate Swaps </w:t>
      </w:r>
      <w:r>
        <w:rPr>
          <w:rFonts w:ascii="Arial" w:cs="Arial" w:eastAsia="Arial" w:hAnsi="Arial"/>
          <w:sz w:val="16"/>
          <w:szCs w:val="16"/>
          <w:color w:val="auto"/>
        </w:rPr>
        <w:t>An analysis of financial costs is as follows:</w:t>
      </w:r>
    </w:p>
    <w:p>
      <w:pPr>
        <w:spacing w:after="0" w:line="215" w:lineRule="exact"/>
        <w:rPr>
          <w:sz w:val="20"/>
          <w:szCs w:val="20"/>
          <w:color w:val="auto"/>
        </w:rPr>
      </w:pPr>
    </w:p>
    <w:p>
      <w:pPr>
        <w:ind w:right="3440"/>
        <w:spacing w:after="0" w:line="266" w:lineRule="auto"/>
        <w:rPr>
          <w:sz w:val="20"/>
          <w:szCs w:val="20"/>
          <w:color w:val="auto"/>
        </w:rPr>
      </w:pPr>
      <w:r>
        <w:rPr>
          <w:rFonts w:ascii="Arial" w:cs="Arial" w:eastAsia="Arial" w:hAnsi="Arial"/>
          <w:sz w:val="18"/>
          <w:szCs w:val="18"/>
          <w:color w:val="auto"/>
        </w:rPr>
        <w:t>Amortization and write-off of deferred loan issuance costs Interest expense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financial costs including bank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financial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analysis of gain on interest rate swaps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878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180"/>
        <w:spacing w:after="0"/>
        <w:tabs>
          <w:tab w:leader="none" w:pos="180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2018</w:t>
      </w:r>
    </w:p>
    <w:p>
      <w:pPr>
        <w:spacing w:after="0" w:line="9" w:lineRule="exact"/>
        <w:rPr>
          <w:sz w:val="20"/>
          <w:szCs w:val="20"/>
          <w:color w:val="auto"/>
        </w:rPr>
      </w:pPr>
    </w:p>
    <w:p>
      <w:pPr>
        <w:jc w:val="both"/>
        <w:ind w:left="840"/>
        <w:spacing w:after="0"/>
        <w:tabs>
          <w:tab w:leader="none" w:pos="2460" w:val="left"/>
        </w:tabs>
        <w:rPr>
          <w:sz w:val="20"/>
          <w:szCs w:val="20"/>
          <w:color w:val="auto"/>
        </w:rPr>
      </w:pPr>
      <w:r>
        <w:rPr>
          <w:rFonts w:ascii="Arial" w:cs="Arial" w:eastAsia="Arial" w:hAnsi="Arial"/>
          <w:sz w:val="18"/>
          <w:szCs w:val="18"/>
          <w:color w:val="auto"/>
        </w:rPr>
        <w:t>(1,442)</w:t>
      </w:r>
      <w:r>
        <w:rPr>
          <w:sz w:val="20"/>
          <w:szCs w:val="20"/>
          <w:color w:val="auto"/>
        </w:rPr>
        <w:tab/>
      </w:r>
      <w:r>
        <w:rPr>
          <w:rFonts w:ascii="Arial" w:cs="Arial" w:eastAsia="Arial" w:hAnsi="Arial"/>
          <w:sz w:val="18"/>
          <w:szCs w:val="18"/>
          <w:color w:val="auto"/>
        </w:rPr>
        <w:t>(2,159)</w:t>
      </w:r>
    </w:p>
    <w:p>
      <w:pPr>
        <w:spacing w:after="0" w:line="8" w:lineRule="exact"/>
        <w:rPr>
          <w:sz w:val="20"/>
          <w:szCs w:val="20"/>
          <w:color w:val="auto"/>
        </w:rPr>
      </w:pPr>
    </w:p>
    <w:p>
      <w:pPr>
        <w:jc w:val="both"/>
        <w:ind w:left="760"/>
        <w:spacing w:after="0"/>
        <w:tabs>
          <w:tab w:leader="none" w:pos="2380" w:val="left"/>
        </w:tabs>
        <w:rPr>
          <w:sz w:val="20"/>
          <w:szCs w:val="20"/>
          <w:color w:val="auto"/>
        </w:rPr>
      </w:pPr>
      <w:r>
        <w:rPr>
          <w:rFonts w:ascii="Arial" w:cs="Arial" w:eastAsia="Arial" w:hAnsi="Arial"/>
          <w:sz w:val="18"/>
          <w:szCs w:val="18"/>
          <w:color w:val="auto"/>
        </w:rPr>
        <w:t>(11,014)</w:t>
      </w:r>
      <w:r>
        <w:rPr>
          <w:sz w:val="20"/>
          <w:szCs w:val="20"/>
          <w:color w:val="auto"/>
        </w:rPr>
        <w:tab/>
      </w:r>
      <w:r>
        <w:rPr>
          <w:rFonts w:ascii="Arial" w:cs="Arial" w:eastAsia="Arial" w:hAnsi="Arial"/>
          <w:sz w:val="18"/>
          <w:szCs w:val="18"/>
          <w:color w:val="auto"/>
        </w:rPr>
        <w:t>(11,532)</w:t>
      </w:r>
    </w:p>
    <w:p>
      <w:pPr>
        <w:spacing w:after="0" w:line="9" w:lineRule="exact"/>
        <w:rPr>
          <w:sz w:val="20"/>
          <w:szCs w:val="20"/>
          <w:color w:val="auto"/>
        </w:rPr>
      </w:pPr>
    </w:p>
    <w:p>
      <w:pPr>
        <w:ind w:left="2620" w:hanging="1646"/>
        <w:spacing w:after="0"/>
        <w:tabs>
          <w:tab w:leader="none" w:pos="2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(133)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(12,760</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(13,888</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900" w:orient="portrait"/>
          <w:cols w:equalWidth="0" w:num="2">
            <w:col w:w="7640" w:space="720"/>
            <w:col w:w="3100"/>
          </w:cols>
          <w:pgMar w:left="240" w:top="104" w:right="199" w:bottom="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9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March 31, 2017</w:t>
            </w:r>
          </w:p>
        </w:tc>
        <w:tc>
          <w:tcPr>
            <w:tcW w:w="12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on interest rate swaps held for trading (Note 9)</w:t>
            </w:r>
          </w:p>
        </w:tc>
        <w:tc>
          <w:tcPr>
            <w:tcW w:w="3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5000" w:type="dxa"/>
            <w:vAlign w:val="bottom"/>
            <w:gridSpan w:val="3"/>
          </w:tcPr>
          <w:p>
            <w:pPr>
              <w:jc w:val="right"/>
              <w:ind w:right="280"/>
              <w:spacing w:after="0"/>
              <w:rPr>
                <w:sz w:val="20"/>
                <w:szCs w:val="20"/>
                <w:color w:val="auto"/>
              </w:rPr>
            </w:pPr>
            <w:r>
              <w:rPr>
                <w:rFonts w:ascii="Arial" w:cs="Arial" w:eastAsia="Arial" w:hAnsi="Arial"/>
                <w:sz w:val="18"/>
                <w:szCs w:val="18"/>
                <w:color w:val="auto"/>
              </w:rPr>
              <w:t>(625)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gain on interest rate swaps</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5000" w:type="dxa"/>
            <w:vAlign w:val="bottom"/>
            <w:gridSpan w:val="3"/>
          </w:tcPr>
          <w:p>
            <w:pPr>
              <w:jc w:val="right"/>
              <w:ind w:right="4180"/>
              <w:spacing w:after="0"/>
              <w:rPr>
                <w:sz w:val="20"/>
                <w:szCs w:val="20"/>
                <w:color w:val="auto"/>
              </w:rPr>
            </w:pPr>
            <w:r>
              <w:rPr>
                <w:rFonts w:ascii="Arial" w:cs="Arial" w:eastAsia="Arial" w:hAnsi="Arial"/>
                <w:sz w:val="18"/>
                <w:szCs w:val="18"/>
                <w:color w:val="auto"/>
              </w:rPr>
              <w:t>F-11</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Flow Reconciliations</w:t>
      </w:r>
    </w:p>
    <w:p>
      <w:pPr>
        <w:spacing w:after="0" w:line="229" w:lineRule="exact"/>
        <w:rPr>
          <w:sz w:val="20"/>
          <w:szCs w:val="20"/>
          <w:color w:val="auto"/>
        </w:rPr>
      </w:pPr>
    </w:p>
    <w:p>
      <w:pPr>
        <w:ind w:right="500" w:firstLine="383"/>
        <w:spacing w:after="0" w:line="277" w:lineRule="auto"/>
        <w:rPr>
          <w:sz w:val="20"/>
          <w:szCs w:val="20"/>
          <w:color w:val="auto"/>
        </w:rPr>
      </w:pPr>
      <w:r>
        <w:rPr>
          <w:rFonts w:ascii="Arial" w:cs="Arial" w:eastAsia="Arial" w:hAnsi="Arial"/>
          <w:sz w:val="18"/>
          <w:szCs w:val="18"/>
          <w:color w:val="auto"/>
        </w:rPr>
        <w:t>The reconciliations of the Partnership’s non-cash investing and financing activities for the three months ended March 31, 2018 are presented in the following tables: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ectPr>
          <w:pgSz w:w="11900" w:h="16900" w:orient="portrait"/>
          <w:cols w:equalWidth="0" w:num="1">
            <w:col w:w="11460"/>
          </w:cols>
          <w:pgMar w:left="240" w:top="104" w:right="199" w:bottom="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ind w:right="2620"/>
        <w:spacing w:after="0" w:line="266" w:lineRule="auto"/>
        <w:rPr>
          <w:sz w:val="20"/>
          <w:szCs w:val="20"/>
          <w:color w:val="auto"/>
        </w:rPr>
      </w:pPr>
      <w:r>
        <w:rPr>
          <w:rFonts w:ascii="Arial" w:cs="Arial" w:eastAsia="Arial" w:hAnsi="Arial"/>
          <w:sz w:val="18"/>
          <w:szCs w:val="18"/>
          <w:color w:val="auto"/>
        </w:rPr>
        <w:t>Borrowings outstanding as of January 1, 2018 Borrowings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right="1000"/>
        <w:spacing w:after="0" w:line="261" w:lineRule="auto"/>
        <w:rPr>
          <w:sz w:val="20"/>
          <w:szCs w:val="20"/>
          <w:color w:val="auto"/>
        </w:rPr>
      </w:pPr>
      <w:r>
        <w:rPr>
          <w:rFonts w:ascii="Arial" w:cs="Arial" w:eastAsia="Arial" w:hAnsi="Arial"/>
          <w:sz w:val="18"/>
          <w:szCs w:val="18"/>
          <w:color w:val="auto"/>
        </w:rPr>
        <w:t xml:space="preserve">Amortization and write-off of deferred loan issuance costs (Note 10) </w:t>
      </w:r>
      <w:r>
        <w:rPr>
          <w:rFonts w:ascii="Arial" w:cs="Arial" w:eastAsia="Arial" w:hAnsi="Arial"/>
          <w:sz w:val="18"/>
          <w:szCs w:val="18"/>
          <w:b w:val="1"/>
          <w:bCs w:val="1"/>
          <w:color w:val="auto"/>
        </w:rPr>
        <w:t>Borrowings outstanding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Opening</w:t>
            </w: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Cash flows</w:t>
            </w:r>
          </w:p>
        </w:tc>
        <w:tc>
          <w:tcPr>
            <w:tcW w:w="15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Non-cash items</w:t>
            </w:r>
          </w:p>
        </w:tc>
        <w:tc>
          <w:tcPr>
            <w:tcW w:w="11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balance</w:t>
            </w:r>
          </w:p>
        </w:tc>
        <w:tc>
          <w:tcPr>
            <w:tcW w:w="13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1,155,596</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1,155,596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(103,922)</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(103,922)</w:t>
            </w:r>
          </w:p>
        </w:tc>
        <w:tc>
          <w:tcPr>
            <w:tcW w:w="0" w:type="dxa"/>
            <w:vAlign w:val="bottom"/>
          </w:tcPr>
          <w:p>
            <w:pPr>
              <w:spacing w:after="0"/>
              <w:rPr>
                <w:sz w:val="1"/>
                <w:szCs w:val="1"/>
                <w:color w:val="auto"/>
              </w:rPr>
            </w:pPr>
          </w:p>
        </w:tc>
      </w:tr>
      <w:tr>
        <w:trPr>
          <w:trHeight w:val="230"/>
        </w:trPr>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2,159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1,155,596</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(103,922</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2,159</w:t>
            </w: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1,053,833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900" w:orient="portrait"/>
          <w:cols w:equalWidth="0" w:num="2">
            <w:col w:w="5940" w:space="20"/>
            <w:col w:w="5500"/>
          </w:cols>
          <w:pgMar w:left="240" w:top="104" w:right="199" w:bottom="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Opening</w:t>
            </w:r>
          </w:p>
        </w:tc>
        <w:tc>
          <w:tcPr>
            <w:tcW w:w="15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Non-cash items</w:t>
            </w: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balance</w:t>
            </w:r>
          </w:p>
        </w:tc>
        <w:tc>
          <w:tcPr>
            <w:tcW w:w="15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derivative assets as of January 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Unrealized gain on interest rate swaps held for trading (Note 10)</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6,370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37"/>
        </w:trPr>
        <w:tc>
          <w:tcPr>
            <w:tcW w:w="732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0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04" w:right="199" w:bottom="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derivative assets as of March 31, 2018</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6,346</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6,370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w w:val="98"/>
              </w:rPr>
              <w:t>A reconciliation of vessels arising from investing activities is as follows:</w:t>
            </w: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96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Opening</w:t>
            </w:r>
          </w:p>
        </w:tc>
        <w:tc>
          <w:tcPr>
            <w:tcW w:w="20" w:type="dxa"/>
            <w:vAlign w:val="bottom"/>
          </w:tcPr>
          <w:p>
            <w:pPr>
              <w:spacing w:after="0"/>
              <w:rPr>
                <w:sz w:val="24"/>
                <w:szCs w:val="24"/>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Cash flows</w:t>
            </w:r>
          </w:p>
        </w:tc>
        <w:tc>
          <w:tcPr>
            <w:tcW w:w="15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Non-cash items</w:t>
            </w:r>
          </w:p>
        </w:tc>
        <w:tc>
          <w:tcPr>
            <w:tcW w:w="11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as of January 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 (Note 4)</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8,241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(1,086)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4)</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(16,786)</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Vessels as of March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1,953,057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8,241</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(17,872</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1,943,426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equity offerings arising from financing activities is as follows:</w:t>
      </w:r>
    </w:p>
    <w:p>
      <w:pPr>
        <w:sectPr>
          <w:pgSz w:w="11900" w:h="16838" w:orient="portrait"/>
          <w:cols w:equalWidth="0" w:num="1">
            <w:col w:w="11420"/>
          </w:cols>
          <w:pgMar w:left="240" w:top="140" w:right="239" w:bottom="0" w:gutter="0" w:footer="0" w:header="0"/>
        </w:sectPr>
      </w:pPr>
    </w:p>
    <w:p>
      <w:pPr>
        <w:spacing w:after="0" w:line="374" w:lineRule="exact"/>
        <w:rPr>
          <w:sz w:val="20"/>
          <w:szCs w:val="20"/>
          <w:color w:val="auto"/>
        </w:rPr>
      </w:pPr>
    </w:p>
    <w:p>
      <w:pPr>
        <w:ind w:left="180" w:right="520" w:hanging="181"/>
        <w:spacing w:after="0" w:line="258" w:lineRule="auto"/>
        <w:rPr>
          <w:sz w:val="20"/>
          <w:szCs w:val="20"/>
          <w:color w:val="auto"/>
        </w:rPr>
      </w:pPr>
      <w:r>
        <w:rPr>
          <w:rFonts w:ascii="Arial" w:cs="Arial" w:eastAsia="Arial" w:hAnsi="Arial"/>
          <w:sz w:val="18"/>
          <w:szCs w:val="18"/>
          <w:color w:val="auto"/>
        </w:rPr>
        <w:t>Proceeds from public offering of preference units (net of underwriting discounts and commissions)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Offering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proceeds from equity offerings in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Distributions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Cash flows</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Non-cash items</w:t>
            </w:r>
          </w:p>
        </w:tc>
        <w:tc>
          <w:tcPr>
            <w:tcW w:w="340" w:type="dxa"/>
            <w:vAlign w:val="bottom"/>
          </w:tcPr>
          <w:p>
            <w:pPr>
              <w:spacing w:after="0"/>
              <w:rPr>
                <w:sz w:val="14"/>
                <w:szCs w:val="14"/>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60" w:type="dxa"/>
            <w:vAlign w:val="bottom"/>
            <w:gridSpan w:val="2"/>
          </w:tcPr>
          <w:p>
            <w:pPr>
              <w:spacing w:after="0"/>
              <w:rPr>
                <w:sz w:val="14"/>
                <w:szCs w:val="14"/>
                <w:color w:val="auto"/>
              </w:rPr>
            </w:pPr>
          </w:p>
        </w:tc>
      </w:tr>
      <w:tr>
        <w:trPr>
          <w:trHeight w:val="398"/>
        </w:trPr>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111,544</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111,544</w:t>
            </w:r>
          </w:p>
        </w:tc>
      </w:tr>
      <w:tr>
        <w:trPr>
          <w:trHeight w:val="230"/>
        </w:trPr>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111,229</w:t>
            </w:r>
          </w:p>
        </w:tc>
        <w:tc>
          <w:tcPr>
            <w:tcW w:w="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111,197</w:t>
            </w:r>
          </w:p>
        </w:tc>
        <w:tc>
          <w:tcPr>
            <w:tcW w:w="40" w:type="dxa"/>
            <w:vAlign w:val="bottom"/>
          </w:tcPr>
          <w:p>
            <w:pPr>
              <w:spacing w:after="0"/>
              <w:rPr>
                <w:sz w:val="19"/>
                <w:szCs w:val="19"/>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600" w:space="720"/>
            <w:col w:w="4100"/>
          </w:cols>
          <w:pgMar w:left="240" w:top="140" w:right="239" w:bottom="0" w:gutter="0" w:footer="0" w:header="0"/>
          <w:type w:val="continuous"/>
        </w:sectPr>
      </w:pPr>
    </w:p>
    <w:p>
      <w:pPr>
        <w:spacing w:after="0" w:line="29" w:lineRule="exact"/>
        <w:rPr>
          <w:sz w:val="20"/>
          <w:szCs w:val="20"/>
          <w:color w:val="auto"/>
        </w:rPr>
      </w:pPr>
    </w:p>
    <w:p>
      <w:pPr>
        <w:ind w:right="400" w:firstLine="383"/>
        <w:spacing w:after="0" w:line="264" w:lineRule="auto"/>
        <w:rPr>
          <w:sz w:val="20"/>
          <w:szCs w:val="20"/>
          <w:color w:val="auto"/>
        </w:rPr>
      </w:pPr>
      <w:r>
        <w:rPr>
          <w:rFonts w:ascii="Arial" w:cs="Arial" w:eastAsia="Arial" w:hAnsi="Arial"/>
          <w:sz w:val="18"/>
          <w:szCs w:val="18"/>
          <w:color w:val="auto"/>
        </w:rPr>
        <w:t>On January 25, 2018, the board of directors of the Partnership approved and declared a quarterly cash distribution, with respect to the quarter ended December 31, 2017, of $0.5235 per common unit. The cash distribution of $22,845 was paid on February 14, 2018 to all unitholders of record as of February 9, 2018.</w:t>
      </w:r>
    </w:p>
    <w:p>
      <w:pPr>
        <w:spacing w:after="0" w:line="181" w:lineRule="exact"/>
        <w:rPr>
          <w:sz w:val="20"/>
          <w:szCs w:val="20"/>
          <w:color w:val="auto"/>
        </w:rPr>
      </w:pPr>
    </w:p>
    <w:p>
      <w:pPr>
        <w:jc w:val="both"/>
        <w:ind w:right="140" w:firstLine="383"/>
        <w:spacing w:after="0" w:line="264" w:lineRule="auto"/>
        <w:rPr>
          <w:sz w:val="20"/>
          <w:szCs w:val="20"/>
          <w:color w:val="auto"/>
        </w:rPr>
      </w:pPr>
      <w:r>
        <w:rPr>
          <w:rFonts w:ascii="Arial" w:cs="Arial" w:eastAsia="Arial" w:hAnsi="Arial"/>
          <w:sz w:val="18"/>
          <w:szCs w:val="18"/>
          <w:color w:val="auto"/>
        </w:rPr>
        <w:t>On February 8, 2018, the board of directors of the Partnership approved and declared a distribution on the Series A Preference Units of $0.5390625 per preference unit and a distribution on the Series B Preference Units of $0.33028 per preference unit. The aggregate cash distributions of $4,619 were paid on March 15, 2018, to all unitholders of record as of March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Unit (“EPU”)</w:t>
      </w:r>
    </w:p>
    <w:p>
      <w:pPr>
        <w:spacing w:after="0" w:line="229" w:lineRule="exact"/>
        <w:rPr>
          <w:sz w:val="20"/>
          <w:szCs w:val="20"/>
          <w:color w:val="auto"/>
        </w:rPr>
      </w:pPr>
    </w:p>
    <w:p>
      <w:pPr>
        <w:ind w:right="540" w:firstLine="396"/>
        <w:spacing w:after="0" w:line="277"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w:t>
      </w:r>
    </w:p>
    <w:p>
      <w:pPr>
        <w:spacing w:after="0" w:line="170" w:lineRule="exact"/>
        <w:rPr>
          <w:sz w:val="20"/>
          <w:szCs w:val="20"/>
          <w:color w:val="auto"/>
        </w:rPr>
      </w:pPr>
    </w:p>
    <w:p>
      <w:pPr>
        <w:ind w:right="120" w:firstLine="396"/>
        <w:spacing w:after="0" w:line="259" w:lineRule="auto"/>
        <w:rPr>
          <w:sz w:val="20"/>
          <w:szCs w:val="20"/>
          <w:color w:val="auto"/>
        </w:rPr>
      </w:pPr>
      <w:r>
        <w:rPr>
          <w:rFonts w:ascii="Arial" w:cs="Arial" w:eastAsia="Arial" w:hAnsi="Arial"/>
          <w:sz w:val="18"/>
          <w:szCs w:val="18"/>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per unit is presented for the period in which the units were outstanding, with earnings calculated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35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18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March 31, 2017</w:t>
            </w:r>
          </w:p>
        </w:tc>
        <w:tc>
          <w:tcPr>
            <w:tcW w:w="16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29,889</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Less: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b w:val="1"/>
                <w:bCs w:val="1"/>
                <w:color w:val="auto"/>
              </w:rPr>
              <w:t>Partnership’s profit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21,022</w:t>
            </w:r>
          </w:p>
        </w:tc>
        <w:tc>
          <w:tcPr>
            <w:tcW w:w="2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Paid and accrued preference unit distributions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Partnership’s profit attributable to:</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Common unitholders</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14,724</w:t>
            </w:r>
          </w:p>
        </w:tc>
        <w:tc>
          <w:tcPr>
            <w:tcW w:w="280" w:type="dxa"/>
            <w:vAlign w:val="bottom"/>
            <w:vMerge w:val="continue"/>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24,057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General partner</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(basic)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27,244,025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41,002,121</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Subordinated units**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9,822,358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756,457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836,779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Earnings per unit (basic)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Weighted average number of units outstanding (diluted)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27,289,262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41,086,502</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Subordinated units**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9,822,358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756,457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836,779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Earnings per unit (diluted)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Subordinated unitholders</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27" w:name="page28"/>
    <w:bookmarkEnd w:id="27"/>
    <w:p>
      <w:pPr>
        <w:ind w:left="140" w:right="100" w:hanging="132"/>
        <w:spacing w:after="0" w:line="257" w:lineRule="auto"/>
        <w:tabs>
          <w:tab w:leader="none" w:pos="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aggregate profit of GAS-eleven Ltd., GAS-thirteen Ltd. and GAS-eight Ltd. for the period prior to their transfers to the Partnership on May 3, 2017, July 3, 2017 and October 20, 2017, respectively.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periods prior to such transfers.</w:t>
      </w:r>
    </w:p>
    <w:p>
      <w:pPr>
        <w:spacing w:after="0" w:line="188"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May 16, 2017, all 9,822,358 subordinated units converted into common units on a one-for-one basis.</w:t>
      </w:r>
    </w:p>
    <w:p>
      <w:pPr>
        <w:spacing w:after="0" w:line="225" w:lineRule="exact"/>
        <w:rPr>
          <w:rFonts w:ascii="Arial" w:cs="Arial" w:eastAsia="Arial" w:hAnsi="Arial"/>
          <w:sz w:val="18"/>
          <w:szCs w:val="18"/>
          <w:color w:val="auto"/>
        </w:rPr>
      </w:pPr>
    </w:p>
    <w:p>
      <w:pPr>
        <w:ind w:left="140" w:right="240" w:hanging="132"/>
        <w:spacing w:after="0" w:line="259" w:lineRule="auto"/>
        <w:tabs>
          <w:tab w:leader="none" w:pos="3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 the right to receive an increasing percentage of quarterly distributions of available cash from operating surplus after the minimum quarterly distribution and the target distribution levels have been achieved. GasLog holds the incentive distribution rights following completion of the Partnership’s IPO. The IDRs may be transferred separately from any other interests, subject to restrictions in the Partnership Agreement. Based on the nature of such right, earnings attributable to IDRs cannot be allocated on a per unit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right="160" w:firstLine="383"/>
        <w:spacing w:after="0" w:line="264" w:lineRule="auto"/>
        <w:rPr>
          <w:sz w:val="20"/>
          <w:szCs w:val="20"/>
          <w:color w:val="auto"/>
        </w:rPr>
      </w:pPr>
      <w:r>
        <w:rPr>
          <w:rFonts w:ascii="Arial" w:cs="Arial" w:eastAsia="Arial" w:hAnsi="Arial"/>
          <w:sz w:val="18"/>
          <w:szCs w:val="18"/>
          <w:color w:val="auto"/>
        </w:rPr>
        <w:t>The terms of the 2015 Long-Term Incentive Plan (the “2015 Plan”) and the assumptions for the valuation of Restricted Common Units (“RCUs”) and Performance Common Units (“PCUs”) have been disclosed in Note 18 “Share-Based Compensation” in the annual audited consolidated financial statements for the year ended December 31, 2017.</w:t>
      </w:r>
    </w:p>
    <w:p>
      <w:pPr>
        <w:spacing w:after="0" w:line="181" w:lineRule="exact"/>
        <w:rPr>
          <w:sz w:val="20"/>
          <w:szCs w:val="20"/>
          <w:color w:val="auto"/>
        </w:rPr>
      </w:pPr>
    </w:p>
    <w:p>
      <w:pPr>
        <w:ind w:right="120" w:firstLine="396"/>
        <w:spacing w:after="0" w:line="277" w:lineRule="auto"/>
        <w:rPr>
          <w:sz w:val="20"/>
          <w:szCs w:val="20"/>
          <w:color w:val="auto"/>
        </w:rPr>
      </w:pPr>
      <w:r>
        <w:rPr>
          <w:rFonts w:ascii="Arial" w:cs="Arial" w:eastAsia="Arial" w:hAnsi="Arial"/>
          <w:sz w:val="18"/>
          <w:szCs w:val="18"/>
          <w:color w:val="auto"/>
        </w:rPr>
        <w:t>As of March 31, 2018, there were 67,475 RCUs and 67,475 PCUs outstanding (December 31, 2017: 67,475 RCUs and 67,475 PCUs). Subsequently, on April 3, 2018, 16,999 RCUs and 16,999 PCUs vested under the Partnership’s 2015 Plan (Note 16).</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total expense recognized in respect of equity-settled employee benefits for the three months ended March 31, 2018 was $235 (for the three months ended March 31, 2017: $135). The total accrued cash distribution as of March 31, 2018 is $500 (December 31, 2017: $428).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Future gross minimum lease payments receivable in relation to non-cancellable time charter agreements for vessels in operation as of March 31, 2018 are as follows (30 off-hire days are assumed when each vessel will undergo scheduled dry-docking and ten additional days per vessel after the dry-docking for the vessel enhancements mentioned further below; in addition, early delivery of the vessels by the charterers or any exercise of the charterers’ options to extend the terms of the charters are not accounted for):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rPr>
              <w:t>Period</w:t>
            </w: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2018</w:t>
            </w:r>
          </w:p>
        </w:tc>
        <w:tc>
          <w:tcPr>
            <w:tcW w:w="500" w:type="dxa"/>
            <w:vAlign w:val="bottom"/>
          </w:tcPr>
          <w:p>
            <w:pPr>
              <w:spacing w:after="0"/>
              <w:rPr>
                <w:sz w:val="14"/>
                <w:szCs w:val="14"/>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4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203,856</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6380" w:type="dxa"/>
            <w:vAlign w:val="bottom"/>
            <w:gridSpan w:val="4"/>
          </w:tcPr>
          <w:p>
            <w:pPr>
              <w:jc w:val="right"/>
              <w:ind w:right="100"/>
              <w:spacing w:after="0"/>
              <w:rPr>
                <w:sz w:val="20"/>
                <w:szCs w:val="20"/>
                <w:color w:val="auto"/>
              </w:rPr>
            </w:pPr>
            <w:r>
              <w:rPr>
                <w:rFonts w:ascii="Arial" w:cs="Arial" w:eastAsia="Arial" w:hAnsi="Arial"/>
                <w:sz w:val="18"/>
                <w:szCs w:val="18"/>
                <w:color w:val="auto"/>
              </w:rPr>
              <w:t>299,947</w:t>
            </w:r>
          </w:p>
        </w:tc>
        <w:tc>
          <w:tcPr>
            <w:tcW w:w="5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6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111,149</w:t>
            </w:r>
          </w:p>
        </w:tc>
        <w:tc>
          <w:tcPr>
            <w:tcW w:w="50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More than five years</w:t>
            </w:r>
          </w:p>
        </w:tc>
        <w:tc>
          <w:tcPr>
            <w:tcW w:w="6380" w:type="dxa"/>
            <w:vAlign w:val="bottom"/>
            <w:gridSpan w:val="4"/>
          </w:tcPr>
          <w:p>
            <w:pPr>
              <w:jc w:val="right"/>
              <w:ind w:right="100"/>
              <w:spacing w:after="0"/>
              <w:rPr>
                <w:sz w:val="20"/>
                <w:szCs w:val="20"/>
                <w:color w:val="auto"/>
              </w:rPr>
            </w:pPr>
            <w:r>
              <w:rPr>
                <w:rFonts w:ascii="Arial" w:cs="Arial" w:eastAsia="Arial" w:hAnsi="Arial"/>
                <w:sz w:val="18"/>
                <w:szCs w:val="18"/>
                <w:color w:val="auto"/>
              </w:rPr>
              <w:t>84,394</w:t>
            </w:r>
          </w:p>
        </w:tc>
        <w:tc>
          <w:tcPr>
            <w:tcW w:w="500" w:type="dxa"/>
            <w:vAlign w:val="bottom"/>
          </w:tcPr>
          <w:p>
            <w:pPr>
              <w:spacing w:after="0"/>
              <w:rPr>
                <w:sz w:val="18"/>
                <w:szCs w:val="18"/>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699,346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99"/>
        </w:trPr>
        <w:tc>
          <w:tcPr>
            <w:tcW w:w="4580" w:type="dxa"/>
            <w:vAlign w:val="bottom"/>
          </w:tcPr>
          <w:p>
            <w:pPr>
              <w:spacing w:after="0"/>
              <w:rPr>
                <w:sz w:val="24"/>
                <w:szCs w:val="24"/>
                <w:color w:val="auto"/>
              </w:rPr>
            </w:pPr>
          </w:p>
        </w:tc>
        <w:tc>
          <w:tcPr>
            <w:tcW w:w="6380" w:type="dxa"/>
            <w:vAlign w:val="bottom"/>
            <w:gridSpan w:val="4"/>
          </w:tcPr>
          <w:p>
            <w:pPr>
              <w:ind w:left="960"/>
              <w:spacing w:after="0"/>
              <w:rPr>
                <w:sz w:val="20"/>
                <w:szCs w:val="20"/>
                <w:color w:val="auto"/>
              </w:rPr>
            </w:pPr>
            <w:r>
              <w:rPr>
                <w:rFonts w:ascii="Arial" w:cs="Arial" w:eastAsia="Arial" w:hAnsi="Arial"/>
                <w:sz w:val="18"/>
                <w:szCs w:val="18"/>
                <w:color w:val="auto"/>
              </w:rPr>
              <w:t>F-13</w:t>
            </w:r>
          </w:p>
        </w:tc>
        <w:tc>
          <w:tcPr>
            <w:tcW w:w="500" w:type="dxa"/>
            <w:vAlign w:val="bottom"/>
          </w:tcPr>
          <w:p>
            <w:pPr>
              <w:spacing w:after="0"/>
              <w:rPr>
                <w:sz w:val="24"/>
                <w:szCs w:val="24"/>
                <w:color w:val="auto"/>
              </w:rPr>
            </w:pPr>
          </w:p>
        </w:tc>
      </w:tr>
      <w:tr>
        <w:trPr>
          <w:trHeight w:val="132"/>
        </w:trPr>
        <w:tc>
          <w:tcPr>
            <w:tcW w:w="458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360" w:firstLine="383"/>
        <w:spacing w:after="0" w:line="264" w:lineRule="auto"/>
        <w:rPr>
          <w:sz w:val="20"/>
          <w:szCs w:val="20"/>
          <w:color w:val="auto"/>
        </w:rPr>
      </w:pPr>
      <w:r>
        <w:rPr>
          <w:rFonts w:ascii="Arial" w:cs="Arial" w:eastAsia="Arial" w:hAnsi="Arial"/>
          <w:sz w:val="18"/>
          <w:szCs w:val="18"/>
          <w:color w:val="auto"/>
        </w:rPr>
        <w:t>In April and May 2017, GasLog LNG Services entered into agreements in relation to investments in certain of the Partnership and GasLog’s vessels, with the aim of enhancing their operational performance. Commitments relating to these agreements for the Partnership, without including additional estimated costs for which no agreement has been signed as of March 31, 2018, are as follows:</w:t>
      </w:r>
    </w:p>
    <w:p>
      <w:pPr>
        <w:sectPr>
          <w:pgSz w:w="11900" w:h="16838" w:orient="portrait"/>
          <w:cols w:equalWidth="0" w:num="1">
            <w:col w:w="11460"/>
          </w:cols>
          <w:pgMar w:left="240" w:top="125" w:right="199" w:bottom="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Not later than one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March 31, 2018</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19,314</w:t>
      </w:r>
    </w:p>
    <w:p>
      <w:pPr>
        <w:spacing w:after="0" w:line="8"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19,314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14605</wp:posOffset>
            </wp:positionV>
            <wp:extent cx="10807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31750</wp:posOffset>
            </wp:positionV>
            <wp:extent cx="10807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-130810</wp:posOffset>
            </wp:positionV>
            <wp:extent cx="10807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720"/>
            <w:col w:w="1480"/>
          </w:cols>
          <w:pgMar w:left="240" w:top="125" w:right="199" w:bottom="0" w:gutter="0" w:footer="0" w:header="0"/>
          <w:type w:val="continuous"/>
        </w:sectPr>
      </w:pPr>
    </w:p>
    <w:p>
      <w:pPr>
        <w:spacing w:after="0" w:line="51" w:lineRule="exact"/>
        <w:rPr>
          <w:sz w:val="20"/>
          <w:szCs w:val="20"/>
          <w:color w:val="auto"/>
        </w:rPr>
      </w:pPr>
    </w:p>
    <w:p>
      <w:pPr>
        <w:ind w:right="180" w:firstLine="383"/>
        <w:spacing w:after="0" w:line="257"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and (ii) GAS-nineteen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GAS-twenty Ltd. and GAS-twenty one Ltd., respectively, is counter guarantor for the acquisition from BG Group plc of 83.33% of depot spares with an aggregate value of $6,000, of which $660 have been purchased and paid as of March 31, 2018 by GasLog. These spares are expected to be acquired before the end of the initial term of the charter party agreements.</w:t>
      </w:r>
    </w:p>
    <w:p>
      <w:pPr>
        <w:spacing w:after="0" w:line="188" w:lineRule="exact"/>
        <w:rPr>
          <w:sz w:val="20"/>
          <w:szCs w:val="20"/>
          <w:color w:val="auto"/>
        </w:rPr>
      </w:pPr>
    </w:p>
    <w:p>
      <w:pPr>
        <w:ind w:right="500" w:firstLine="383"/>
        <w:spacing w:after="0" w:line="264" w:lineRule="auto"/>
        <w:rPr>
          <w:sz w:val="20"/>
          <w:szCs w:val="20"/>
          <w:color w:val="auto"/>
        </w:rPr>
      </w:pPr>
      <w:r>
        <w:rPr>
          <w:rFonts w:ascii="Arial" w:cs="Arial" w:eastAsia="Arial" w:hAnsi="Arial"/>
          <w:sz w:val="18"/>
          <w:szCs w:val="18"/>
          <w:color w:val="auto"/>
        </w:rPr>
        <w:t>Additionally, in September 2017, GasLog LNG Services entered into maintenance agreements with Wartsila Greece S.A. in respect of two of the Partnership’s LNG carriers. The agreements ensure dynamic maintenance planning, technical support, security of spare parts supply, specialist technical personnel and performance monitoring.</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April 3, 2018, GasLog Partners issued 33,998 common units in connection with the vesting of 16,999 RCUs and 16,999 PCUs under its 2015 Plan.</w:t>
      </w:r>
    </w:p>
    <w:p>
      <w:pPr>
        <w:spacing w:after="0" w:line="248" w:lineRule="exact"/>
        <w:rPr>
          <w:sz w:val="20"/>
          <w:szCs w:val="20"/>
          <w:color w:val="auto"/>
        </w:rPr>
      </w:pPr>
    </w:p>
    <w:p>
      <w:pPr>
        <w:ind w:right="40" w:firstLine="396"/>
        <w:spacing w:after="0" w:line="257" w:lineRule="auto"/>
        <w:rPr>
          <w:sz w:val="20"/>
          <w:szCs w:val="20"/>
          <w:color w:val="auto"/>
        </w:rPr>
      </w:pPr>
      <w:r>
        <w:rPr>
          <w:rFonts w:ascii="Arial" w:cs="Arial" w:eastAsia="Arial" w:hAnsi="Arial"/>
          <w:sz w:val="18"/>
          <w:szCs w:val="18"/>
          <w:color w:val="auto"/>
        </w:rPr>
        <w:t xml:space="preserve">On April 26, 2018, GasLog Partners completed the acquisition from GasLog of 100% of the shares in the entity that owns and charters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a 174,000 cbm TFDE LNG carrier built in 2016 which is chartered to a subsidiary of Royal Dutch Shell plc through October 2023, for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$207,000. In connection with the acquisition, GasLog Partners issued 1,858,975 common units to GasLog on the same date, together with an additional issuance of 38,632 general partner units with respect to the aggregate post quarter-end common equity issuances through April 26, 2018 (in order for GasLog to retain its 2.0% general partner interest).</w:t>
      </w:r>
    </w:p>
    <w:p>
      <w:pPr>
        <w:sectPr>
          <w:pgSz w:w="11900" w:h="16838" w:orient="portrait"/>
          <w:cols w:equalWidth="0" w:num="1">
            <w:col w:w="11460"/>
          </w:cols>
          <w:pgMar w:left="240" w:top="125" w:right="199" w:bottom="0" w:gutter="0" w:footer="0" w:header="0"/>
          <w:type w:val="continuous"/>
        </w:sectPr>
      </w:pPr>
    </w:p>
    <w:bookmarkStart w:id="28" w:name="page29"/>
    <w:bookmarkEnd w:id="28"/>
    <w:p>
      <w:pPr>
        <w:spacing w:after="0" w:line="54" w:lineRule="exact"/>
        <w:rPr>
          <w:sz w:val="20"/>
          <w:szCs w:val="20"/>
          <w:color w:val="auto"/>
        </w:rPr>
      </w:pPr>
    </w:p>
    <w:p>
      <w:pPr>
        <w:ind w:right="120" w:firstLine="383"/>
        <w:spacing w:after="0" w:line="259" w:lineRule="auto"/>
        <w:rPr>
          <w:sz w:val="20"/>
          <w:szCs w:val="20"/>
          <w:color w:val="auto"/>
        </w:rPr>
      </w:pPr>
      <w:r>
        <w:rPr>
          <w:rFonts w:ascii="Arial" w:cs="Arial" w:eastAsia="Arial" w:hAnsi="Arial"/>
          <w:sz w:val="18"/>
          <w:szCs w:val="18"/>
          <w:color w:val="auto"/>
        </w:rPr>
        <w:t>On April 26, 2018, the board of directors of GasLog Partners approved and declared a quarterly cash distribution of $0.53 per common unit for the quarter ended March 31, 2018. The cash distribution is payable on May 11, 2018, to all unitholders of record as of May 7, 2018. The aggregate amount of the declared distribution will be $24,272 based on the number of units issued and outstanding after giving effect to the post quarter-end issuances through April 26, 2018 discussed above.</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 xml:space="preserve">Our IFRS Common Control Reported Results are derived from the consolidated financial statements of the Partnership. The non-GAAP Partnership Performance Results presented below exclude amounts related to GAS-eleven Ltd., the owner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GAS-thirteen Ltd., the owner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GAS-eight Ltd., the owner of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for the periods prior to their transfers to the Partnership on May 3, 2017, July 3, 2017, and October 20, 2017, respectively. While such amounts are reflected in the Partnership’s unaudited condensed consolidated financial statements because the transfers to the Partnership were accounted for as reorganizations of entities under common control under IFRS, the aforementioned entities were not owned by the Partnership prior to their respective transfers to the Partnership on May 3, 2017, July 3, 2017 and October 20, 2017, respectively, and accordingly the Partnership was not entitled to the cash or results generated in the periods prior to such transfers.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69" w:lineRule="exact"/>
        <w:rPr>
          <w:sz w:val="20"/>
          <w:szCs w:val="20"/>
          <w:color w:val="auto"/>
        </w:rPr>
      </w:pPr>
    </w:p>
    <w:p>
      <w:pPr>
        <w:ind w:right="280"/>
        <w:spacing w:after="0" w:line="335" w:lineRule="auto"/>
        <w:rPr>
          <w:sz w:val="20"/>
          <w:szCs w:val="20"/>
          <w:color w:val="auto"/>
        </w:rPr>
      </w:pPr>
      <w:r>
        <w:rPr>
          <w:rFonts w:ascii="Arial" w:cs="Arial" w:eastAsia="Arial" w:hAnsi="Arial"/>
          <w:sz w:val="14"/>
          <w:szCs w:val="14"/>
          <w:color w:val="auto"/>
        </w:rPr>
        <w:t>Amounts reflected in the Partnership’s unaudited condensed consolidated financial statements for the three months ended March 31, 2018 are fully attributable to the Partnership. The Partnership Performance Results reported in the first quarter of 2018 are the same as the IFRS Common Control Reported Results for the respective period since there were no vessel acquisitions from GasLog during the quarter, which would have resulted in retrospective adjustment of the historical financial statements.</w:t>
      </w:r>
    </w:p>
    <w:p>
      <w:pPr>
        <w:spacing w:after="0" w:line="13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9"/>
          </w:tcPr>
          <w:p>
            <w:pPr>
              <w:jc w:val="right"/>
              <w:ind w:right="1260"/>
              <w:spacing w:after="0"/>
              <w:rPr>
                <w:sz w:val="20"/>
                <w:szCs w:val="20"/>
                <w:color w:val="auto"/>
              </w:rPr>
            </w:pPr>
            <w:r>
              <w:rPr>
                <w:rFonts w:ascii="Arial" w:cs="Arial" w:eastAsia="Arial" w:hAnsi="Arial"/>
                <w:sz w:val="16"/>
                <w:szCs w:val="16"/>
                <w:b w:val="1"/>
                <w:bCs w:val="1"/>
                <w:color w:val="auto"/>
                <w:w w:val="99"/>
              </w:rPr>
              <w:t>Partnership Performance Results</w:t>
            </w:r>
          </w:p>
        </w:tc>
        <w:tc>
          <w:tcPr>
            <w:tcW w:w="4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9"/>
          </w:tcPr>
          <w:p>
            <w:pPr>
              <w:jc w:val="right"/>
              <w:ind w:right="146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8"/>
                <w:szCs w:val="18"/>
                <w:color w:val="auto"/>
              </w:rPr>
            </w:pPr>
          </w:p>
        </w:tc>
      </w:tr>
      <w:tr>
        <w:trPr>
          <w:trHeight w:val="202"/>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(All amounts expressed in thousands of U.S. dollars)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8"/>
              </w:rPr>
              <w:t>March 31, 2017</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 2018</w:t>
            </w:r>
          </w:p>
        </w:tc>
        <w:tc>
          <w:tcPr>
            <w:tcW w:w="8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56,993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77,061</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240"/>
              <w:spacing w:after="0"/>
              <w:rPr>
                <w:sz w:val="20"/>
                <w:szCs w:val="20"/>
                <w:color w:val="auto"/>
              </w:rPr>
            </w:pPr>
            <w:r>
              <w:rPr>
                <w:rFonts w:ascii="Arial" w:cs="Arial" w:eastAsia="Arial" w:hAnsi="Arial"/>
                <w:sz w:val="16"/>
                <w:szCs w:val="16"/>
                <w:color w:val="auto"/>
              </w:rPr>
              <w:t>(11,168)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(15,591)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(715)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(1,055)</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240"/>
              <w:spacing w:after="0"/>
              <w:rPr>
                <w:sz w:val="20"/>
                <w:szCs w:val="20"/>
                <w:color w:val="auto"/>
              </w:rPr>
            </w:pPr>
            <w:r>
              <w:rPr>
                <w:rFonts w:ascii="Arial" w:cs="Arial" w:eastAsia="Arial" w:hAnsi="Arial"/>
                <w:sz w:val="16"/>
                <w:szCs w:val="16"/>
                <w:color w:val="auto"/>
              </w:rPr>
              <w:t>(12,362)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(16,786)</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(3,084)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(4,585)</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3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29,664</w:t>
            </w:r>
          </w:p>
        </w:tc>
        <w:tc>
          <w:tcPr>
            <w:tcW w:w="3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39,044</w:t>
            </w:r>
          </w:p>
        </w:tc>
        <w:tc>
          <w:tcPr>
            <w:tcW w:w="100" w:type="dxa"/>
            <w:vAlign w:val="bottom"/>
            <w:tcBorders>
              <w:bottom w:val="single" w:sz="8" w:color="CCEEFF"/>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(8,782)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(13,888)</w:t>
            </w:r>
          </w:p>
        </w:tc>
        <w:tc>
          <w:tcPr>
            <w:tcW w:w="10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Financial income</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300"/>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Gain on interest rate swaps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6,327</w:t>
            </w:r>
          </w:p>
        </w:tc>
        <w:tc>
          <w:tcPr>
            <w:tcW w:w="10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(8,642)</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(7,042)</w:t>
            </w:r>
          </w:p>
        </w:tc>
        <w:tc>
          <w:tcPr>
            <w:tcW w:w="100" w:type="dxa"/>
            <w:vAlign w:val="bottom"/>
            <w:tcBorders>
              <w:bottom w:val="single" w:sz="8" w:color="CCEEFF"/>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3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21,022</w:t>
            </w: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32,002</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6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0"/>
        </w:trPr>
        <w:tc>
          <w:tcPr>
            <w:tcW w:w="9620" w:type="dxa"/>
            <w:vAlign w:val="bottom"/>
            <w:gridSpan w:val="11"/>
          </w:tcPr>
          <w:p>
            <w:pPr>
              <w:ind w:left="460"/>
              <w:spacing w:after="0"/>
              <w:rPr>
                <w:sz w:val="20"/>
                <w:szCs w:val="20"/>
                <w:color w:val="auto"/>
              </w:rPr>
            </w:pPr>
            <w:r>
              <w:rPr>
                <w:rFonts w:ascii="Arial" w:cs="Arial" w:eastAsia="Arial" w:hAnsi="Arial"/>
                <w:sz w:val="16"/>
                <w:szCs w:val="16"/>
                <w:b w:val="1"/>
                <w:bCs w:val="1"/>
                <w:color w:val="auto"/>
                <w:w w:val="97"/>
              </w:rPr>
              <w:t>Reconciliation of IFRS Common Control Reported Results in our Financial Statements to Partnership Performance Results: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0" w:type="dxa"/>
            <w:vAlign w:val="bottom"/>
            <w:gridSpan w:val="13"/>
          </w:tcPr>
          <w:p>
            <w:pPr>
              <w:jc w:val="center"/>
              <w:ind w:right="120"/>
              <w:spacing w:after="0"/>
              <w:rPr>
                <w:sz w:val="20"/>
                <w:szCs w:val="20"/>
                <w:color w:val="auto"/>
              </w:rPr>
            </w:pPr>
            <w:r>
              <w:rPr>
                <w:rFonts w:ascii="Arial" w:cs="Arial" w:eastAsia="Arial" w:hAnsi="Arial"/>
                <w:sz w:val="16"/>
                <w:szCs w:val="16"/>
                <w:b w:val="1"/>
                <w:bCs w:val="1"/>
                <w:color w:val="auto"/>
                <w:w w:val="92"/>
              </w:rPr>
              <w:t>For the three months ended March 31, 2017</w:t>
            </w:r>
          </w:p>
        </w:tc>
        <w:tc>
          <w:tcPr>
            <w:tcW w:w="40" w:type="dxa"/>
            <w:vAlign w:val="bottom"/>
          </w:tcPr>
          <w:p>
            <w:pPr>
              <w:spacing w:after="0"/>
              <w:rPr>
                <w:sz w:val="24"/>
                <w:szCs w:val="24"/>
                <w:color w:val="auto"/>
              </w:rPr>
            </w:pPr>
          </w:p>
        </w:tc>
      </w:tr>
      <w:tr>
        <w:trPr>
          <w:trHeight w:val="188"/>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4"/>
              </w:rPr>
              <w:t>IFRS Common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Results attributable</w:t>
            </w:r>
          </w:p>
        </w:tc>
        <w:tc>
          <w:tcPr>
            <w:tcW w:w="12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Partnership</w:t>
            </w:r>
          </w:p>
        </w:tc>
        <w:tc>
          <w:tcPr>
            <w:tcW w:w="1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4"/>
              </w:rPr>
              <w:t>Control Reported</w:t>
            </w:r>
          </w:p>
        </w:tc>
        <w:tc>
          <w:tcPr>
            <w:tcW w:w="40" w:type="dxa"/>
            <w:vAlign w:val="bottom"/>
          </w:tcPr>
          <w:p>
            <w:pPr>
              <w:spacing w:after="0"/>
              <w:rPr>
                <w:sz w:val="17"/>
                <w:szCs w:val="17"/>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(All amounts expressed in thousands of U.S. dollars)</w:t>
            </w:r>
          </w:p>
        </w:tc>
        <w:tc>
          <w:tcPr>
            <w:tcW w:w="300" w:type="dxa"/>
            <w:vAlign w:val="bottom"/>
          </w:tcPr>
          <w:p>
            <w:pPr>
              <w:spacing w:after="0"/>
              <w:rPr>
                <w:sz w:val="18"/>
                <w:szCs w:val="18"/>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to GasLog</w:t>
            </w:r>
          </w:p>
        </w:tc>
        <w:tc>
          <w:tcPr>
            <w:tcW w:w="120" w:type="dxa"/>
            <w:vAlign w:val="bottom"/>
          </w:tcPr>
          <w:p>
            <w:pPr>
              <w:spacing w:after="0"/>
              <w:rPr>
                <w:sz w:val="18"/>
                <w:szCs w:val="18"/>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Performance Results</w:t>
            </w:r>
          </w:p>
        </w:tc>
        <w:tc>
          <w:tcPr>
            <w:tcW w:w="1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Results</w:t>
            </w:r>
          </w:p>
        </w:tc>
        <w:tc>
          <w:tcPr>
            <w:tcW w:w="40" w:type="dxa"/>
            <w:vAlign w:val="bottom"/>
          </w:tcPr>
          <w:p>
            <w:pPr>
              <w:spacing w:after="0"/>
              <w:rPr>
                <w:sz w:val="18"/>
                <w:szCs w:val="18"/>
                <w:color w:val="auto"/>
              </w:rPr>
            </w:pPr>
          </w:p>
        </w:tc>
      </w:tr>
      <w:tr>
        <w:trPr>
          <w:trHeight w:val="19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20,194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56,993</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77,187</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2180" w:type="dxa"/>
            <w:vAlign w:val="bottom"/>
            <w:gridSpan w:val="4"/>
          </w:tcPr>
          <w:p>
            <w:pPr>
              <w:jc w:val="right"/>
              <w:ind w:right="120"/>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w w:val="97"/>
              </w:rPr>
              <w:t>(11,168)</w:t>
            </w:r>
          </w:p>
        </w:tc>
        <w:tc>
          <w:tcPr>
            <w:tcW w:w="1800" w:type="dxa"/>
            <w:vAlign w:val="bottom"/>
            <w:gridSpan w:val="4"/>
          </w:tcPr>
          <w:p>
            <w:pPr>
              <w:jc w:val="right"/>
              <w:ind w:right="60"/>
              <w:spacing w:after="0"/>
              <w:rPr>
                <w:sz w:val="20"/>
                <w:szCs w:val="20"/>
                <w:color w:val="auto"/>
              </w:rPr>
            </w:pPr>
            <w:r>
              <w:rPr>
                <w:rFonts w:ascii="Arial" w:cs="Arial" w:eastAsia="Arial" w:hAnsi="Arial"/>
                <w:sz w:val="16"/>
                <w:szCs w:val="16"/>
                <w:color w:val="auto"/>
              </w:rPr>
              <w:t>(13,643)</w:t>
            </w: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21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(715)</w:t>
            </w:r>
          </w:p>
        </w:tc>
        <w:tc>
          <w:tcPr>
            <w:tcW w:w="1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(967)</w:t>
            </w: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Depreciation</w:t>
            </w:r>
          </w:p>
        </w:tc>
        <w:tc>
          <w:tcPr>
            <w:tcW w:w="2180" w:type="dxa"/>
            <w:vAlign w:val="bottom"/>
            <w:gridSpan w:val="4"/>
          </w:tcPr>
          <w:p>
            <w:pPr>
              <w:jc w:val="right"/>
              <w:ind w:right="120"/>
              <w:spacing w:after="0"/>
              <w:rPr>
                <w:sz w:val="20"/>
                <w:szCs w:val="20"/>
                <w:color w:val="auto"/>
              </w:rPr>
            </w:pPr>
            <w:r>
              <w:rPr>
                <w:rFonts w:ascii="Arial" w:cs="Arial" w:eastAsia="Arial" w:hAnsi="Arial"/>
                <w:sz w:val="16"/>
                <w:szCs w:val="16"/>
                <w:color w:val="auto"/>
              </w:rPr>
              <w:t>(4,335)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w w:val="97"/>
              </w:rPr>
              <w:t>(12,362)</w:t>
            </w:r>
          </w:p>
        </w:tc>
        <w:tc>
          <w:tcPr>
            <w:tcW w:w="1800" w:type="dxa"/>
            <w:vAlign w:val="bottom"/>
            <w:gridSpan w:val="4"/>
          </w:tcPr>
          <w:p>
            <w:pPr>
              <w:jc w:val="right"/>
              <w:ind w:right="60"/>
              <w:spacing w:after="0"/>
              <w:rPr>
                <w:sz w:val="20"/>
                <w:szCs w:val="20"/>
                <w:color w:val="auto"/>
              </w:rPr>
            </w:pPr>
            <w:r>
              <w:rPr>
                <w:rFonts w:ascii="Arial" w:cs="Arial" w:eastAsia="Arial" w:hAnsi="Arial"/>
                <w:sz w:val="16"/>
                <w:szCs w:val="16"/>
                <w:color w:val="auto"/>
              </w:rPr>
              <w:t>(16,697)</w:t>
            </w: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1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(3,084)</w:t>
            </w:r>
          </w:p>
        </w:tc>
        <w:tc>
          <w:tcPr>
            <w:tcW w:w="1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(3,381)</w:t>
            </w: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12,835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29,664</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42,499</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3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(8,782)</w:t>
            </w: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(12,760)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Financial income</w:t>
            </w:r>
          </w:p>
        </w:tc>
        <w:tc>
          <w:tcPr>
            <w:tcW w:w="20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6"/>
                <w:szCs w:val="16"/>
                <w:color w:val="auto"/>
              </w:rPr>
              <w:t>117</w:t>
            </w:r>
          </w:p>
        </w:tc>
        <w:tc>
          <w:tcPr>
            <w:tcW w:w="1800" w:type="dxa"/>
            <w:vAlign w:val="bottom"/>
            <w:gridSpan w:val="4"/>
          </w:tcPr>
          <w:p>
            <w:pPr>
              <w:jc w:val="right"/>
              <w:ind w:right="100"/>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Gain on interest rate swaps</w:t>
            </w:r>
          </w:p>
        </w:tc>
        <w:tc>
          <w:tcPr>
            <w:tcW w:w="30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spacing w:after="0"/>
              <w:rPr>
                <w:sz w:val="17"/>
                <w:szCs w:val="17"/>
                <w:color w:val="auto"/>
              </w:rPr>
            </w:pPr>
          </w:p>
        </w:tc>
        <w:tc>
          <w:tcPr>
            <w:tcW w:w="18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(3,968)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(8,642)</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(12,610)</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8,867</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21,022</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29,889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5320" w:type="dxa"/>
            <w:vAlign w:val="bottom"/>
          </w:tcPr>
          <w:p>
            <w:pPr>
              <w:spacing w:after="0"/>
              <w:rPr>
                <w:sz w:val="24"/>
                <w:szCs w:val="24"/>
                <w:color w:val="auto"/>
              </w:rPr>
            </w:pPr>
          </w:p>
        </w:tc>
        <w:tc>
          <w:tcPr>
            <w:tcW w:w="2180" w:type="dxa"/>
            <w:vAlign w:val="bottom"/>
            <w:gridSpan w:val="4"/>
          </w:tcPr>
          <w:p>
            <w:pPr>
              <w:jc w:val="right"/>
              <w:ind w:right="1640"/>
              <w:spacing w:after="0"/>
              <w:rPr>
                <w:sz w:val="20"/>
                <w:szCs w:val="20"/>
                <w:color w:val="auto"/>
              </w:rPr>
            </w:pPr>
            <w:r>
              <w:rPr>
                <w:rFonts w:ascii="Arial" w:cs="Arial" w:eastAsia="Arial" w:hAnsi="Arial"/>
                <w:sz w:val="18"/>
                <w:szCs w:val="18"/>
                <w:color w:val="auto"/>
              </w:rPr>
              <w:t>A-1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800" w:type="dxa"/>
            <w:vAlign w:val="bottom"/>
            <w:tcBorders>
              <w:bottom w:val="single" w:sz="8" w:color="808080"/>
            </w:tcBorders>
            <w:gridSpan w:val="1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7"/>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0" w:type="dxa"/>
            <w:vAlign w:val="bottom"/>
            <w:gridSpan w:val="13"/>
          </w:tcPr>
          <w:p>
            <w:pPr>
              <w:jc w:val="center"/>
              <w:ind w:right="120"/>
              <w:spacing w:after="0"/>
              <w:rPr>
                <w:sz w:val="20"/>
                <w:szCs w:val="20"/>
                <w:color w:val="auto"/>
              </w:rPr>
            </w:pPr>
            <w:r>
              <w:rPr>
                <w:rFonts w:ascii="Arial" w:cs="Arial" w:eastAsia="Arial" w:hAnsi="Arial"/>
                <w:sz w:val="16"/>
                <w:szCs w:val="16"/>
                <w:b w:val="1"/>
                <w:bCs w:val="1"/>
                <w:color w:val="auto"/>
                <w:w w:val="92"/>
              </w:rPr>
              <w:t>For the three months ended March 31, 2018</w:t>
            </w:r>
          </w:p>
        </w:tc>
        <w:tc>
          <w:tcPr>
            <w:tcW w:w="40" w:type="dxa"/>
            <w:vAlign w:val="bottom"/>
          </w:tcPr>
          <w:p>
            <w:pPr>
              <w:spacing w:after="0"/>
              <w:rPr>
                <w:sz w:val="24"/>
                <w:szCs w:val="24"/>
                <w:color w:val="auto"/>
              </w:rPr>
            </w:pPr>
          </w:p>
        </w:tc>
      </w:tr>
      <w:tr>
        <w:trPr>
          <w:trHeight w:val="188"/>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4"/>
              </w:rPr>
              <w:t>IFRS Common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Results attributable</w:t>
            </w:r>
          </w:p>
        </w:tc>
        <w:tc>
          <w:tcPr>
            <w:tcW w:w="12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Partnership</w:t>
            </w:r>
          </w:p>
        </w:tc>
        <w:tc>
          <w:tcPr>
            <w:tcW w:w="1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4"/>
              </w:rPr>
              <w:t>Control Reported</w:t>
            </w:r>
          </w:p>
        </w:tc>
        <w:tc>
          <w:tcPr>
            <w:tcW w:w="40" w:type="dxa"/>
            <w:vAlign w:val="bottom"/>
          </w:tcPr>
          <w:p>
            <w:pPr>
              <w:spacing w:after="0"/>
              <w:rPr>
                <w:sz w:val="17"/>
                <w:szCs w:val="17"/>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(All amounts expressed in thousands of U.S. dollars)</w:t>
            </w:r>
          </w:p>
        </w:tc>
        <w:tc>
          <w:tcPr>
            <w:tcW w:w="300" w:type="dxa"/>
            <w:vAlign w:val="bottom"/>
          </w:tcPr>
          <w:p>
            <w:pPr>
              <w:spacing w:after="0"/>
              <w:rPr>
                <w:sz w:val="18"/>
                <w:szCs w:val="18"/>
                <w:color w:val="auto"/>
              </w:rPr>
            </w:pPr>
          </w:p>
        </w:tc>
        <w:tc>
          <w:tcPr>
            <w:tcW w:w="18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to GasLog</w:t>
            </w:r>
          </w:p>
        </w:tc>
        <w:tc>
          <w:tcPr>
            <w:tcW w:w="120" w:type="dxa"/>
            <w:vAlign w:val="bottom"/>
          </w:tcPr>
          <w:p>
            <w:pPr>
              <w:spacing w:after="0"/>
              <w:rPr>
                <w:sz w:val="18"/>
                <w:szCs w:val="18"/>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Performance Results</w:t>
            </w:r>
          </w:p>
        </w:tc>
        <w:tc>
          <w:tcPr>
            <w:tcW w:w="18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Results</w:t>
            </w:r>
          </w:p>
        </w:tc>
        <w:tc>
          <w:tcPr>
            <w:tcW w:w="40" w:type="dxa"/>
            <w:vAlign w:val="bottom"/>
          </w:tcPr>
          <w:p>
            <w:pPr>
              <w:spacing w:after="0"/>
              <w:rPr>
                <w:sz w:val="18"/>
                <w:szCs w:val="18"/>
                <w:color w:val="auto"/>
              </w:rPr>
            </w:pPr>
          </w:p>
        </w:tc>
      </w:tr>
      <w:tr>
        <w:trPr>
          <w:trHeight w:val="199"/>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77,061</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77,061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300" w:type="dxa"/>
            <w:vAlign w:val="bottom"/>
          </w:tcPr>
          <w:p>
            <w:pPr>
              <w:spacing w:after="0"/>
              <w:rPr>
                <w:sz w:val="17"/>
                <w:szCs w:val="17"/>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w w:val="97"/>
              </w:rPr>
              <w:t>(15,591)</w:t>
            </w:r>
          </w:p>
        </w:tc>
        <w:tc>
          <w:tcPr>
            <w:tcW w:w="1800" w:type="dxa"/>
            <w:vAlign w:val="bottom"/>
            <w:gridSpan w:val="4"/>
          </w:tcPr>
          <w:p>
            <w:pPr>
              <w:jc w:val="right"/>
              <w:ind w:right="60"/>
              <w:spacing w:after="0"/>
              <w:rPr>
                <w:sz w:val="20"/>
                <w:szCs w:val="20"/>
                <w:color w:val="auto"/>
              </w:rPr>
            </w:pPr>
            <w:r>
              <w:rPr>
                <w:rFonts w:ascii="Arial" w:cs="Arial" w:eastAsia="Arial" w:hAnsi="Arial"/>
                <w:sz w:val="16"/>
                <w:szCs w:val="16"/>
                <w:color w:val="auto"/>
              </w:rPr>
              <w:t>(15,591)</w:t>
            </w: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Voyage expenses and commissions</w:t>
            </w:r>
          </w:p>
        </w:tc>
        <w:tc>
          <w:tcPr>
            <w:tcW w:w="30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(1,055)</w:t>
            </w:r>
          </w:p>
        </w:tc>
        <w:tc>
          <w:tcPr>
            <w:tcW w:w="1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(1,055)</w:t>
            </w:r>
          </w:p>
        </w:tc>
        <w:tc>
          <w:tcPr>
            <w:tcW w:w="40" w:type="dxa"/>
            <w:vAlign w:val="bottom"/>
          </w:tcPr>
          <w:p>
            <w:pPr>
              <w:spacing w:after="0"/>
              <w:rPr>
                <w:sz w:val="17"/>
                <w:szCs w:val="17"/>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7"/>
                <w:szCs w:val="17"/>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w w:val="97"/>
              </w:rPr>
              <w:t>(16,786)</w:t>
            </w:r>
          </w:p>
        </w:tc>
        <w:tc>
          <w:tcPr>
            <w:tcW w:w="1800" w:type="dxa"/>
            <w:vAlign w:val="bottom"/>
            <w:gridSpan w:val="4"/>
          </w:tcPr>
          <w:p>
            <w:pPr>
              <w:jc w:val="right"/>
              <w:ind w:right="60"/>
              <w:spacing w:after="0"/>
              <w:rPr>
                <w:sz w:val="20"/>
                <w:szCs w:val="20"/>
                <w:color w:val="auto"/>
              </w:rPr>
            </w:pPr>
            <w:r>
              <w:rPr>
                <w:rFonts w:ascii="Arial" w:cs="Arial" w:eastAsia="Arial" w:hAnsi="Arial"/>
                <w:sz w:val="16"/>
                <w:szCs w:val="16"/>
                <w:color w:val="auto"/>
              </w:rPr>
              <w:t>(16,786)</w:t>
            </w:r>
          </w:p>
        </w:tc>
        <w:tc>
          <w:tcPr>
            <w:tcW w:w="4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17"/>
                <w:szCs w:val="17"/>
                <w:color w:val="auto"/>
              </w:rPr>
            </w:pP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(4,585)</w:t>
            </w:r>
          </w:p>
        </w:tc>
        <w:tc>
          <w:tcPr>
            <w:tcW w:w="1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(4,585)</w:t>
            </w:r>
          </w:p>
        </w:tc>
        <w:tc>
          <w:tcPr>
            <w:tcW w:w="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39,044</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39, 044</w:t>
            </w: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3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7"/>
              </w:rPr>
              <w:t>(13,888)</w:t>
            </w: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(13,888)</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-1828165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2" w:orient="portrait"/>
          <w:cols w:equalWidth="0" w:num="1">
            <w:col w:w="11460"/>
          </w:cols>
          <w:pgMar w:left="240" w:top="125" w:right="199" w:bottom="0" w:gutter="0" w:footer="0" w:header="0"/>
        </w:sectPr>
      </w:pPr>
    </w:p>
    <w:p>
      <w:pPr>
        <w:spacing w:after="0"/>
        <w:tabs>
          <w:tab w:leader="none" w:pos="7140" w:val="left"/>
          <w:tab w:leader="none" w:pos="9060" w:val="left"/>
          <w:tab w:leader="none" w:pos="11040" w:val="left"/>
        </w:tabs>
        <w:rPr>
          <w:sz w:val="20"/>
          <w:szCs w:val="20"/>
          <w:color w:val="auto"/>
        </w:rPr>
      </w:pPr>
      <w:r>
        <w:rPr>
          <w:rFonts w:ascii="Arial" w:cs="Arial" w:eastAsia="Arial" w:hAnsi="Arial"/>
          <w:sz w:val="16"/>
          <w:szCs w:val="16"/>
          <w:color w:val="auto"/>
        </w:rPr>
        <w:t>Financial income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519</w:t>
      </w:r>
      <w:r>
        <w:rPr>
          <w:sz w:val="20"/>
          <w:szCs w:val="20"/>
          <w:color w:val="auto"/>
        </w:rPr>
        <w:tab/>
      </w:r>
      <w:r>
        <w:rPr>
          <w:rFonts w:ascii="Arial" w:cs="Arial" w:eastAsia="Arial" w:hAnsi="Arial"/>
          <w:sz w:val="15"/>
          <w:szCs w:val="15"/>
          <w:color w:val="auto"/>
        </w:rPr>
        <w:t>519</w:t>
      </w:r>
    </w:p>
    <w:p>
      <w:pPr>
        <w:sectPr>
          <w:pgSz w:w="11900" w:h="16892" w:orient="portrait"/>
          <w:cols w:equalWidth="0" w:num="1">
            <w:col w:w="11460"/>
          </w:cols>
          <w:pgMar w:left="240" w:top="125" w:right="19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Gain on interest rate swaps</w:t>
            </w:r>
          </w:p>
        </w:tc>
        <w:tc>
          <w:tcPr>
            <w:tcW w:w="200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w:t>
            </w:r>
          </w:p>
        </w:tc>
        <w:tc>
          <w:tcPr>
            <w:tcW w:w="3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6,327</w:t>
            </w:r>
          </w:p>
        </w:tc>
      </w:tr>
      <w:tr>
        <w:trPr>
          <w:trHeight w:val="196"/>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70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(7,042)</w:t>
            </w:r>
          </w:p>
        </w:tc>
        <w:tc>
          <w:tcPr>
            <w:tcW w:w="30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(7,042)</w:t>
            </w:r>
          </w:p>
        </w:tc>
        <w:tc>
          <w:tcPr>
            <w:tcW w:w="100" w:type="dxa"/>
            <w:vAlign w:val="bottom"/>
            <w:tcBorders>
              <w:bottom w:val="single" w:sz="8" w:color="CCEEFF"/>
            </w:tcBorders>
          </w:tcPr>
          <w:p>
            <w:pPr>
              <w:spacing w:after="0"/>
              <w:rPr>
                <w:sz w:val="17"/>
                <w:szCs w:val="17"/>
                <w:color w:val="auto"/>
              </w:rPr>
            </w:pPr>
          </w:p>
        </w:tc>
      </w:tr>
      <w:tr>
        <w:trPr>
          <w:trHeight w:val="196"/>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17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32,002</w:t>
            </w:r>
          </w:p>
        </w:tc>
        <w:tc>
          <w:tcPr>
            <w:tcW w:w="3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2"/>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decimal"/>
      <w:start w:val="1"/>
    </w:lvl>
    <w:lvl w:ilvl="1">
      <w:lvlJc w:val="left"/>
      <w:lvlText w:val="(%2)"/>
      <w:numFmt w:val="lowerRoman"/>
      <w:start w:val="3"/>
    </w:lvl>
  </w:abstractNum>
  <w:abstractNum w:abstractNumId="20">
    <w:nsid w:val="6763845E"/>
    <w:multiLevelType w:val="hybridMultilevel"/>
    <w:lvl w:ilvl="0">
      <w:lvlJc w:val="left"/>
      <w:lvlText w:val="%1."/>
      <w:numFmt w:val="decimal"/>
      <w:start w:val="4"/>
    </w:lvl>
    <w:lvl w:ilvl="1">
      <w:lvlJc w:val="left"/>
      <w:lvlText w:val="%2"/>
      <w:numFmt w:val="lowerRoman"/>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238"/>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2019-12-08T09:57:23Z</dcterms:created>
  <dcterms:modified xsi:type="dcterms:W3CDTF">2019-12-08T09:57:23Z</dcterms:modified>
</cp:coreProperties>
</file>