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8117d1_6k.htm"/>
      <w:bookmarkStart w:id="1" w:name="kstm2628117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 UNDER THE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October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001-36433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GasLog Partners LP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 GasLog LNG Services Ltd.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 Akti Miaouli, 18537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Piraeus, Greece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press release issued by GasLog Partners LP on October 23, 2026 relating to its results for the three-month period ended September 30, 2026 is attached hereto as 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LIST</w:t>
      </w:r>
    </w:p>
    <w:p>
      <w:pPr>
        <w:pStyle w:val="TextBody"/>
        <w:bidi w:val="0"/>
        <w:spacing w:before="0" w:after="0"/>
        <w:ind w:left="0" w:right="0" w:hanging="0"/>
        <w:jc w:val="left"/>
        <w:rPr>
          <w:caps w:val="false"/>
          <w:smallCaps w:val="false"/>
        </w:rPr>
      </w:pPr>
      <w:r>
        <w:rPr>
          <w:caps w:val="false"/>
          <w:smallCaps w:val="false"/>
        </w:rPr>
        <w:t> </w:t>
      </w:r>
    </w:p>
    <w:tbl>
      <w:tblPr>
        <w:tblW w:w="5620" w:type="dxa"/>
        <w:jc w:val="left"/>
        <w:tblInd w:w="0" w:type="dxa"/>
        <w:tblLayout w:type="fixed"/>
        <w:tblCellMar>
          <w:top w:w="0" w:type="dxa"/>
          <w:left w:w="0" w:type="dxa"/>
          <w:bottom w:w="0" w:type="dxa"/>
          <w:right w:w="0" w:type="dxa"/>
        </w:tblCellMar>
      </w:tblPr>
      <w:tblGrid>
        <w:gridCol w:w="650"/>
        <w:gridCol w:w="60"/>
        <w:gridCol w:w="4910"/>
      </w:tblGrid>
      <w:tr>
        <w:trPr/>
        <w:tc>
          <w:tcPr>
            <w:tcW w:w="6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Description</w:t>
            </w:r>
          </w:p>
        </w:tc>
      </w:tr>
      <w:tr>
        <w:trPr/>
        <w:tc>
          <w:tcPr>
            <w:tcW w:w="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tm2628117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left"/>
              <w:rPr/>
            </w:pPr>
            <w:r>
              <w:rPr/>
              <w:t> </w:t>
            </w:r>
          </w:p>
        </w:tc>
        <w:tc>
          <w:tcPr>
            <w:tcW w:w="4910" w:type="dxa"/>
            <w:tcBorders/>
            <w:vAlign w:val="center"/>
          </w:tcPr>
          <w:p>
            <w:pPr>
              <w:pStyle w:val="TableContents"/>
              <w:bidi w:val="0"/>
              <w:spacing w:before="0" w:after="283"/>
              <w:jc w:val="left"/>
              <w:rPr/>
            </w:pPr>
            <w:hyperlink w:anchor="tm2628117d1_ex99-1.htm">
              <w:r>
                <w:rPr>
                  <w:rStyle w:val="InternetLink"/>
                  <w:rFonts w:ascii="Times New Roman;Times;Serif" w:hAnsi="Times New Roman;Times;Serif"/>
                  <w:sz w:val="20"/>
                </w:rPr>
                <w:t>Press Release of GasLog Partners LP dated October 23, 2026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715" w:type="dxa"/>
        <w:jc w:val="left"/>
        <w:tblInd w:w="0" w:type="dxa"/>
        <w:tblLayout w:type="fixed"/>
        <w:tblCellMar>
          <w:top w:w="0" w:type="dxa"/>
          <w:left w:w="0" w:type="dxa"/>
          <w:bottom w:w="0" w:type="dxa"/>
          <w:right w:w="0" w:type="dxa"/>
        </w:tblCellMar>
      </w:tblPr>
      <w:tblGrid>
        <w:gridCol w:w="1925"/>
        <w:gridCol w:w="60"/>
        <w:gridCol w:w="230"/>
        <w:gridCol w:w="545"/>
        <w:gridCol w:w="1955"/>
      </w:tblGrid>
      <w:tr>
        <w:trPr/>
        <w:tc>
          <w:tcPr>
            <w:tcW w:w="19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October 23, 2026</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2790" w:type="dxa"/>
            <w:gridSpan w:val="4"/>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GASLOG PARTNERS LP</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Paolo Enoizi</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Paolo Enoizi</w:t>
            </w:r>
          </w:p>
        </w:tc>
      </w:tr>
      <w:tr>
        <w:trPr/>
        <w:tc>
          <w:tcPr>
            <w:tcW w:w="19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2" w:name="tm2628117d1_ex99-1.htm"/>
      <w:bookmarkStart w:id="3" w:name="kstm2628117d1_ex991"/>
      <w:bookmarkEnd w:id="2"/>
      <w:bookmarkEnd w:id="3"/>
      <w:r>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GasLog Partners LP Reports Financial Results for the Three-Month Period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Majuro, Marshall Islands, October 23, 2026, GasLog Partners LP (“GasLog Partners” or the “Partnership”) (NYSE: GLOP-PA, GLOP-PB, GLOP-PC), </w:t>
      </w:r>
      <w:r>
        <w:rPr>
          <w:rFonts w:ascii="Times New Roman;Times;Serif" w:hAnsi="Times New Roman;Times;Serif"/>
          <w:b w:val="false"/>
          <w:i w:val="false"/>
          <w:caps w:val="false"/>
          <w:smallCaps w:val="false"/>
          <w:sz w:val="20"/>
        </w:rPr>
        <w:t>an international owner and operator of liquefied natural gas (“LNG”) carriers, today reported its financial results for the three-month period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Incident on Vessel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 2026, </w:t>
      </w:r>
      <w:r>
        <w:rPr>
          <w:rFonts w:ascii="Times New Roman;Times;Serif" w:hAnsi="Times New Roman;Times;Serif"/>
          <w:b w:val="false"/>
          <w:i/>
          <w:caps w:val="false"/>
          <w:smallCaps w:val="false"/>
          <w:sz w:val="20"/>
        </w:rPr>
        <w:t>GasLog Shanghai</w:t>
      </w:r>
      <w:r>
        <w:rPr>
          <w:rFonts w:ascii="Times New Roman;Times;Serif" w:hAnsi="Times New Roman;Times;Serif"/>
          <w:b w:val="false"/>
          <w:i w:val="false"/>
          <w:caps w:val="false"/>
          <w:smallCaps w:val="false"/>
          <w:sz w:val="20"/>
        </w:rPr>
        <w:t>, a 155,000 cubic meter tri-fuel diesel electric propulsion (“TFDE”) LNG carrier built in 2013, was struck by an unknown projectile while transiting the Strait of Hormuz. The vessel experienced a loss of power and propulsion but there were no injuries or pollution. Following the extensive efforts by the crew, on August 4, 2026, the vessel proceeded under its own power to the east coast of United Arab Emirates for temporary repairs. On September 22, 2026, the vessel arrived to the shipyard, for permanent repairs. The cost of repairs for damage to the vessel and the associated loss of hire were fully insured under the vessel’s war risk and war loss of hire insurance policies. Upon completion of the repairs, the vessel will be redelivered to its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Quarterly Financial Results</w:t>
      </w:r>
    </w:p>
    <w:p>
      <w:pPr>
        <w:pStyle w:val="TextBody"/>
        <w:bidi w:val="0"/>
        <w:spacing w:before="0" w:after="0"/>
        <w:ind w:left="0" w:right="0" w:hanging="0"/>
        <w:jc w:val="left"/>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080"/>
        <w:gridCol w:w="60"/>
        <w:gridCol w:w="196"/>
        <w:gridCol w:w="1024"/>
        <w:gridCol w:w="113"/>
        <w:gridCol w:w="85"/>
        <w:gridCol w:w="213"/>
        <w:gridCol w:w="1007"/>
        <w:gridCol w:w="75"/>
      </w:tblGrid>
      <w:tr>
        <w:trPr/>
        <w:tc>
          <w:tcPr>
            <w:tcW w:w="3080"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Amounts in thousands of U.S. dollars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63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br/>
              <w:t>2025</w:t>
            </w:r>
          </w:p>
        </w:tc>
        <w:tc>
          <w:tcPr>
            <w:tcW w:w="113" w:type="dxa"/>
            <w:tcBorders/>
            <w:vAlign w:val="center"/>
          </w:tcPr>
          <w:p>
            <w:pPr>
              <w:pStyle w:val="TableContents"/>
              <w:bidi w:val="0"/>
              <w:spacing w:before="0" w:after="283"/>
              <w:jc w:val="left"/>
              <w:rPr>
                <w:caps w:val="false"/>
                <w:smallCaps w:val="false"/>
              </w:rPr>
            </w:pPr>
            <w:r>
              <w:rPr>
                <w:caps w:val="false"/>
                <w:smallCaps w:val="false"/>
              </w:rPr>
              <w:t> </w:t>
            </w:r>
          </w:p>
        </w:tc>
        <w:tc>
          <w:tcPr>
            <w:tcW w:w="85" w:type="dxa"/>
            <w:tcBorders/>
            <w:vAlign w:val="center"/>
          </w:tcPr>
          <w:p>
            <w:pPr>
              <w:pStyle w:val="TableContents"/>
              <w:bidi w:val="0"/>
              <w:spacing w:before="0" w:after="283"/>
              <w:jc w:val="left"/>
              <w:rPr>
                <w:caps w:val="false"/>
                <w:smallCaps w:val="false"/>
              </w:rPr>
            </w:pPr>
            <w:r>
              <w:rPr>
                <w:caps w:val="false"/>
                <w:smallCaps w:val="false"/>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br/>
              <w:t>2026</w:t>
            </w:r>
          </w:p>
        </w:tc>
        <w:tc>
          <w:tcPr>
            <w:tcW w:w="75" w:type="dxa"/>
            <w:tcBorders/>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30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60,863</w:t>
            </w:r>
          </w:p>
        </w:tc>
        <w:tc>
          <w:tcPr>
            <w:tcW w:w="113"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53,703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0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(Loss)/profit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2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(13,033</w:t>
            </w:r>
          </w:p>
        </w:tc>
        <w:tc>
          <w:tcPr>
            <w:tcW w:w="1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3"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7"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5,992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 were $53.7 million for the quarter ended September 30, 2026 ($60.9 million for the same period in 2025). The decrease of $7.2 million is mainly attributable to the steam turbine propulsion (“Steam”) vessels that have exited our fleet in the fourth quarter of 2025 as well as in the second quarter of 2026, a decrease in available days for the remaining vessels (92 dry-docking off-hire days in the quarter ended September 30, 2026, compared to 31 dry-docking off-hire days in the same period in 2025), partially offset by higher average charter rates during the three months ended September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Profit was $6.0 million for the quarter ended September 30, 2026 (loss of $13.0 million for the same period in 2025). The increase in profit of $19.0 million is mainly attributable to a) a decrease of $23.8 million in non-cash impairment loss ($23.6 million non-cash impairment loss was recognized in the quarter ended September 30, 2025, of which $22.3 million resulted from the agreement to sell the </w:t>
      </w:r>
      <w:r>
        <w:rPr>
          <w:rFonts w:ascii="Times New Roman;Times;Serif" w:hAnsi="Times New Roman;Times;Serif"/>
          <w:b w:val="false"/>
          <w:i/>
          <w:caps w:val="false"/>
          <w:smallCaps w:val="false"/>
          <w:sz w:val="20"/>
        </w:rPr>
        <w:t>Methane Jane Elizabeth)</w:t>
      </w:r>
      <w:r>
        <w:rPr>
          <w:rFonts w:ascii="Times New Roman;Times;Serif" w:hAnsi="Times New Roman;Times;Serif"/>
          <w:b w:val="false"/>
          <w:i w:val="false"/>
          <w:caps w:val="false"/>
          <w:smallCaps w:val="false"/>
          <w:sz w:val="20"/>
        </w:rPr>
        <w:t>, b) a decrease of $5.1 million in depreciation as a result of the decrease in the average number of vessels in our fleet and the impairment charges recognized in the prior year and c) a decrease of $2.1 million in vessel operating costs mainly attributable to the decrease in the average number of vessels in our fleet, partially offset by an increase in the daily running cost. The above-mentioned fluctuations were partially offset by a) a decrease of $7.2 million in revenues, as discussed above, and b) an increase of $6.4 million in voyage expenses and commissions mainly attributable to an increase in bunkers consumption, as a result of the decreased utilization of the remaining spot fleet.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financial position</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expressed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6943" w:type="dxa"/>
        <w:jc w:val="left"/>
        <w:tblInd w:w="0" w:type="dxa"/>
        <w:tblLayout w:type="fixed"/>
        <w:tblCellMar>
          <w:top w:w="0" w:type="dxa"/>
          <w:left w:w="0" w:type="dxa"/>
          <w:bottom w:w="0" w:type="dxa"/>
          <w:right w:w="0" w:type="dxa"/>
        </w:tblCellMar>
      </w:tblPr>
      <w:tblGrid>
        <w:gridCol w:w="3365"/>
        <w:gridCol w:w="60"/>
        <w:gridCol w:w="107"/>
        <w:gridCol w:w="1532"/>
        <w:gridCol w:w="60"/>
        <w:gridCol w:w="60"/>
        <w:gridCol w:w="110"/>
        <w:gridCol w:w="1574"/>
        <w:gridCol w:w="75"/>
      </w:tblGrid>
      <w:tr>
        <w:trPr/>
        <w:tc>
          <w:tcPr>
            <w:tcW w:w="33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3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 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8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2026</w:t>
            </w:r>
          </w:p>
        </w:tc>
        <w:tc>
          <w:tcPr>
            <w:tcW w:w="75" w:type="dxa"/>
            <w:tcBorders/>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assets</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7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628</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Tangible fixed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1,116,578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1,056,777</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54,960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29,341</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1,172,611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1,086,746</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assets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and other receivables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31,724</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15,044</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from related parties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3,421</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Prepayments and other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2,448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2,244</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2,965</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29,689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55,398</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assets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1,202,300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1,142,144</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 equity and liabilities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Partners’ equity</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7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unitholders and general partner</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814,972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783,170</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Preference unitholders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279,859</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279,917</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partners’ equity</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1,094,831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1,063,087</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07" w:type="dxa"/>
            <w:tcBorders/>
            <w:shd w:fill="FFFFFF" w:val="clear"/>
            <w:vAlign w:val="center"/>
          </w:tcPr>
          <w:p>
            <w:pPr>
              <w:pStyle w:val="TableContents"/>
              <w:bidi w:val="0"/>
              <w:spacing w:before="0" w:after="283"/>
              <w:jc w:val="left"/>
              <w:rPr/>
            </w:pPr>
            <w:r>
              <w:rPr/>
              <w:t> </w:t>
            </w:r>
          </w:p>
        </w:tc>
        <w:tc>
          <w:tcPr>
            <w:tcW w:w="153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1574"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ind w:left="0" w:right="0" w:hanging="173"/>
              <w:jc w:val="left"/>
              <w:rPr/>
            </w:pPr>
            <w:r>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 accounts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2,815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8,166</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and accruals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39,532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36,440</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liabilities—current portion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38,679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28,233</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81,026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72,839</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Non-current liabilities</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53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157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ind w:left="0" w:right="0" w:hanging="173"/>
              <w:jc w:val="left"/>
              <w:rPr/>
            </w:pPr>
            <w:r>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liabilities—non-current portion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3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7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6,078</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75" w:type="dxa"/>
            <w:tcBorders/>
            <w:shd w:fill="CCEE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non-current liabilities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26,443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6,218</w:t>
            </w:r>
          </w:p>
        </w:tc>
        <w:tc>
          <w:tcPr>
            <w:tcW w:w="75" w:type="dxa"/>
            <w:tcBorders/>
            <w:shd w:fill="FFFFFF" w:val="clear"/>
            <w:vAlign w:val="center"/>
          </w:tcPr>
          <w:p>
            <w:pPr>
              <w:pStyle w:val="TableContents"/>
              <w:bidi w:val="0"/>
              <w:spacing w:before="0" w:after="283"/>
              <w:ind w:left="0" w:right="0" w:hanging="173"/>
              <w:jc w:val="left"/>
              <w:rPr>
                <w:caps w:val="false"/>
                <w:smallCaps w:val="false"/>
              </w:rPr>
            </w:pPr>
            <w:r>
              <w:rPr>
                <w:caps w:val="false"/>
                <w:smallCaps w:val="false"/>
              </w:rPr>
              <w:t> </w:t>
            </w:r>
          </w:p>
        </w:tc>
      </w:tr>
      <w:tr>
        <w:trPr/>
        <w:tc>
          <w:tcPr>
            <w:tcW w:w="336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partners’ equity and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7"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32"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1,202,300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74"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1,142,144</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profit or loss</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amounts expressed in thousands of U.S. Dollars)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897"/>
        <w:gridCol w:w="60"/>
        <w:gridCol w:w="139"/>
        <w:gridCol w:w="1516"/>
        <w:gridCol w:w="115"/>
        <w:gridCol w:w="87"/>
        <w:gridCol w:w="139"/>
        <w:gridCol w:w="1516"/>
        <w:gridCol w:w="80"/>
        <w:gridCol w:w="60"/>
        <w:gridCol w:w="129"/>
        <w:gridCol w:w="1526"/>
        <w:gridCol w:w="106"/>
        <w:gridCol w:w="79"/>
        <w:gridCol w:w="129"/>
        <w:gridCol w:w="1526"/>
        <w:gridCol w:w="101"/>
      </w:tblGrid>
      <w:tr>
        <w:trPr/>
        <w:tc>
          <w:tcPr>
            <w:tcW w:w="28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1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49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nine months ended</w:t>
            </w:r>
          </w:p>
        </w:tc>
        <w:tc>
          <w:tcPr>
            <w:tcW w:w="101"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115" w:type="dxa"/>
            <w:tcBorders/>
            <w:vAlign w:val="center"/>
          </w:tcPr>
          <w:p>
            <w:pPr>
              <w:pStyle w:val="TableContents"/>
              <w:bidi w:val="0"/>
              <w:spacing w:before="0" w:after="283"/>
              <w:jc w:val="left"/>
              <w:rPr>
                <w:caps w:val="false"/>
                <w:smallCaps w:val="false"/>
              </w:rPr>
            </w:pPr>
            <w:r>
              <w:rPr>
                <w:caps w:val="false"/>
                <w:smallCaps w:val="false"/>
              </w:rPr>
              <w:t> </w:t>
            </w:r>
          </w:p>
        </w:tc>
        <w:tc>
          <w:tcPr>
            <w:tcW w:w="87"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2026</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2025</w:t>
            </w:r>
          </w:p>
        </w:tc>
        <w:tc>
          <w:tcPr>
            <w:tcW w:w="106"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left"/>
              <w:rPr>
                <w:caps w:val="false"/>
                <w:smallCaps w:val="false"/>
              </w:rPr>
            </w:pPr>
            <w:r>
              <w:rPr>
                <w:caps w:val="false"/>
                <w:smallCaps w:val="false"/>
              </w:rPr>
              <w:t> </w:t>
            </w:r>
          </w:p>
        </w:tc>
        <w:tc>
          <w:tcPr>
            <w:tcW w:w="16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2026</w:t>
            </w:r>
          </w:p>
        </w:tc>
        <w:tc>
          <w:tcPr>
            <w:tcW w:w="101" w:type="dxa"/>
            <w:tcBorders/>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28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60,863</w:t>
            </w:r>
          </w:p>
        </w:tc>
        <w:tc>
          <w:tcPr>
            <w:tcW w:w="11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53,703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211,371</w:t>
            </w:r>
          </w:p>
        </w:tc>
        <w:tc>
          <w:tcPr>
            <w:tcW w:w="10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211,811</w:t>
            </w:r>
          </w:p>
        </w:tc>
        <w:tc>
          <w:tcPr>
            <w:tcW w:w="101" w:type="dxa"/>
            <w:tcBorders/>
            <w:shd w:fill="CCEEFF" w:val="clear"/>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28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Voyage expenses and commissions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(4,776</w:t>
            </w:r>
          </w:p>
        </w:tc>
        <w:tc>
          <w:tcPr>
            <w:tcW w:w="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(11,244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(15,027</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(19,902</w:t>
            </w:r>
          </w:p>
        </w:tc>
        <w:tc>
          <w:tcPr>
            <w:tcW w:w="101" w:type="dxa"/>
            <w:tcBorders/>
            <w:shd w:fill="FFFF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Vessel operating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(16,008</w:t>
            </w:r>
          </w:p>
        </w:tc>
        <w:tc>
          <w:tcPr>
            <w:tcW w:w="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(13,913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(47,882</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(44,293</w:t>
            </w:r>
          </w:p>
        </w:tc>
        <w:tc>
          <w:tcPr>
            <w:tcW w:w="101" w:type="dxa"/>
            <w:tcBorders/>
            <w:shd w:fill="CCEE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(24,790</w:t>
            </w:r>
          </w:p>
        </w:tc>
        <w:tc>
          <w:tcPr>
            <w:tcW w:w="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(19,670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(81,032</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(58,677</w:t>
            </w:r>
          </w:p>
        </w:tc>
        <w:tc>
          <w:tcPr>
            <w:tcW w:w="101" w:type="dxa"/>
            <w:tcBorders/>
            <w:shd w:fill="FFFF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(3,419</w:t>
            </w:r>
          </w:p>
        </w:tc>
        <w:tc>
          <w:tcPr>
            <w:tcW w:w="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(10,299</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(9,244</w:t>
            </w:r>
          </w:p>
        </w:tc>
        <w:tc>
          <w:tcPr>
            <w:tcW w:w="101" w:type="dxa"/>
            <w:tcBorders/>
            <w:shd w:fill="CCEE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Loss on disposal of vessels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1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w:t>
            </w:r>
          </w:p>
        </w:tc>
        <w:tc>
          <w:tcPr>
            <w:tcW w:w="106"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w:t>
            </w:r>
          </w:p>
        </w:tc>
        <w:tc>
          <w:tcPr>
            <w:tcW w:w="101" w:type="dxa"/>
            <w:tcBorders/>
            <w:shd w:fill="FFFF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(23,558</w:t>
            </w:r>
          </w:p>
        </w:tc>
        <w:tc>
          <w:tcPr>
            <w:tcW w:w="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(58,170</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(8,018</w:t>
            </w:r>
          </w:p>
        </w:tc>
        <w:tc>
          <w:tcPr>
            <w:tcW w:w="101" w:type="dxa"/>
            <w:tcBorders/>
            <w:shd w:fill="CCEE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(Loss)/profit from operations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(11,825</w:t>
            </w:r>
          </w:p>
        </w:tc>
        <w:tc>
          <w:tcPr>
            <w:tcW w:w="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6,582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(1,176</w:t>
            </w:r>
          </w:p>
        </w:tc>
        <w:tc>
          <w:tcPr>
            <w:tcW w:w="10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71,567</w:t>
            </w:r>
          </w:p>
        </w:tc>
        <w:tc>
          <w:tcPr>
            <w:tcW w:w="101" w:type="dxa"/>
            <w:tcBorders/>
            <w:shd w:fill="FFFFFF" w:val="clear"/>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289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costs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(1,219</w:t>
            </w:r>
          </w:p>
        </w:tc>
        <w:tc>
          <w:tcPr>
            <w:tcW w:w="1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(601</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(3,992</w:t>
            </w:r>
          </w:p>
        </w:tc>
        <w:tc>
          <w:tcPr>
            <w:tcW w:w="10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26"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(2,208</w:t>
            </w:r>
          </w:p>
        </w:tc>
        <w:tc>
          <w:tcPr>
            <w:tcW w:w="101" w:type="dxa"/>
            <w:tcBorders/>
            <w:shd w:fill="CCEEFF" w:val="clear"/>
            <w:vAlign w:val="center"/>
          </w:tcPr>
          <w:p>
            <w:pPr>
              <w:pStyle w:val="TableContents"/>
              <w:bidi w:val="0"/>
              <w:spacing w:before="0" w:after="283"/>
              <w:ind w:left="0" w:right="0" w:hanging="176"/>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89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income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11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10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101" w:type="dxa"/>
            <w:tcBorders/>
            <w:shd w:fill="FFFFFF" w:val="clear"/>
            <w:vAlign w:val="center"/>
          </w:tcPr>
          <w:p>
            <w:pPr>
              <w:pStyle w:val="TableContents"/>
              <w:bidi w:val="0"/>
              <w:spacing w:before="0" w:after="283"/>
              <w:ind w:left="0" w:right="0" w:hanging="176"/>
              <w:jc w:val="left"/>
              <w:rPr>
                <w:caps w:val="false"/>
                <w:smallCaps w:val="false"/>
              </w:rPr>
            </w:pPr>
            <w:r>
              <w:rPr>
                <w:caps w:val="false"/>
                <w:smallCaps w:val="false"/>
              </w:rPr>
              <w:t> </w:t>
            </w:r>
          </w:p>
        </w:tc>
      </w:tr>
      <w:tr>
        <w:trPr/>
        <w:tc>
          <w:tcPr>
            <w:tcW w:w="2897"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other expenses, net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(1,208</w:t>
            </w:r>
          </w:p>
        </w:tc>
        <w:tc>
          <w:tcPr>
            <w:tcW w:w="11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(590</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(3,929</w:t>
            </w:r>
          </w:p>
        </w:tc>
        <w:tc>
          <w:tcPr>
            <w:tcW w:w="106"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(2,161</w:t>
            </w:r>
          </w:p>
        </w:tc>
        <w:tc>
          <w:tcPr>
            <w:tcW w:w="101" w:type="dxa"/>
            <w:tcBorders/>
            <w:shd w:fill="CCEEFF" w:val="clear"/>
            <w:vAlign w:val="center"/>
          </w:tcPr>
          <w:p>
            <w:pPr>
              <w:pStyle w:val="TableContents"/>
              <w:bidi w:val="0"/>
              <w:spacing w:before="0" w:after="283"/>
              <w:ind w:left="0" w:right="0" w:hanging="176"/>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r>
      <w:tr>
        <w:trPr/>
        <w:tc>
          <w:tcPr>
            <w:tcW w:w="2897"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(Loss)/profit for the period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(13,033</w:t>
            </w:r>
          </w:p>
        </w:tc>
        <w:tc>
          <w:tcPr>
            <w:tcW w:w="115"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8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1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5,992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(5,105</w:t>
            </w:r>
          </w:p>
        </w:tc>
        <w:tc>
          <w:tcPr>
            <w:tcW w:w="106" w:type="dxa"/>
            <w:tcBorders/>
            <w:shd w:fill="FFFF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9"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526" w:type="dxa"/>
            <w:tcBorders>
              <w:bottom w:val="double" w:sz="6"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69,406</w:t>
            </w:r>
          </w:p>
        </w:tc>
        <w:tc>
          <w:tcPr>
            <w:tcW w:w="10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1012</Words>
  <Characters>5444</Characters>
  <CharactersWithSpaces>6630</CharactersWithSpaces>
  <Paragraphs>642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