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color w:val="auto"/>
        </w:rPr>
        <w:t>SCHEDULE 13G*</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(Rule 13d-102)</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INFORMATION TO BE INCLUDED</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IN STATEMENTS FILED PURSUANT</w:t>
      </w:r>
    </w:p>
    <w:p>
      <w:pPr>
        <w:jc w:val="center"/>
        <w:ind w:right="-59"/>
        <w:spacing w:after="0" w:line="230" w:lineRule="auto"/>
        <w:rPr>
          <w:sz w:val="20"/>
          <w:szCs w:val="20"/>
          <w:color w:val="auto"/>
        </w:rPr>
      </w:pPr>
      <w:r>
        <w:rPr>
          <w:rFonts w:ascii="Times New Roman" w:cs="Times New Roman" w:eastAsia="Times New Roman" w:hAnsi="Times New Roman"/>
          <w:sz w:val="22"/>
          <w:szCs w:val="22"/>
          <w:color w:val="auto"/>
        </w:rPr>
        <w:t>TO RULES 13d-1(b), (c), AND</w:t>
      </w:r>
    </w:p>
    <w:p>
      <w:pPr>
        <w:spacing w:after="0" w:line="1" w:lineRule="exact"/>
        <w:rPr>
          <w:sz w:val="24"/>
          <w:szCs w:val="24"/>
          <w:color w:val="auto"/>
        </w:rPr>
      </w:pPr>
    </w:p>
    <w:p>
      <w:pPr>
        <w:jc w:val="both"/>
        <w:ind w:left="3960" w:right="3860" w:hanging="29"/>
        <w:spacing w:after="0" w:line="241" w:lineRule="auto"/>
        <w:tabs>
          <w:tab w:leader="none" w:pos="423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AMENDMENTS THERETO FILED PURSUANT TO RULE 13d-2</w:t>
      </w:r>
    </w:p>
    <w:p>
      <w:pPr>
        <w:spacing w:after="0" w:line="1" w:lineRule="exact"/>
        <w:rPr>
          <w:rFonts w:ascii="Times New Roman" w:cs="Times New Roman" w:eastAsia="Times New Roman" w:hAnsi="Times New Roman"/>
          <w:sz w:val="21"/>
          <w:szCs w:val="21"/>
          <w:color w:val="auto"/>
        </w:rPr>
      </w:pPr>
    </w:p>
    <w:p>
      <w:pPr>
        <w:ind w:left="42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(AMENDMENT NO. ONE )*</w:t>
      </w:r>
    </w:p>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u w:val="single" w:color="auto"/>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33" w:lineRule="exact"/>
        <w:rPr>
          <w:sz w:val="24"/>
          <w:szCs w:val="24"/>
          <w:color w:val="auto"/>
        </w:rPr>
      </w:pPr>
    </w:p>
    <w:p>
      <w:pPr>
        <w:jc w:val="both"/>
        <w:ind w:right="9640" w:firstLine="8"/>
        <w:spacing w:after="0" w:line="272" w:lineRule="exact"/>
        <w:tabs>
          <w:tab w:leader="none" w:pos="30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Rule 13d-1(b)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Rule 13d-1(c)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Rule 13d-1(d)</w:t>
      </w:r>
    </w:p>
    <w:p>
      <w:pPr>
        <w:spacing w:after="0" w:line="184" w:lineRule="exact"/>
        <w:rPr>
          <w:sz w:val="24"/>
          <w:szCs w:val="24"/>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35" w:right="399" w:bottom="1440" w:gutter="0" w:footer="0" w:header="0"/>
        </w:sectPr>
      </w:pPr>
    </w:p>
    <w:bookmarkStart w:id="1" w:name="page2"/>
    <w:bookmarkEnd w:id="1"/>
    <w:p>
      <w:pPr>
        <w:ind w:left="1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6471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71920"/>
                    </a:xfrm>
                    <a:prstGeom prst="rect">
                      <a:avLst/>
                    </a:prstGeom>
                    <a:noFill/>
                  </pic:spPr>
                </pic:pic>
              </a:graphicData>
            </a:graphic>
          </wp:anchor>
        </w:drawing>
        <w:t>NAMES OF REPORTING PERSONS</w:t>
      </w:r>
    </w:p>
    <w:p>
      <w:pPr>
        <w:spacing w:after="0" w:line="63" w:lineRule="exact"/>
        <w:rPr>
          <w:sz w:val="20"/>
          <w:szCs w:val="20"/>
          <w:color w:val="auto"/>
        </w:rPr>
      </w:pPr>
    </w:p>
    <w:p>
      <w:pPr>
        <w:ind w:left="1340" w:right="3940" w:hanging="818"/>
        <w:spacing w:after="0" w:line="181" w:lineRule="auto"/>
        <w:tabs>
          <w:tab w:leader="none" w:pos="1331" w:val="left"/>
        </w:tabs>
        <w:numPr>
          <w:ilvl w:val="0"/>
          <w:numId w:val="3"/>
        </w:numPr>
        <w:rPr>
          <w:rFonts w:ascii="Times New Roman" w:cs="Times New Roman" w:eastAsia="Times New Roman" w:hAnsi="Times New Roman"/>
          <w:sz w:val="57"/>
          <w:szCs w:val="57"/>
          <w:b w:val="1"/>
          <w:bCs w:val="1"/>
          <w:color w:val="auto"/>
          <w:vertAlign w:val="subscript"/>
        </w:rPr>
      </w:pPr>
      <w:r>
        <w:rPr>
          <w:rFonts w:ascii="Times New Roman" w:cs="Times New Roman" w:eastAsia="Times New Roman" w:hAnsi="Times New Roman"/>
          <w:sz w:val="17"/>
          <w:szCs w:val="17"/>
          <w:b w:val="1"/>
          <w:bCs w:val="1"/>
          <w:color w:val="auto"/>
        </w:rPr>
        <w:t xml:space="preserve">I.R.S. IDENTIFICATION NOS. OF ABOVE PERSONS (ENTITIES ONLY) </w:t>
      </w:r>
      <w:r>
        <w:rPr>
          <w:rFonts w:ascii="Times New Roman" w:cs="Times New Roman" w:eastAsia="Times New Roman" w:hAnsi="Times New Roman"/>
          <w:sz w:val="17"/>
          <w:szCs w:val="17"/>
          <w:color w:val="auto"/>
        </w:rPr>
        <w:t>Tortoise Capital Adviors, L.L.C.</w:t>
      </w:r>
    </w:p>
    <w:p>
      <w:pPr>
        <w:spacing w:after="0" w:line="18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p>
      <w:pPr>
        <w:ind w:left="1320" w:hanging="798"/>
        <w:spacing w:after="0" w:line="335" w:lineRule="exact"/>
        <w:tabs>
          <w:tab w:leader="none" w:pos="132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p>
      <w:pPr>
        <w:spacing w:after="0" w:line="49" w:lineRule="exact"/>
        <w:rPr>
          <w:rFonts w:ascii="Times New Roman" w:cs="Times New Roman" w:eastAsia="Times New Roman" w:hAnsi="Times New Roman"/>
          <w:sz w:val="32"/>
          <w:szCs w:val="32"/>
          <w:b w:val="1"/>
          <w:bCs w:val="1"/>
          <w:color w:val="auto"/>
        </w:rPr>
      </w:pPr>
    </w:p>
    <w:p>
      <w:pPr>
        <w:ind w:left="132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(b) [x]</w:t>
      </w:r>
    </w:p>
    <w:p>
      <w:pPr>
        <w:spacing w:after="0" w:line="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SEC USE ONLY</w:t>
      </w:r>
    </w:p>
    <w:p>
      <w:pPr>
        <w:ind w:left="52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340" w:hanging="818"/>
        <w:spacing w:after="0" w:line="182" w:lineRule="auto"/>
        <w:tabs>
          <w:tab w:leader="none" w:pos="1340" w:val="left"/>
        </w:tabs>
        <w:numPr>
          <w:ilvl w:val="0"/>
          <w:numId w:val="5"/>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Delaware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5</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81"/>
        </w:trPr>
        <w:tc>
          <w:tcPr>
            <w:tcW w:w="19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6</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1"/>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520" w:type="dxa"/>
            <w:vAlign w:val="bottom"/>
            <w:vMerge w:val="continue"/>
          </w:tcPr>
          <w:p>
            <w:pPr>
              <w:spacing w:after="0"/>
              <w:rPr>
                <w:sz w:val="19"/>
                <w:szCs w:val="19"/>
                <w:color w:val="auto"/>
              </w:rPr>
            </w:pPr>
          </w:p>
        </w:tc>
        <w:tc>
          <w:tcPr>
            <w:tcW w:w="87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20" w:type="dxa"/>
            <w:vAlign w:val="bottom"/>
            <w:tcBorders>
              <w:bottom w:val="single" w:sz="8" w:color="auto"/>
            </w:tcBorders>
          </w:tcPr>
          <w:p>
            <w:pPr>
              <w:spacing w:after="0"/>
              <w:rPr>
                <w:sz w:val="11"/>
                <w:szCs w:val="11"/>
                <w:color w:val="auto"/>
              </w:rPr>
            </w:pPr>
          </w:p>
        </w:tc>
        <w:tc>
          <w:tcPr>
            <w:tcW w:w="8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9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7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7</w:t>
            </w:r>
          </w:p>
        </w:tc>
        <w:tc>
          <w:tcPr>
            <w:tcW w:w="8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520" w:type="dxa"/>
            <w:vAlign w:val="bottom"/>
            <w:vMerge w:val="continue"/>
          </w:tcPr>
          <w:p>
            <w:pPr>
              <w:spacing w:after="0"/>
              <w:rPr>
                <w:sz w:val="16"/>
                <w:szCs w:val="16"/>
                <w:color w:val="auto"/>
              </w:rPr>
            </w:pPr>
          </w:p>
        </w:tc>
        <w:tc>
          <w:tcPr>
            <w:tcW w:w="87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9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p>
      <w:pPr>
        <w:ind w:left="2580" w:hanging="431"/>
        <w:spacing w:after="0"/>
        <w:tabs>
          <w:tab w:leader="none" w:pos="258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36"/>
          <w:szCs w:val="36"/>
          <w:color w:val="auto"/>
          <w:vertAlign w:val="subscript"/>
        </w:rPr>
        <w:t>0</w:t>
      </w: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p>
      <w:pPr>
        <w:ind w:left="1340" w:hanging="818"/>
        <w:spacing w:after="0"/>
        <w:tabs>
          <w:tab w:leader="none" w:pos="1340" w:val="left"/>
        </w:tabs>
        <w:numPr>
          <w:ilvl w:val="0"/>
          <w:numId w:val="7"/>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36"/>
          <w:szCs w:val="36"/>
          <w:color w:val="auto"/>
          <w:vertAlign w:val="subscript"/>
        </w:rPr>
        <w:t>0</w:t>
      </w: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p>
      <w:pPr>
        <w:ind w:left="440"/>
        <w:spacing w:after="0" w:line="181" w:lineRule="auto"/>
        <w:tabs>
          <w:tab w:leader="none" w:pos="1300" w:val="left"/>
        </w:tabs>
        <w:rPr>
          <w:sz w:val="20"/>
          <w:szCs w:val="20"/>
          <w:color w:val="auto"/>
        </w:rPr>
      </w:pPr>
      <w:r>
        <w:rPr>
          <w:rFonts w:ascii="Times New Roman" w:cs="Times New Roman" w:eastAsia="Times New Roman" w:hAnsi="Times New Roman"/>
          <w:sz w:val="27"/>
          <w:szCs w:val="27"/>
          <w:b w:val="1"/>
          <w:bCs w:val="1"/>
          <w:color w:val="auto"/>
          <w:vertAlign w:val="superscript"/>
        </w:rPr>
        <w:t>10</w:t>
      </w:r>
      <w:r>
        <w:rPr>
          <w:sz w:val="20"/>
          <w:szCs w:val="20"/>
          <w:color w:val="auto"/>
        </w:rPr>
        <w:tab/>
      </w:r>
      <w:r>
        <w:rPr>
          <w:rFonts w:ascii="Times New Roman" w:cs="Times New Roman" w:eastAsia="Times New Roman" w:hAnsi="Times New Roman"/>
          <w:sz w:val="14"/>
          <w:szCs w:val="14"/>
          <w:color w:val="auto"/>
        </w:rPr>
        <w:t>N/A</w:t>
      </w:r>
    </w:p>
    <w:p>
      <w:pPr>
        <w:spacing w:after="0" w:line="38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460"/>
        <w:spacing w:after="0" w:line="181" w:lineRule="auto"/>
        <w:tabs>
          <w:tab w:leader="none" w:pos="1320" w:val="left"/>
        </w:tabs>
        <w:rPr>
          <w:sz w:val="20"/>
          <w:szCs w:val="20"/>
          <w:color w:val="auto"/>
        </w:rPr>
      </w:pPr>
      <w:r>
        <w:rPr>
          <w:rFonts w:ascii="Times New Roman" w:cs="Times New Roman" w:eastAsia="Times New Roman" w:hAnsi="Times New Roman"/>
          <w:sz w:val="27"/>
          <w:szCs w:val="27"/>
          <w:b w:val="1"/>
          <w:bCs w:val="1"/>
          <w:color w:val="auto"/>
          <w:vertAlign w:val="superscript"/>
        </w:rPr>
        <w:t>11</w:t>
      </w:r>
      <w:r>
        <w:rPr>
          <w:sz w:val="20"/>
          <w:szCs w:val="20"/>
          <w:color w:val="auto"/>
        </w:rPr>
        <w:tab/>
      </w:r>
      <w:r>
        <w:rPr>
          <w:rFonts w:ascii="Times New Roman" w:cs="Times New Roman" w:eastAsia="Times New Roman" w:hAnsi="Times New Roman"/>
          <w:sz w:val="14"/>
          <w:szCs w:val="14"/>
          <w:color w:val="auto"/>
        </w:rPr>
        <w:t>0.0%</w:t>
      </w:r>
    </w:p>
    <w:p>
      <w:pPr>
        <w:spacing w:after="0" w:line="38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440"/>
        <w:spacing w:after="0"/>
        <w:tabs>
          <w:tab w:leader="none" w:pos="132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36"/>
          <w:szCs w:val="36"/>
          <w:color w:val="auto"/>
          <w:vertAlign w:val="subscript"/>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546100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401"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GasLog Partners LP</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tab/>
        <w:t>Address of Issuer's Principal Executive Offices:</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 GasLog LNG Services Ltd., 69 Akti Miaouli 18537, Piraeus Greece</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Tortoise Capital Advisors, L.L.C.</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The principal business address is 5100 W 115th Place, Leawood, KS 66211</w:t>
      </w:r>
    </w:p>
    <w:p>
      <w:pPr>
        <w:spacing w:after="0" w:line="2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TCA is a Delaware limited liability company</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Common units representing limited partner interests</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Sections 240.13d-1(b) or</w:t>
      </w:r>
    </w:p>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240.13d-2(b) or (c), Check Whether the Person Filing Is a(n):</w:t>
      </w:r>
    </w:p>
    <w:p>
      <w:pPr>
        <w:spacing w:after="0" w:line="189" w:lineRule="exact"/>
        <w:rPr>
          <w:sz w:val="20"/>
          <w:szCs w:val="20"/>
          <w:color w:val="auto"/>
        </w:rPr>
      </w:pPr>
    </w:p>
    <w:p>
      <w:pPr>
        <w:ind w:left="1300" w:hanging="320"/>
        <w:spacing w:after="0" w:line="207" w:lineRule="exact"/>
        <w:tabs>
          <w:tab w:leader="none" w:pos="13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8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Investment adviser in accordance with Section 240.13d-1(b)(1)(ii)(E);</w:t>
      </w:r>
    </w:p>
    <w:p>
      <w:pPr>
        <w:spacing w:after="0" w:line="223"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or endowment fund in accordance with Section 240.13d-1(b)(1)(ii)(F);</w:t>
      </w:r>
    </w:p>
    <w:p>
      <w:pPr>
        <w:spacing w:after="0" w:line="252"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or control person in accordance with Section 240.13d-1(b)(1)(ii)(G);</w:t>
      </w:r>
    </w:p>
    <w:p>
      <w:pPr>
        <w:spacing w:after="0" w:line="252"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1300" w:hanging="320"/>
        <w:spacing w:after="0" w:line="239" w:lineRule="exact"/>
        <w:tabs>
          <w:tab w:leader="none" w:pos="13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Section 240.13d-1(b)(1)(ii)(J);</w:t>
      </w:r>
    </w:p>
    <w:p>
      <w:pPr>
        <w:spacing w:after="0" w:line="252"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Section 240.13d-1(b)(1)(ii)(K). If filing as a non-U.S. institution in accordance with Section 240.13d-1(b)</w:t>
      </w:r>
    </w:p>
    <w:p>
      <w:pPr>
        <w:spacing w:after="0" w:line="5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 ____________________________ .</w:t>
      </w:r>
    </w:p>
    <w:p>
      <w:pPr>
        <w:spacing w:after="0" w:line="200" w:lineRule="exact"/>
        <w:rPr>
          <w:sz w:val="20"/>
          <w:szCs w:val="20"/>
          <w:color w:val="auto"/>
        </w:rPr>
      </w:pPr>
    </w:p>
    <w:p>
      <w:pPr>
        <w:spacing w:after="0" w:line="2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00" w:lineRule="exact"/>
        <w:rPr>
          <w:sz w:val="20"/>
          <w:szCs w:val="20"/>
          <w:color w:val="auto"/>
        </w:rPr>
      </w:pPr>
    </w:p>
    <w:p>
      <w:pPr>
        <w:spacing w:after="0" w:line="299" w:lineRule="exact"/>
        <w:rPr>
          <w:sz w:val="20"/>
          <w:szCs w:val="20"/>
          <w:color w:val="auto"/>
        </w:rPr>
      </w:pPr>
    </w:p>
    <w:p>
      <w:pPr>
        <w:ind w:left="1300" w:right="778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2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620" w:right="6660" w:hanging="316"/>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88" w:lineRule="exact"/>
        <w:rPr>
          <w:rFonts w:ascii="Times New Roman" w:cs="Times New Roman" w:eastAsia="Times New Roman" w:hAnsi="Times New Roman"/>
          <w:sz w:val="18"/>
          <w:szCs w:val="18"/>
          <w:color w:val="auto"/>
        </w:rPr>
      </w:pPr>
    </w:p>
    <w:p>
      <w:pPr>
        <w:ind w:left="1620" w:right="6480" w:hanging="316"/>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88" w:lineRule="exact"/>
        <w:rPr>
          <w:rFonts w:ascii="Times New Roman" w:cs="Times New Roman" w:eastAsia="Times New Roman" w:hAnsi="Times New Roman"/>
          <w:sz w:val="18"/>
          <w:szCs w:val="18"/>
          <w:color w:val="auto"/>
        </w:rPr>
      </w:pPr>
    </w:p>
    <w:p>
      <w:pPr>
        <w:ind w:left="1620" w:right="5740" w:hanging="316"/>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88" w:lineRule="exact"/>
        <w:rPr>
          <w:rFonts w:ascii="Times New Roman" w:cs="Times New Roman" w:eastAsia="Times New Roman" w:hAnsi="Times New Roman"/>
          <w:sz w:val="18"/>
          <w:szCs w:val="18"/>
          <w:color w:val="auto"/>
        </w:rPr>
      </w:pPr>
    </w:p>
    <w:p>
      <w:pPr>
        <w:ind w:left="1620" w:right="5560" w:hanging="316"/>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beneficial owner of more than five percent of the class</w:t>
      </w:r>
    </w:p>
    <w:p>
      <w:pPr>
        <w:ind w:left="980"/>
        <w:spacing w:after="0"/>
        <w:rPr>
          <w:sz w:val="20"/>
          <w:szCs w:val="20"/>
          <w:color w:val="auto"/>
        </w:rPr>
      </w:pPr>
      <w:r>
        <w:rPr>
          <w:rFonts w:ascii="Times New Roman" w:cs="Times New Roman" w:eastAsia="Times New Roman" w:hAnsi="Times New Roman"/>
          <w:sz w:val="22"/>
          <w:szCs w:val="22"/>
          <w:color w:val="auto"/>
        </w:rPr>
        <w:t>of securities, check the following [x].</w:t>
      </w:r>
    </w:p>
    <w:p>
      <w:pPr>
        <w:spacing w:after="0" w:line="21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47" w:lineRule="exact"/>
        <w:rPr>
          <w:sz w:val="20"/>
          <w:szCs w:val="20"/>
          <w:color w:val="auto"/>
        </w:rPr>
      </w:pPr>
    </w:p>
    <w:p>
      <w:pPr>
        <w:ind w:firstLine="972"/>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5" w:name="page6"/>
    <w:bookmarkEnd w:id="5"/>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firstLine="9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12 , 2021</w:t>
      </w:r>
    </w:p>
    <w:p>
      <w:pPr>
        <w:spacing w:after="0" w:line="2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TORTOISE CAPITAL ADVISORS, L.L.C.</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Diane Bono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Compliance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13613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sectPr>
      <w:pgSz w:w="11900" w:h="16838" w:orient="portrait"/>
      <w:cols w:equalWidth="0" w:num="1">
        <w:col w:w="10800"/>
      </w:cols>
      <w:pgMar w:left="320" w:top="108"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4"/>
    </w:lvl>
  </w:abstractNum>
  <w:abstractNum w:abstractNumId="1">
    <w:nsid w:val="3D1B58BA"/>
    <w:multiLevelType w:val="hybridMultilevel"/>
    <w:lvl w:ilvl="0">
      <w:lvlJc w:val="left"/>
      <w:lvlText w:val="[%1]"/>
      <w:numFmt w:val="lowerRoman"/>
      <w:start w:val="10"/>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8"/>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2021-02-12T11:09:28Z</dcterms:created>
  <dcterms:modified xsi:type="dcterms:W3CDTF">2021-02-12T11:09:28Z</dcterms:modified>
</cp:coreProperties>
</file>