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79"/>
        <w:spacing w:after="0"/>
        <w:rPr>
          <w:sz w:val="20"/>
          <w:szCs w:val="20"/>
          <w:color w:val="auto"/>
        </w:rPr>
      </w:pPr>
      <w:r>
        <w:rPr>
          <w:rFonts w:ascii="Arial" w:cs="Arial" w:eastAsia="Arial" w:hAnsi="Arial"/>
          <w:sz w:val="13"/>
          <w:szCs w:val="13"/>
          <w:b w:val="1"/>
          <w:bCs w:val="1"/>
          <w:color w:val="auto"/>
        </w:rPr>
        <w:t>As filed with the Securities and Exchange Commission on October 9, 2020.</w:t>
      </w:r>
    </w:p>
    <w:p>
      <w:pPr>
        <w:spacing w:after="0" w:line="215" w:lineRule="exact"/>
        <w:rPr>
          <w:sz w:val="24"/>
          <w:szCs w:val="24"/>
          <w:color w:val="auto"/>
        </w:rPr>
      </w:pPr>
    </w:p>
    <w:p>
      <w:pPr>
        <w:ind w:left="9540"/>
        <w:spacing w:after="0"/>
        <w:rPr>
          <w:sz w:val="20"/>
          <w:szCs w:val="20"/>
          <w:color w:val="auto"/>
        </w:rPr>
      </w:pPr>
      <w:r>
        <w:rPr>
          <w:rFonts w:ascii="Arial" w:cs="Arial" w:eastAsia="Arial" w:hAnsi="Arial"/>
          <w:sz w:val="13"/>
          <w:szCs w:val="13"/>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375920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135890</wp:posOffset>
            </wp:positionV>
            <wp:extent cx="1800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FORM F-3</w:t>
      </w:r>
    </w:p>
    <w:p>
      <w:pPr>
        <w:spacing w:after="0" w:line="18" w:lineRule="exact"/>
        <w:rPr>
          <w:sz w:val="24"/>
          <w:szCs w:val="24"/>
          <w:color w:val="auto"/>
        </w:rPr>
      </w:pPr>
    </w:p>
    <w:p>
      <w:pPr>
        <w:jc w:val="center"/>
        <w:ind w:right="-79"/>
        <w:spacing w:after="0"/>
        <w:rPr>
          <w:sz w:val="20"/>
          <w:szCs w:val="20"/>
          <w:color w:val="auto"/>
        </w:rPr>
      </w:pPr>
      <w:r>
        <w:rPr>
          <w:rFonts w:ascii="Arial" w:cs="Arial" w:eastAsia="Arial" w:hAnsi="Arial"/>
          <w:sz w:val="13"/>
          <w:szCs w:val="13"/>
          <w:b w:val="1"/>
          <w:bCs w:val="1"/>
          <w:color w:val="auto"/>
        </w:rPr>
        <w:t>REGISTRATION STATEMENT</w:t>
      </w:r>
    </w:p>
    <w:p>
      <w:pPr>
        <w:jc w:val="center"/>
        <w:ind w:right="-79"/>
        <w:spacing w:after="0"/>
        <w:rPr>
          <w:sz w:val="20"/>
          <w:szCs w:val="20"/>
          <w:color w:val="auto"/>
        </w:rPr>
      </w:pPr>
      <w:r>
        <w:rPr>
          <w:rFonts w:ascii="Arial" w:cs="Arial" w:eastAsia="Arial" w:hAnsi="Arial"/>
          <w:sz w:val="13"/>
          <w:szCs w:val="13"/>
          <w:b w:val="1"/>
          <w:bCs w:val="1"/>
          <w:color w:val="auto"/>
        </w:rPr>
        <w:t>UNDER</w:t>
      </w:r>
    </w:p>
    <w:p>
      <w:pPr>
        <w:jc w:val="center"/>
        <w:ind w:right="-79"/>
        <w:spacing w:after="0"/>
        <w:rPr>
          <w:sz w:val="20"/>
          <w:szCs w:val="20"/>
          <w:color w:val="auto"/>
        </w:rPr>
      </w:pPr>
      <w:r>
        <w:rPr>
          <w:rFonts w:ascii="Arial" w:cs="Arial" w:eastAsia="Arial" w:hAnsi="Arial"/>
          <w:sz w:val="13"/>
          <w:szCs w:val="13"/>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135890</wp:posOffset>
            </wp:positionV>
            <wp:extent cx="18002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GasLog Partners LP</w:t>
      </w:r>
    </w:p>
    <w:p>
      <w:pPr>
        <w:spacing w:after="0" w:line="19" w:lineRule="exact"/>
        <w:rPr>
          <w:sz w:val="24"/>
          <w:szCs w:val="24"/>
          <w:color w:val="auto"/>
        </w:rPr>
      </w:pPr>
    </w:p>
    <w:p>
      <w:pPr>
        <w:jc w:val="center"/>
        <w:ind w:right="-79"/>
        <w:spacing w:after="0"/>
        <w:rPr>
          <w:sz w:val="20"/>
          <w:szCs w:val="20"/>
          <w:color w:val="auto"/>
        </w:rPr>
      </w:pPr>
      <w:r>
        <w:rPr>
          <w:rFonts w:ascii="Arial" w:cs="Arial" w:eastAsia="Arial" w:hAnsi="Arial"/>
          <w:sz w:val="13"/>
          <w:szCs w:val="13"/>
          <w:color w:val="auto"/>
        </w:rPr>
        <w:t>(Exact Name of Registrant as Specified in its Charter)</w:t>
      </w:r>
    </w:p>
    <w:p>
      <w:pPr>
        <w:spacing w:after="0" w:line="201" w:lineRule="exact"/>
        <w:rPr>
          <w:sz w:val="24"/>
          <w:szCs w:val="24"/>
          <w:color w:val="auto"/>
        </w:rPr>
      </w:pPr>
    </w:p>
    <w:p>
      <w:pPr>
        <w:jc w:val="center"/>
        <w:ind w:right="-79"/>
        <w:spacing w:after="0"/>
        <w:rPr>
          <w:sz w:val="20"/>
          <w:szCs w:val="20"/>
          <w:color w:val="auto"/>
        </w:rPr>
      </w:pPr>
      <w:r>
        <w:rPr>
          <w:rFonts w:ascii="Arial" w:cs="Arial" w:eastAsia="Arial" w:hAnsi="Arial"/>
          <w:sz w:val="13"/>
          <w:szCs w:val="13"/>
          <w:b w:val="1"/>
          <w:bCs w:val="1"/>
          <w:color w:val="auto"/>
        </w:rPr>
        <w:t>Not Applicable</w:t>
      </w:r>
    </w:p>
    <w:p>
      <w:pPr>
        <w:spacing w:after="0" w:line="13" w:lineRule="exact"/>
        <w:rPr>
          <w:sz w:val="24"/>
          <w:szCs w:val="24"/>
          <w:color w:val="auto"/>
        </w:rPr>
      </w:pPr>
    </w:p>
    <w:p>
      <w:pPr>
        <w:jc w:val="center"/>
        <w:ind w:right="-79"/>
        <w:spacing w:after="0"/>
        <w:rPr>
          <w:sz w:val="20"/>
          <w:szCs w:val="20"/>
          <w:color w:val="auto"/>
        </w:rPr>
      </w:pPr>
      <w:r>
        <w:rPr>
          <w:rFonts w:ascii="Arial" w:cs="Arial" w:eastAsia="Arial" w:hAnsi="Arial"/>
          <w:sz w:val="13"/>
          <w:szCs w:val="13"/>
          <w:color w:val="auto"/>
        </w:rPr>
        <w:t>(Translation of Registrant's Name into English)</w:t>
      </w:r>
    </w:p>
    <w:p>
      <w:pPr>
        <w:spacing w:after="0" w:line="201" w:lineRule="exact"/>
        <w:rPr>
          <w:sz w:val="24"/>
          <w:szCs w:val="24"/>
          <w:color w:val="auto"/>
        </w:rPr>
      </w:pPr>
    </w:p>
    <w:tbl>
      <w:tblPr>
        <w:tblLayout w:type="fixed"/>
        <w:tblInd w:w="3620" w:type="dxa"/>
        <w:tblCellMar>
          <w:top w:w="0" w:type="dxa"/>
          <w:left w:w="0" w:type="dxa"/>
          <w:bottom w:w="0" w:type="dxa"/>
          <w:right w:w="0" w:type="dxa"/>
        </w:tblCellMar>
      </w:tblPr>
      <w:tr>
        <w:trPr>
          <w:trHeight w:val="150"/>
        </w:trPr>
        <w:tc>
          <w:tcPr>
            <w:tcW w:w="2220" w:type="dxa"/>
            <w:vAlign w:val="bottom"/>
          </w:tcPr>
          <w:p>
            <w:pPr>
              <w:jc w:val="center"/>
              <w:ind w:right="253"/>
              <w:spacing w:after="0"/>
              <w:rPr>
                <w:sz w:val="20"/>
                <w:szCs w:val="20"/>
                <w:color w:val="auto"/>
              </w:rPr>
            </w:pPr>
            <w:r>
              <w:rPr>
                <w:rFonts w:ascii="Arial" w:cs="Arial" w:eastAsia="Arial" w:hAnsi="Arial"/>
                <w:sz w:val="13"/>
                <w:szCs w:val="13"/>
                <w:b w:val="1"/>
                <w:bCs w:val="1"/>
                <w:color w:val="auto"/>
                <w:w w:val="95"/>
              </w:rPr>
              <w:t>Republic of the Marshall Islands</w:t>
            </w:r>
          </w:p>
        </w:tc>
        <w:tc>
          <w:tcPr>
            <w:tcW w:w="1340" w:type="dxa"/>
            <w:vAlign w:val="bottom"/>
          </w:tcPr>
          <w:p>
            <w:pPr>
              <w:jc w:val="center"/>
              <w:ind w:left="273"/>
              <w:spacing w:after="0"/>
              <w:rPr>
                <w:sz w:val="20"/>
                <w:szCs w:val="20"/>
                <w:color w:val="auto"/>
              </w:rPr>
            </w:pPr>
            <w:r>
              <w:rPr>
                <w:rFonts w:ascii="Arial" w:cs="Arial" w:eastAsia="Arial" w:hAnsi="Arial"/>
                <w:sz w:val="13"/>
                <w:szCs w:val="13"/>
                <w:b w:val="1"/>
                <w:bCs w:val="1"/>
                <w:color w:val="auto"/>
                <w:w w:val="92"/>
              </w:rPr>
              <w:t>98-1160877</w:t>
            </w:r>
          </w:p>
        </w:tc>
      </w:tr>
      <w:tr>
        <w:trPr>
          <w:trHeight w:val="148"/>
        </w:trPr>
        <w:tc>
          <w:tcPr>
            <w:tcW w:w="2220" w:type="dxa"/>
            <w:vAlign w:val="bottom"/>
          </w:tcPr>
          <w:p>
            <w:pPr>
              <w:jc w:val="center"/>
              <w:ind w:right="253"/>
              <w:spacing w:after="0"/>
              <w:rPr>
                <w:sz w:val="20"/>
                <w:szCs w:val="20"/>
                <w:color w:val="auto"/>
              </w:rPr>
            </w:pPr>
            <w:r>
              <w:rPr>
                <w:rFonts w:ascii="Arial" w:cs="Arial" w:eastAsia="Arial" w:hAnsi="Arial"/>
                <w:sz w:val="13"/>
                <w:szCs w:val="13"/>
                <w:color w:val="auto"/>
                <w:w w:val="95"/>
              </w:rPr>
              <w:t>(State or other Jurisdiction of</w:t>
            </w:r>
          </w:p>
        </w:tc>
        <w:tc>
          <w:tcPr>
            <w:tcW w:w="1340" w:type="dxa"/>
            <w:vAlign w:val="bottom"/>
          </w:tcPr>
          <w:p>
            <w:pPr>
              <w:jc w:val="center"/>
              <w:ind w:left="273"/>
              <w:spacing w:after="0"/>
              <w:rPr>
                <w:sz w:val="20"/>
                <w:szCs w:val="20"/>
                <w:color w:val="auto"/>
              </w:rPr>
            </w:pPr>
            <w:r>
              <w:rPr>
                <w:rFonts w:ascii="Arial" w:cs="Arial" w:eastAsia="Arial" w:hAnsi="Arial"/>
                <w:sz w:val="13"/>
                <w:szCs w:val="13"/>
                <w:color w:val="auto"/>
                <w:w w:val="96"/>
              </w:rPr>
              <w:t>(I.R.S. Employer</w:t>
            </w:r>
          </w:p>
        </w:tc>
      </w:tr>
      <w:tr>
        <w:trPr>
          <w:trHeight w:val="172"/>
        </w:trPr>
        <w:tc>
          <w:tcPr>
            <w:tcW w:w="2220" w:type="dxa"/>
            <w:vAlign w:val="bottom"/>
          </w:tcPr>
          <w:p>
            <w:pPr>
              <w:jc w:val="center"/>
              <w:ind w:right="253"/>
              <w:spacing w:after="0"/>
              <w:rPr>
                <w:sz w:val="20"/>
                <w:szCs w:val="20"/>
                <w:color w:val="auto"/>
              </w:rPr>
            </w:pPr>
            <w:r>
              <w:rPr>
                <w:rFonts w:ascii="Arial" w:cs="Arial" w:eastAsia="Arial" w:hAnsi="Arial"/>
                <w:sz w:val="13"/>
                <w:szCs w:val="13"/>
                <w:color w:val="auto"/>
                <w:w w:val="96"/>
              </w:rPr>
              <w:t>Incorporation or Organization)</w:t>
            </w:r>
          </w:p>
        </w:tc>
        <w:tc>
          <w:tcPr>
            <w:tcW w:w="1340" w:type="dxa"/>
            <w:vAlign w:val="bottom"/>
          </w:tcPr>
          <w:p>
            <w:pPr>
              <w:jc w:val="center"/>
              <w:ind w:left="273"/>
              <w:spacing w:after="0"/>
              <w:rPr>
                <w:sz w:val="20"/>
                <w:szCs w:val="20"/>
                <w:color w:val="auto"/>
              </w:rPr>
            </w:pPr>
            <w:r>
              <w:rPr>
                <w:rFonts w:ascii="Arial" w:cs="Arial" w:eastAsia="Arial" w:hAnsi="Arial"/>
                <w:sz w:val="13"/>
                <w:szCs w:val="13"/>
                <w:color w:val="auto"/>
                <w:w w:val="98"/>
              </w:rPr>
              <w:t>Identification No.)</w:t>
            </w:r>
          </w:p>
        </w:tc>
      </w:tr>
    </w:tbl>
    <w:p>
      <w:pPr>
        <w:spacing w:after="0" w:line="190" w:lineRule="exact"/>
        <w:rPr>
          <w:sz w:val="24"/>
          <w:szCs w:val="24"/>
          <w:color w:val="auto"/>
        </w:rPr>
      </w:pPr>
    </w:p>
    <w:p>
      <w:pPr>
        <w:jc w:val="center"/>
        <w:ind w:right="-79"/>
        <w:spacing w:after="0"/>
        <w:rPr>
          <w:sz w:val="20"/>
          <w:szCs w:val="20"/>
          <w:color w:val="auto"/>
        </w:rPr>
      </w:pPr>
      <w:r>
        <w:rPr>
          <w:rFonts w:ascii="Arial" w:cs="Arial" w:eastAsia="Arial" w:hAnsi="Arial"/>
          <w:sz w:val="13"/>
          <w:szCs w:val="13"/>
          <w:b w:val="1"/>
          <w:bCs w:val="1"/>
          <w:color w:val="auto"/>
        </w:rPr>
        <w:t>Gaslog Partners LP</w:t>
      </w:r>
    </w:p>
    <w:p>
      <w:pPr>
        <w:spacing w:after="0" w:line="12" w:lineRule="exact"/>
        <w:rPr>
          <w:sz w:val="24"/>
          <w:szCs w:val="24"/>
          <w:color w:val="auto"/>
        </w:rPr>
      </w:pPr>
    </w:p>
    <w:p>
      <w:pPr>
        <w:jc w:val="center"/>
        <w:ind w:right="-79"/>
        <w:spacing w:after="0"/>
        <w:rPr>
          <w:sz w:val="20"/>
          <w:szCs w:val="20"/>
          <w:color w:val="auto"/>
        </w:rPr>
      </w:pPr>
      <w:r>
        <w:rPr>
          <w:rFonts w:ascii="Arial" w:cs="Arial" w:eastAsia="Arial" w:hAnsi="Arial"/>
          <w:sz w:val="13"/>
          <w:szCs w:val="13"/>
          <w:b w:val="1"/>
          <w:bCs w:val="1"/>
          <w:color w:val="auto"/>
        </w:rPr>
        <w:t>c/o GasLog LNG Services Ltd</w:t>
      </w:r>
    </w:p>
    <w:p>
      <w:pPr>
        <w:jc w:val="center"/>
        <w:ind w:right="-79"/>
        <w:spacing w:after="0"/>
        <w:rPr>
          <w:sz w:val="20"/>
          <w:szCs w:val="20"/>
          <w:color w:val="auto"/>
        </w:rPr>
      </w:pPr>
      <w:r>
        <w:rPr>
          <w:rFonts w:ascii="Arial" w:cs="Arial" w:eastAsia="Arial" w:hAnsi="Arial"/>
          <w:sz w:val="13"/>
          <w:szCs w:val="13"/>
          <w:b w:val="1"/>
          <w:bCs w:val="1"/>
          <w:color w:val="auto"/>
        </w:rPr>
        <w:t>69 Akti Miaouli</w:t>
      </w:r>
    </w:p>
    <w:p>
      <w:pPr>
        <w:jc w:val="center"/>
        <w:ind w:right="-79"/>
        <w:spacing w:after="0"/>
        <w:rPr>
          <w:sz w:val="20"/>
          <w:szCs w:val="20"/>
          <w:color w:val="auto"/>
        </w:rPr>
      </w:pPr>
      <w:r>
        <w:rPr>
          <w:rFonts w:ascii="Arial" w:cs="Arial" w:eastAsia="Arial" w:hAnsi="Arial"/>
          <w:sz w:val="13"/>
          <w:szCs w:val="13"/>
          <w:b w:val="1"/>
          <w:bCs w:val="1"/>
          <w:color w:val="auto"/>
        </w:rPr>
        <w:t>18537 Piraeus Greece</w:t>
      </w:r>
    </w:p>
    <w:p>
      <w:pPr>
        <w:jc w:val="center"/>
        <w:ind w:right="-79"/>
        <w:spacing w:after="0"/>
        <w:rPr>
          <w:sz w:val="20"/>
          <w:szCs w:val="20"/>
          <w:color w:val="auto"/>
        </w:rPr>
      </w:pPr>
      <w:r>
        <w:rPr>
          <w:rFonts w:ascii="Arial" w:cs="Arial" w:eastAsia="Arial" w:hAnsi="Arial"/>
          <w:sz w:val="13"/>
          <w:szCs w:val="13"/>
          <w:b w:val="1"/>
          <w:bCs w:val="1"/>
          <w:color w:val="auto"/>
        </w:rPr>
        <w:t>+30 210 459 1000</w:t>
      </w:r>
    </w:p>
    <w:p>
      <w:pPr>
        <w:jc w:val="center"/>
        <w:ind w:right="-79"/>
        <w:spacing w:after="0"/>
        <w:rPr>
          <w:sz w:val="20"/>
          <w:szCs w:val="20"/>
          <w:color w:val="auto"/>
        </w:rPr>
      </w:pPr>
      <w:r>
        <w:rPr>
          <w:rFonts w:ascii="Arial" w:cs="Arial" w:eastAsia="Arial" w:hAnsi="Arial"/>
          <w:sz w:val="13"/>
          <w:szCs w:val="13"/>
          <w:color w:val="auto"/>
        </w:rPr>
        <w:t>(Address and telephone number of Registrant's principal executive offices)</w:t>
      </w:r>
    </w:p>
    <w:p>
      <w:pPr>
        <w:spacing w:after="0" w:line="201" w:lineRule="exact"/>
        <w:rPr>
          <w:sz w:val="24"/>
          <w:szCs w:val="24"/>
          <w:color w:val="auto"/>
        </w:rPr>
      </w:pPr>
    </w:p>
    <w:p>
      <w:pPr>
        <w:jc w:val="center"/>
        <w:ind w:right="-79"/>
        <w:spacing w:after="0"/>
        <w:rPr>
          <w:sz w:val="20"/>
          <w:szCs w:val="20"/>
          <w:color w:val="auto"/>
        </w:rPr>
      </w:pPr>
      <w:r>
        <w:rPr>
          <w:rFonts w:ascii="Arial" w:cs="Arial" w:eastAsia="Arial" w:hAnsi="Arial"/>
          <w:sz w:val="13"/>
          <w:szCs w:val="13"/>
          <w:b w:val="1"/>
          <w:bCs w:val="1"/>
          <w:color w:val="auto"/>
        </w:rPr>
        <w:t>Puglisi &amp; Associates</w:t>
      </w:r>
    </w:p>
    <w:p>
      <w:pPr>
        <w:spacing w:after="0" w:line="12" w:lineRule="exact"/>
        <w:rPr>
          <w:sz w:val="24"/>
          <w:szCs w:val="24"/>
          <w:color w:val="auto"/>
        </w:rPr>
      </w:pPr>
    </w:p>
    <w:p>
      <w:pPr>
        <w:jc w:val="center"/>
        <w:ind w:right="-79"/>
        <w:spacing w:after="0"/>
        <w:rPr>
          <w:sz w:val="20"/>
          <w:szCs w:val="20"/>
          <w:color w:val="auto"/>
        </w:rPr>
      </w:pPr>
      <w:r>
        <w:rPr>
          <w:rFonts w:ascii="Arial" w:cs="Arial" w:eastAsia="Arial" w:hAnsi="Arial"/>
          <w:sz w:val="13"/>
          <w:szCs w:val="13"/>
          <w:b w:val="1"/>
          <w:bCs w:val="1"/>
          <w:color w:val="auto"/>
        </w:rPr>
        <w:t>850 Library Avenue, Suite 204</w:t>
      </w:r>
    </w:p>
    <w:p>
      <w:pPr>
        <w:jc w:val="center"/>
        <w:ind w:right="-79"/>
        <w:spacing w:after="0"/>
        <w:rPr>
          <w:sz w:val="20"/>
          <w:szCs w:val="20"/>
          <w:color w:val="auto"/>
        </w:rPr>
      </w:pPr>
      <w:r>
        <w:rPr>
          <w:rFonts w:ascii="Arial" w:cs="Arial" w:eastAsia="Arial" w:hAnsi="Arial"/>
          <w:sz w:val="13"/>
          <w:szCs w:val="13"/>
          <w:b w:val="1"/>
          <w:bCs w:val="1"/>
          <w:color w:val="auto"/>
        </w:rPr>
        <w:t>Newark, Delaware 19711</w:t>
      </w:r>
    </w:p>
    <w:p>
      <w:pPr>
        <w:jc w:val="center"/>
        <w:ind w:right="-79"/>
        <w:spacing w:after="0"/>
        <w:rPr>
          <w:sz w:val="20"/>
          <w:szCs w:val="20"/>
          <w:color w:val="auto"/>
        </w:rPr>
      </w:pPr>
      <w:r>
        <w:rPr>
          <w:rFonts w:ascii="Arial" w:cs="Arial" w:eastAsia="Arial" w:hAnsi="Arial"/>
          <w:sz w:val="13"/>
          <w:szCs w:val="13"/>
          <w:b w:val="1"/>
          <w:bCs w:val="1"/>
          <w:color w:val="auto"/>
        </w:rPr>
        <w:t>(302) 738-6680</w:t>
      </w:r>
    </w:p>
    <w:p>
      <w:pPr>
        <w:jc w:val="center"/>
        <w:ind w:right="-79"/>
        <w:spacing w:after="0"/>
        <w:rPr>
          <w:sz w:val="20"/>
          <w:szCs w:val="20"/>
          <w:color w:val="auto"/>
        </w:rPr>
      </w:pPr>
      <w:r>
        <w:rPr>
          <w:rFonts w:ascii="Arial" w:cs="Arial" w:eastAsia="Arial" w:hAnsi="Arial"/>
          <w:sz w:val="13"/>
          <w:szCs w:val="13"/>
          <w:color w:val="auto"/>
        </w:rPr>
        <w:t>(Name, address and telephone number of agent for service)</w:t>
      </w:r>
    </w:p>
    <w:p>
      <w:pPr>
        <w:spacing w:after="0" w:line="201" w:lineRule="exact"/>
        <w:rPr>
          <w:sz w:val="24"/>
          <w:szCs w:val="24"/>
          <w:color w:val="auto"/>
        </w:rPr>
      </w:pPr>
    </w:p>
    <w:p>
      <w:pPr>
        <w:jc w:val="center"/>
        <w:ind w:right="-79"/>
        <w:spacing w:after="0"/>
        <w:rPr>
          <w:sz w:val="20"/>
          <w:szCs w:val="20"/>
          <w:color w:val="auto"/>
        </w:rPr>
      </w:pPr>
      <w:r>
        <w:rPr>
          <w:rFonts w:ascii="Arial" w:cs="Arial" w:eastAsia="Arial" w:hAnsi="Arial"/>
          <w:sz w:val="13"/>
          <w:szCs w:val="13"/>
          <w:b w:val="1"/>
          <w:bCs w:val="1"/>
          <w:color w:val="auto"/>
        </w:rPr>
        <w:t>With copies to:</w:t>
      </w:r>
    </w:p>
    <w:p>
      <w:pPr>
        <w:spacing w:after="0" w:line="215" w:lineRule="exact"/>
        <w:rPr>
          <w:sz w:val="24"/>
          <w:szCs w:val="24"/>
          <w:color w:val="auto"/>
        </w:rPr>
      </w:pPr>
    </w:p>
    <w:p>
      <w:pPr>
        <w:jc w:val="center"/>
        <w:ind w:right="-79"/>
        <w:spacing w:after="0"/>
        <w:rPr>
          <w:sz w:val="20"/>
          <w:szCs w:val="20"/>
          <w:color w:val="auto"/>
        </w:rPr>
      </w:pPr>
      <w:r>
        <w:rPr>
          <w:rFonts w:ascii="Arial" w:cs="Arial" w:eastAsia="Arial" w:hAnsi="Arial"/>
          <w:sz w:val="13"/>
          <w:szCs w:val="13"/>
          <w:b w:val="1"/>
          <w:bCs w:val="1"/>
          <w:color w:val="auto"/>
        </w:rPr>
        <w:t>D. Scott Bennett, Esq.</w:t>
      </w:r>
    </w:p>
    <w:p>
      <w:pPr>
        <w:spacing w:after="0" w:line="12" w:lineRule="exact"/>
        <w:rPr>
          <w:sz w:val="24"/>
          <w:szCs w:val="24"/>
          <w:color w:val="auto"/>
        </w:rPr>
      </w:pPr>
    </w:p>
    <w:p>
      <w:pPr>
        <w:jc w:val="center"/>
        <w:ind w:right="-79"/>
        <w:spacing w:after="0"/>
        <w:rPr>
          <w:sz w:val="20"/>
          <w:szCs w:val="20"/>
          <w:color w:val="auto"/>
        </w:rPr>
      </w:pPr>
      <w:r>
        <w:rPr>
          <w:rFonts w:ascii="Arial" w:cs="Arial" w:eastAsia="Arial" w:hAnsi="Arial"/>
          <w:sz w:val="13"/>
          <w:szCs w:val="13"/>
          <w:b w:val="1"/>
          <w:bCs w:val="1"/>
          <w:color w:val="auto"/>
        </w:rPr>
        <w:t>Cravath, Swaine &amp; Moore LLP</w:t>
      </w:r>
    </w:p>
    <w:p>
      <w:pPr>
        <w:jc w:val="center"/>
        <w:ind w:right="-79"/>
        <w:spacing w:after="0"/>
        <w:rPr>
          <w:sz w:val="20"/>
          <w:szCs w:val="20"/>
          <w:color w:val="auto"/>
        </w:rPr>
      </w:pPr>
      <w:r>
        <w:rPr>
          <w:rFonts w:ascii="Arial" w:cs="Arial" w:eastAsia="Arial" w:hAnsi="Arial"/>
          <w:sz w:val="13"/>
          <w:szCs w:val="13"/>
          <w:b w:val="1"/>
          <w:bCs w:val="1"/>
          <w:color w:val="auto"/>
        </w:rPr>
        <w:t>Worldwide Plaza</w:t>
      </w:r>
    </w:p>
    <w:p>
      <w:pPr>
        <w:jc w:val="center"/>
        <w:ind w:right="-79"/>
        <w:spacing w:after="0"/>
        <w:rPr>
          <w:sz w:val="20"/>
          <w:szCs w:val="20"/>
          <w:color w:val="auto"/>
        </w:rPr>
      </w:pPr>
      <w:r>
        <w:rPr>
          <w:rFonts w:ascii="Arial" w:cs="Arial" w:eastAsia="Arial" w:hAnsi="Arial"/>
          <w:sz w:val="13"/>
          <w:szCs w:val="13"/>
          <w:b w:val="1"/>
          <w:bCs w:val="1"/>
          <w:color w:val="auto"/>
        </w:rPr>
        <w:t>825 Eighth Avenue</w:t>
      </w:r>
    </w:p>
    <w:p>
      <w:pPr>
        <w:jc w:val="center"/>
        <w:ind w:right="-79"/>
        <w:spacing w:after="0"/>
        <w:rPr>
          <w:sz w:val="20"/>
          <w:szCs w:val="20"/>
          <w:color w:val="auto"/>
        </w:rPr>
      </w:pPr>
      <w:r>
        <w:rPr>
          <w:rFonts w:ascii="Arial" w:cs="Arial" w:eastAsia="Arial" w:hAnsi="Arial"/>
          <w:sz w:val="13"/>
          <w:szCs w:val="13"/>
          <w:b w:val="1"/>
          <w:bCs w:val="1"/>
          <w:color w:val="auto"/>
        </w:rPr>
        <w:t>New York, New York 10019</w:t>
      </w:r>
    </w:p>
    <w:p>
      <w:pPr>
        <w:jc w:val="center"/>
        <w:ind w:right="-79"/>
        <w:spacing w:after="0"/>
        <w:rPr>
          <w:sz w:val="20"/>
          <w:szCs w:val="20"/>
          <w:color w:val="auto"/>
        </w:rPr>
      </w:pPr>
      <w:r>
        <w:rPr>
          <w:rFonts w:ascii="Arial" w:cs="Arial" w:eastAsia="Arial" w:hAnsi="Arial"/>
          <w:sz w:val="13"/>
          <w:szCs w:val="13"/>
          <w:b w:val="1"/>
          <w:bCs w:val="1"/>
          <w:color w:val="auto"/>
        </w:rPr>
        <w:t>(212) 474-1000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135890</wp:posOffset>
            </wp:positionV>
            <wp:extent cx="1800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jc w:val="center"/>
        <w:ind w:right="-79"/>
        <w:spacing w:after="0"/>
        <w:rPr>
          <w:sz w:val="20"/>
          <w:szCs w:val="20"/>
          <w:color w:val="auto"/>
        </w:rPr>
      </w:pPr>
      <w:r>
        <w:rPr>
          <w:rFonts w:ascii="Arial" w:cs="Arial" w:eastAsia="Arial" w:hAnsi="Arial"/>
          <w:sz w:val="13"/>
          <w:szCs w:val="13"/>
          <w:b w:val="1"/>
          <w:bCs w:val="1"/>
          <w:color w:val="auto"/>
        </w:rPr>
        <w:t>Approximate Date of Commencement of Proposed Sale of the Securities to the Public:</w:t>
      </w:r>
    </w:p>
    <w:p>
      <w:pPr>
        <w:spacing w:after="0" w:line="13" w:lineRule="exact"/>
        <w:rPr>
          <w:sz w:val="24"/>
          <w:szCs w:val="24"/>
          <w:color w:val="auto"/>
        </w:rPr>
      </w:pPr>
    </w:p>
    <w:p>
      <w:pPr>
        <w:jc w:val="center"/>
        <w:ind w:right="-79"/>
        <w:spacing w:after="0"/>
        <w:rPr>
          <w:sz w:val="20"/>
          <w:szCs w:val="20"/>
          <w:color w:val="auto"/>
        </w:rPr>
      </w:pPr>
      <w:r>
        <w:rPr>
          <w:rFonts w:ascii="Arial" w:cs="Arial" w:eastAsia="Arial" w:hAnsi="Arial"/>
          <w:sz w:val="13"/>
          <w:szCs w:val="13"/>
          <w:b w:val="1"/>
          <w:bCs w:val="1"/>
          <w:color w:val="auto"/>
        </w:rPr>
        <w:t>From time to time after the effective date of this Registration Statement.</w:t>
      </w:r>
    </w:p>
    <w:p>
      <w:pPr>
        <w:spacing w:after="0" w:line="203" w:lineRule="exact"/>
        <w:rPr>
          <w:sz w:val="24"/>
          <w:szCs w:val="24"/>
          <w:color w:val="auto"/>
        </w:rPr>
      </w:pPr>
    </w:p>
    <w:p>
      <w:pPr>
        <w:ind w:left="440"/>
        <w:spacing w:after="0"/>
        <w:tabs>
          <w:tab w:leader="none" w:pos="8600" w:val="left"/>
        </w:tabs>
        <w:rPr>
          <w:sz w:val="20"/>
          <w:szCs w:val="20"/>
          <w:color w:val="auto"/>
        </w:rPr>
      </w:pPr>
      <w:r>
        <w:rPr>
          <w:rFonts w:ascii="Arial" w:cs="Arial" w:eastAsia="Arial" w:hAnsi="Arial"/>
          <w:sz w:val="12"/>
          <w:szCs w:val="12"/>
          <w:color w:val="auto"/>
        </w:rPr>
        <w:t>If only securities being registered on this Form are being offered pursuant to dividend or interest reinvestment plans, please check the following box.</w:t>
      </w:r>
      <w:r>
        <w:rPr>
          <w:sz w:val="20"/>
          <w:szCs w:val="20"/>
          <w:color w:val="auto"/>
        </w:rPr>
        <w:tab/>
      </w:r>
      <w:r>
        <w:rPr>
          <w:rFonts w:ascii="Arial" w:cs="Arial" w:eastAsia="Arial" w:hAnsi="Arial"/>
          <w:sz w:val="10"/>
          <w:szCs w:val="10"/>
          <w:color w:val="auto"/>
        </w:rPr>
        <w:t>o</w:t>
      </w:r>
    </w:p>
    <w:p>
      <w:pPr>
        <w:spacing w:after="0" w:line="202" w:lineRule="exact"/>
        <w:rPr>
          <w:sz w:val="24"/>
          <w:szCs w:val="24"/>
          <w:color w:val="auto"/>
        </w:rPr>
      </w:pPr>
    </w:p>
    <w:p>
      <w:pPr>
        <w:ind w:left="440"/>
        <w:spacing w:after="0" w:line="138" w:lineRule="exact"/>
        <w:tabs>
          <w:tab w:leader="none" w:pos="10460" w:val="left"/>
        </w:tabs>
        <w:rPr>
          <w:sz w:val="20"/>
          <w:szCs w:val="20"/>
          <w:color w:val="auto"/>
        </w:rPr>
      </w:pPr>
      <w:r>
        <w:rPr>
          <w:rFonts w:ascii="Arial" w:cs="Arial" w:eastAsia="Arial" w:hAnsi="Arial"/>
          <w:sz w:val="12"/>
          <w:szCs w:val="12"/>
          <w:color w:val="auto"/>
        </w:rPr>
        <w:t>If any of the securities being registered on this Form are to be offered on a delayed or continuous basis pursuant to Rule 415 under the Securities Act of 1933, check the following box.</w:t>
      </w:r>
      <w:r>
        <w:rPr>
          <w:sz w:val="20"/>
          <w:szCs w:val="20"/>
          <w:color w:val="auto"/>
        </w:rPr>
        <w:tab/>
      </w:r>
      <w:r>
        <w:rPr>
          <w:rFonts w:ascii="MS PGothic" w:cs="MS PGothic" w:eastAsia="MS PGothic" w:hAnsi="MS PGothic"/>
          <w:sz w:val="12"/>
          <w:szCs w:val="12"/>
          <w:color w:val="auto"/>
        </w:rPr>
        <w:t>☒</w:t>
      </w:r>
    </w:p>
    <w:p>
      <w:pPr>
        <w:spacing w:after="0" w:line="252" w:lineRule="exact"/>
        <w:rPr>
          <w:sz w:val="24"/>
          <w:szCs w:val="24"/>
          <w:color w:val="auto"/>
        </w:rPr>
      </w:pPr>
    </w:p>
    <w:p>
      <w:pPr>
        <w:ind w:right="120" w:firstLine="439"/>
        <w:spacing w:after="0" w:line="274" w:lineRule="auto"/>
        <w:rPr>
          <w:sz w:val="20"/>
          <w:szCs w:val="20"/>
          <w:color w:val="auto"/>
        </w:rPr>
      </w:pPr>
      <w:r>
        <w:rPr>
          <w:rFonts w:ascii="Arial" w:cs="Arial" w:eastAsia="Arial" w:hAnsi="Arial"/>
          <w:sz w:val="13"/>
          <w:szCs w:val="13"/>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172" w:lineRule="exact"/>
        <w:rPr>
          <w:sz w:val="24"/>
          <w:szCs w:val="24"/>
          <w:color w:val="auto"/>
        </w:rPr>
      </w:pPr>
    </w:p>
    <w:p>
      <w:pPr>
        <w:ind w:right="320" w:firstLine="439"/>
        <w:spacing w:after="0" w:line="274" w:lineRule="auto"/>
        <w:rPr>
          <w:sz w:val="20"/>
          <w:szCs w:val="20"/>
          <w:color w:val="auto"/>
        </w:rPr>
      </w:pPr>
      <w:r>
        <w:rPr>
          <w:rFonts w:ascii="Arial" w:cs="Arial" w:eastAsia="Arial" w:hAnsi="Arial"/>
          <w:sz w:val="13"/>
          <w:szCs w:val="13"/>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72" w:lineRule="exact"/>
        <w:rPr>
          <w:sz w:val="24"/>
          <w:szCs w:val="24"/>
          <w:color w:val="auto"/>
        </w:rPr>
      </w:pPr>
    </w:p>
    <w:p>
      <w:pPr>
        <w:ind w:firstLine="439"/>
        <w:spacing w:after="0" w:line="274" w:lineRule="auto"/>
        <w:rPr>
          <w:sz w:val="20"/>
          <w:szCs w:val="20"/>
          <w:color w:val="auto"/>
        </w:rPr>
      </w:pPr>
      <w:r>
        <w:rPr>
          <w:rFonts w:ascii="Arial" w:cs="Arial" w:eastAsia="Arial" w:hAnsi="Arial"/>
          <w:sz w:val="13"/>
          <w:szCs w:val="13"/>
          <w:color w:val="auto"/>
        </w:rPr>
        <w:t>If this Form is a registration statement pursuant to General Instruction I.C. or a post-effective amendment thereto that shall become effective upon filing with the Commission pursuant to Rule 462(e) under the Securities Act, check the following box. o</w:t>
      </w:r>
    </w:p>
    <w:p>
      <w:pPr>
        <w:spacing w:after="0" w:line="172" w:lineRule="exact"/>
        <w:rPr>
          <w:sz w:val="24"/>
          <w:szCs w:val="24"/>
          <w:color w:val="auto"/>
        </w:rPr>
      </w:pPr>
    </w:p>
    <w:p>
      <w:pPr>
        <w:ind w:right="320" w:firstLine="439"/>
        <w:spacing w:after="0" w:line="274" w:lineRule="auto"/>
        <w:rPr>
          <w:sz w:val="20"/>
          <w:szCs w:val="20"/>
          <w:color w:val="auto"/>
        </w:rPr>
      </w:pPr>
      <w:r>
        <w:rPr>
          <w:rFonts w:ascii="Arial" w:cs="Arial" w:eastAsia="Arial" w:hAnsi="Arial"/>
          <w:sz w:val="13"/>
          <w:szCs w:val="13"/>
          <w:color w:val="auto"/>
        </w:rPr>
        <w:t>If this Form is a post-effective amendment to a registration statement filed pursuant to General Instruction I.C. filed to register additional securities or additional classes of securities pursuant to Rule 413(b) under the Securities Act, check the following box. o</w:t>
      </w:r>
    </w:p>
    <w:p>
      <w:pPr>
        <w:spacing w:after="0" w:line="170" w:lineRule="exact"/>
        <w:rPr>
          <w:sz w:val="24"/>
          <w:szCs w:val="24"/>
          <w:color w:val="auto"/>
        </w:rPr>
      </w:pPr>
    </w:p>
    <w:p>
      <w:pPr>
        <w:jc w:val="center"/>
        <w:ind w:right="-79"/>
        <w:spacing w:after="0"/>
        <w:rPr>
          <w:sz w:val="20"/>
          <w:szCs w:val="20"/>
          <w:color w:val="auto"/>
        </w:rPr>
      </w:pPr>
      <w:r>
        <w:rPr>
          <w:rFonts w:ascii="Arial" w:cs="Arial" w:eastAsia="Arial" w:hAnsi="Arial"/>
          <w:sz w:val="13"/>
          <w:szCs w:val="13"/>
          <w:b w:val="1"/>
          <w:bCs w:val="1"/>
          <w:color w:val="auto"/>
        </w:rPr>
        <w:t>CALCULATION OF REGISTRATION FEE</w:t>
      </w:r>
    </w:p>
    <w:p>
      <w:pPr>
        <w:spacing w:after="0" w:line="200" w:lineRule="exact"/>
        <w:rPr>
          <w:sz w:val="24"/>
          <w:szCs w:val="24"/>
          <w:color w:val="auto"/>
        </w:rPr>
      </w:pPr>
    </w:p>
    <w:p>
      <w:pPr>
        <w:spacing w:after="0" w:line="251" w:lineRule="exact"/>
        <w:rPr>
          <w:sz w:val="24"/>
          <w:szCs w:val="24"/>
          <w:color w:val="auto"/>
        </w:rPr>
      </w:pPr>
    </w:p>
    <w:tbl>
      <w:tblPr>
        <w:tblLayout w:type="fixed"/>
        <w:tblInd w:w="1300" w:type="dxa"/>
        <w:tblCellMar>
          <w:top w:w="0" w:type="dxa"/>
          <w:left w:w="0" w:type="dxa"/>
          <w:bottom w:w="0" w:type="dxa"/>
          <w:right w:w="0" w:type="dxa"/>
        </w:tblCellMar>
      </w:tblPr>
      <w:tr>
        <w:trPr>
          <w:trHeight w:val="40"/>
        </w:trPr>
        <w:tc>
          <w:tcPr>
            <w:tcW w:w="3580" w:type="dxa"/>
            <w:vAlign w:val="bottom"/>
            <w:tcBorders>
              <w:top w:val="single" w:sz="8" w:color="auto"/>
              <w:bottom w:val="single" w:sz="8" w:color="auto"/>
            </w:tcBorders>
          </w:tcPr>
          <w:p>
            <w:pPr>
              <w:spacing w:after="0"/>
              <w:rPr>
                <w:sz w:val="3"/>
                <w:szCs w:val="3"/>
                <w:color w:val="auto"/>
              </w:rPr>
            </w:pPr>
          </w:p>
        </w:tc>
        <w:tc>
          <w:tcPr>
            <w:tcW w:w="1160" w:type="dxa"/>
            <w:vAlign w:val="bottom"/>
            <w:tcBorders>
              <w:top w:val="single" w:sz="8" w:color="auto"/>
              <w:bottom w:val="single" w:sz="8" w:color="auto"/>
            </w:tcBorders>
          </w:tcPr>
          <w:p>
            <w:pPr>
              <w:spacing w:after="0"/>
              <w:rPr>
                <w:sz w:val="3"/>
                <w:szCs w:val="3"/>
                <w:color w:val="auto"/>
              </w:rPr>
            </w:pPr>
          </w:p>
        </w:tc>
        <w:tc>
          <w:tcPr>
            <w:tcW w:w="1400" w:type="dxa"/>
            <w:vAlign w:val="bottom"/>
            <w:tcBorders>
              <w:top w:val="single" w:sz="8" w:color="auto"/>
              <w:bottom w:val="single" w:sz="8" w:color="auto"/>
            </w:tcBorders>
          </w:tcPr>
          <w:p>
            <w:pPr>
              <w:spacing w:after="0"/>
              <w:rPr>
                <w:sz w:val="3"/>
                <w:szCs w:val="3"/>
                <w:color w:val="auto"/>
              </w:rPr>
            </w:pPr>
          </w:p>
        </w:tc>
        <w:tc>
          <w:tcPr>
            <w:tcW w:w="1340" w:type="dxa"/>
            <w:vAlign w:val="bottom"/>
            <w:tcBorders>
              <w:top w:val="single" w:sz="8" w:color="auto"/>
              <w:bottom w:val="single" w:sz="8" w:color="auto"/>
            </w:tcBorders>
          </w:tcPr>
          <w:p>
            <w:pPr>
              <w:spacing w:after="0"/>
              <w:rPr>
                <w:sz w:val="3"/>
                <w:szCs w:val="3"/>
                <w:color w:val="auto"/>
              </w:rPr>
            </w:pPr>
          </w:p>
        </w:tc>
        <w:tc>
          <w:tcPr>
            <w:tcW w:w="1160" w:type="dxa"/>
            <w:vAlign w:val="bottom"/>
            <w:tcBorders>
              <w:top w:val="single" w:sz="8" w:color="auto"/>
              <w:bottom w:val="single" w:sz="8" w:color="auto"/>
            </w:tcBorders>
          </w:tcPr>
          <w:p>
            <w:pPr>
              <w:spacing w:after="0"/>
              <w:rPr>
                <w:sz w:val="3"/>
                <w:szCs w:val="3"/>
                <w:color w:val="auto"/>
              </w:rPr>
            </w:pPr>
          </w:p>
        </w:tc>
      </w:tr>
      <w:tr>
        <w:trPr>
          <w:trHeight w:val="116"/>
        </w:trPr>
        <w:tc>
          <w:tcPr>
            <w:tcW w:w="35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0" w:type="dxa"/>
            <w:vAlign w:val="bottom"/>
          </w:tcPr>
          <w:p>
            <w:pPr>
              <w:jc w:val="center"/>
              <w:spacing w:after="0" w:line="116" w:lineRule="exact"/>
              <w:rPr>
                <w:sz w:val="20"/>
                <w:szCs w:val="20"/>
                <w:color w:val="auto"/>
              </w:rPr>
            </w:pPr>
            <w:r>
              <w:rPr>
                <w:rFonts w:ascii="Arial" w:cs="Arial" w:eastAsia="Arial" w:hAnsi="Arial"/>
                <w:sz w:val="13"/>
                <w:szCs w:val="13"/>
                <w:b w:val="1"/>
                <w:bCs w:val="1"/>
                <w:color w:val="auto"/>
                <w:w w:val="95"/>
              </w:rPr>
              <w:t>Proposed Maximum</w:t>
            </w:r>
          </w:p>
        </w:tc>
        <w:tc>
          <w:tcPr>
            <w:tcW w:w="1340" w:type="dxa"/>
            <w:vAlign w:val="bottom"/>
          </w:tcPr>
          <w:p>
            <w:pPr>
              <w:jc w:val="center"/>
              <w:spacing w:after="0" w:line="116" w:lineRule="exact"/>
              <w:rPr>
                <w:sz w:val="20"/>
                <w:szCs w:val="20"/>
                <w:color w:val="auto"/>
              </w:rPr>
            </w:pPr>
            <w:r>
              <w:rPr>
                <w:rFonts w:ascii="Arial" w:cs="Arial" w:eastAsia="Arial" w:hAnsi="Arial"/>
                <w:sz w:val="13"/>
                <w:szCs w:val="13"/>
                <w:b w:val="1"/>
                <w:bCs w:val="1"/>
                <w:color w:val="auto"/>
                <w:w w:val="93"/>
              </w:rPr>
              <w:t>Proposed Maximum</w:t>
            </w:r>
          </w:p>
        </w:tc>
        <w:tc>
          <w:tcPr>
            <w:tcW w:w="1160" w:type="dxa"/>
            <w:vAlign w:val="bottom"/>
          </w:tcPr>
          <w:p>
            <w:pPr>
              <w:spacing w:after="0"/>
              <w:rPr>
                <w:sz w:val="10"/>
                <w:szCs w:val="10"/>
                <w:color w:val="auto"/>
              </w:rPr>
            </w:pPr>
          </w:p>
        </w:tc>
      </w:tr>
      <w:tr>
        <w:trPr>
          <w:trHeight w:val="161"/>
        </w:trPr>
        <w:tc>
          <w:tcPr>
            <w:tcW w:w="3580" w:type="dxa"/>
            <w:vAlign w:val="bottom"/>
          </w:tcPr>
          <w:p>
            <w:pPr>
              <w:jc w:val="center"/>
              <w:ind w:right="53"/>
              <w:spacing w:after="0"/>
              <w:rPr>
                <w:sz w:val="20"/>
                <w:szCs w:val="20"/>
                <w:color w:val="auto"/>
              </w:rPr>
            </w:pPr>
            <w:r>
              <w:rPr>
                <w:rFonts w:ascii="Arial" w:cs="Arial" w:eastAsia="Arial" w:hAnsi="Arial"/>
                <w:sz w:val="13"/>
                <w:szCs w:val="13"/>
                <w:b w:val="1"/>
                <w:bCs w:val="1"/>
                <w:color w:val="auto"/>
                <w:w w:val="92"/>
              </w:rPr>
              <w:t>Title of Each Class of Securities</w:t>
            </w: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w w:val="93"/>
              </w:rPr>
              <w:t>Amount to be</w:t>
            </w:r>
          </w:p>
        </w:tc>
        <w:tc>
          <w:tcPr>
            <w:tcW w:w="1400" w:type="dxa"/>
            <w:vAlign w:val="bottom"/>
          </w:tcPr>
          <w:p>
            <w:pPr>
              <w:jc w:val="center"/>
              <w:spacing w:after="0"/>
              <w:rPr>
                <w:sz w:val="20"/>
                <w:szCs w:val="20"/>
                <w:color w:val="auto"/>
              </w:rPr>
            </w:pPr>
            <w:r>
              <w:rPr>
                <w:rFonts w:ascii="Arial" w:cs="Arial" w:eastAsia="Arial" w:hAnsi="Arial"/>
                <w:sz w:val="13"/>
                <w:szCs w:val="13"/>
                <w:b w:val="1"/>
                <w:bCs w:val="1"/>
                <w:color w:val="auto"/>
                <w:w w:val="92"/>
              </w:rPr>
              <w:t>Aggregate Price</w:t>
            </w: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4"/>
              </w:rPr>
              <w:t>Aggregate Offering</w:t>
            </w: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w w:val="95"/>
              </w:rPr>
              <w:t>Amount of</w:t>
            </w:r>
          </w:p>
        </w:tc>
      </w:tr>
      <w:tr>
        <w:trPr>
          <w:trHeight w:val="203"/>
        </w:trPr>
        <w:tc>
          <w:tcPr>
            <w:tcW w:w="3580" w:type="dxa"/>
            <w:vAlign w:val="bottom"/>
            <w:tcBorders>
              <w:bottom w:val="single" w:sz="8" w:color="auto"/>
            </w:tcBorders>
          </w:tcPr>
          <w:p>
            <w:pPr>
              <w:jc w:val="center"/>
              <w:ind w:right="53"/>
              <w:spacing w:after="0"/>
              <w:rPr>
                <w:sz w:val="20"/>
                <w:szCs w:val="20"/>
                <w:color w:val="auto"/>
              </w:rPr>
            </w:pPr>
            <w:r>
              <w:rPr>
                <w:rFonts w:ascii="Arial" w:cs="Arial" w:eastAsia="Arial" w:hAnsi="Arial"/>
                <w:sz w:val="13"/>
                <w:szCs w:val="13"/>
                <w:b w:val="1"/>
                <w:bCs w:val="1"/>
                <w:color w:val="auto"/>
                <w:w w:val="92"/>
              </w:rPr>
              <w:t>to be Registered</w:t>
            </w:r>
          </w:p>
        </w:tc>
        <w:tc>
          <w:tcPr>
            <w:tcW w:w="116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3"/>
                <w:szCs w:val="13"/>
                <w:b w:val="1"/>
                <w:bCs w:val="1"/>
                <w:color w:val="auto"/>
                <w:w w:val="83"/>
              </w:rPr>
              <w:t>Registered</w:t>
            </w:r>
            <w:r>
              <w:rPr>
                <w:rFonts w:ascii="Arial" w:cs="Arial" w:eastAsia="Arial" w:hAnsi="Arial"/>
                <w:sz w:val="22"/>
                <w:szCs w:val="22"/>
                <w:b w:val="1"/>
                <w:bCs w:val="1"/>
                <w:color w:val="auto"/>
                <w:w w:val="83"/>
                <w:vertAlign w:val="superscript"/>
              </w:rPr>
              <w:t>(1)(2)</w:t>
            </w:r>
          </w:p>
        </w:tc>
        <w:tc>
          <w:tcPr>
            <w:tcW w:w="140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3"/>
                <w:szCs w:val="13"/>
                <w:b w:val="1"/>
                <w:bCs w:val="1"/>
                <w:color w:val="auto"/>
                <w:w w:val="91"/>
              </w:rPr>
              <w:t>Per Unit</w:t>
            </w:r>
            <w:r>
              <w:rPr>
                <w:rFonts w:ascii="Arial" w:cs="Arial" w:eastAsia="Arial" w:hAnsi="Arial"/>
                <w:sz w:val="22"/>
                <w:szCs w:val="22"/>
                <w:b w:val="1"/>
                <w:bCs w:val="1"/>
                <w:color w:val="auto"/>
                <w:w w:val="91"/>
                <w:vertAlign w:val="superscript"/>
              </w:rPr>
              <w:t>(3)</w:t>
            </w:r>
          </w:p>
        </w:tc>
        <w:tc>
          <w:tcPr>
            <w:tcW w:w="134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23"/>
                <w:szCs w:val="23"/>
                <w:b w:val="1"/>
                <w:bCs w:val="1"/>
                <w:color w:val="auto"/>
                <w:w w:val="90"/>
                <w:vertAlign w:val="subscript"/>
              </w:rPr>
              <w:t>Price</w:t>
            </w:r>
            <w:r>
              <w:rPr>
                <w:rFonts w:ascii="Arial" w:cs="Arial" w:eastAsia="Arial" w:hAnsi="Arial"/>
                <w:sz w:val="10"/>
                <w:szCs w:val="10"/>
                <w:b w:val="1"/>
                <w:bCs w:val="1"/>
                <w:color w:val="auto"/>
                <w:w w:val="90"/>
              </w:rPr>
              <w:t>(2)(3)</w:t>
            </w:r>
          </w:p>
        </w:tc>
        <w:tc>
          <w:tcPr>
            <w:tcW w:w="1160" w:type="dxa"/>
            <w:vAlign w:val="bottom"/>
            <w:tcBorders>
              <w:bottom w:val="single" w:sz="8" w:color="auto"/>
            </w:tcBorders>
          </w:tcPr>
          <w:p>
            <w:pPr>
              <w:jc w:val="center"/>
              <w:ind w:left="13"/>
              <w:spacing w:after="0" w:line="203" w:lineRule="exact"/>
              <w:rPr>
                <w:sz w:val="20"/>
                <w:szCs w:val="20"/>
                <w:color w:val="auto"/>
              </w:rPr>
            </w:pPr>
            <w:r>
              <w:rPr>
                <w:rFonts w:ascii="Arial" w:cs="Arial" w:eastAsia="Arial" w:hAnsi="Arial"/>
                <w:sz w:val="13"/>
                <w:szCs w:val="13"/>
                <w:b w:val="1"/>
                <w:bCs w:val="1"/>
                <w:color w:val="auto"/>
                <w:w w:val="90"/>
              </w:rPr>
              <w:t>Registration Fee</w:t>
            </w:r>
            <w:r>
              <w:rPr>
                <w:rFonts w:ascii="Arial" w:cs="Arial" w:eastAsia="Arial" w:hAnsi="Arial"/>
                <w:sz w:val="22"/>
                <w:szCs w:val="22"/>
                <w:b w:val="1"/>
                <w:bCs w:val="1"/>
                <w:color w:val="auto"/>
                <w:w w:val="90"/>
                <w:vertAlign w:val="superscript"/>
              </w:rPr>
              <w:t>(4)</w:t>
            </w:r>
          </w:p>
        </w:tc>
      </w:tr>
      <w:tr>
        <w:trPr>
          <w:trHeight w:val="167"/>
        </w:trPr>
        <w:tc>
          <w:tcPr>
            <w:tcW w:w="35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Common Units representing limited partner interests</w:t>
            </w:r>
          </w:p>
        </w:tc>
        <w:tc>
          <w:tcPr>
            <w:tcW w:w="1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r>
      <w:tr>
        <w:trPr>
          <w:trHeight w:val="169"/>
        </w:trPr>
        <w:tc>
          <w:tcPr>
            <w:tcW w:w="3580" w:type="dxa"/>
            <w:vAlign w:val="bottom"/>
            <w:tcBorders>
              <w:bottom w:val="single" w:sz="8" w:color="auto"/>
            </w:tcBorders>
          </w:tcPr>
          <w:p>
            <w:pPr>
              <w:spacing w:after="0"/>
              <w:rPr>
                <w:sz w:val="20"/>
                <w:szCs w:val="20"/>
                <w:color w:val="auto"/>
              </w:rPr>
            </w:pPr>
            <w:r>
              <w:rPr>
                <w:rFonts w:ascii="Arial" w:cs="Arial" w:eastAsia="Arial" w:hAnsi="Arial"/>
                <w:sz w:val="13"/>
                <w:szCs w:val="13"/>
                <w:color w:val="auto"/>
                <w:w w:val="97"/>
              </w:rPr>
              <w:t>Series A Preference Units representing limited partner interests</w:t>
            </w:r>
          </w:p>
        </w:tc>
        <w:tc>
          <w:tcPr>
            <w:tcW w:w="1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r>
    </w:tbl>
    <w:p>
      <w:pPr>
        <w:sectPr>
          <w:pgSz w:w="11900" w:h="16838" w:orient="portrait"/>
          <w:cols w:equalWidth="0" w:num="1">
            <w:col w:w="11160"/>
          </w:cols>
          <w:pgMar w:left="320" w:top="685" w:right="419" w:bottom="0" w:gutter="0" w:footer="0" w:header="0"/>
        </w:sectPr>
      </w:pPr>
    </w:p>
    <w:bookmarkStart w:id="1" w:name="page2"/>
    <w:bookmarkEnd w:id="1"/>
    <w:p>
      <w:pPr>
        <w:ind w:left="1300"/>
        <w:spacing w:after="0"/>
        <w:rPr>
          <w:sz w:val="20"/>
          <w:szCs w:val="20"/>
          <w:color w:val="auto"/>
        </w:rPr>
      </w:pPr>
      <w:r>
        <w:rPr>
          <w:rFonts w:ascii="Arial" w:cs="Arial" w:eastAsia="Arial" w:hAnsi="Arial"/>
          <w:sz w:val="13"/>
          <w:szCs w:val="13"/>
          <w:color w:val="auto"/>
        </w:rPr>
        <w:t>Series B Preference Units representing limited partner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23495</wp:posOffset>
            </wp:positionV>
            <wp:extent cx="54864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86400" cy="8255"/>
                    </a:xfrm>
                    <a:prstGeom prst="rect">
                      <a:avLst/>
                    </a:prstGeom>
                    <a:noFill/>
                  </pic:spPr>
                </pic:pic>
              </a:graphicData>
            </a:graphic>
          </wp:anchor>
        </w:drawing>
      </w:r>
    </w:p>
    <w:p>
      <w:pPr>
        <w:spacing w:after="0" w:line="20" w:lineRule="exact"/>
        <w:rPr>
          <w:sz w:val="20"/>
          <w:szCs w:val="20"/>
          <w:color w:val="auto"/>
        </w:rPr>
      </w:pPr>
    </w:p>
    <w:p>
      <w:pPr>
        <w:ind w:left="1300"/>
        <w:spacing w:after="0"/>
        <w:rPr>
          <w:sz w:val="20"/>
          <w:szCs w:val="20"/>
          <w:color w:val="auto"/>
        </w:rPr>
      </w:pPr>
      <w:r>
        <w:rPr>
          <w:rFonts w:ascii="Arial" w:cs="Arial" w:eastAsia="Arial" w:hAnsi="Arial"/>
          <w:sz w:val="13"/>
          <w:szCs w:val="13"/>
          <w:color w:val="auto"/>
        </w:rPr>
        <w:t>Series C Preference Units representing limited partner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23495</wp:posOffset>
            </wp:positionV>
            <wp:extent cx="54864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86400" cy="8255"/>
                    </a:xfrm>
                    <a:prstGeom prst="rect">
                      <a:avLst/>
                    </a:prstGeom>
                    <a:noFill/>
                  </pic:spPr>
                </pic:pic>
              </a:graphicData>
            </a:graphic>
          </wp:anchor>
        </w:drawing>
      </w:r>
    </w:p>
    <w:p>
      <w:pPr>
        <w:spacing w:after="0" w:line="20" w:lineRule="exact"/>
        <w:rPr>
          <w:sz w:val="20"/>
          <w:szCs w:val="20"/>
          <w:color w:val="auto"/>
        </w:rPr>
      </w:pPr>
    </w:p>
    <w:p>
      <w:pPr>
        <w:ind w:left="1300"/>
        <w:spacing w:after="0"/>
        <w:rPr>
          <w:sz w:val="20"/>
          <w:szCs w:val="20"/>
          <w:color w:val="auto"/>
        </w:rPr>
      </w:pPr>
      <w:r>
        <w:rPr>
          <w:rFonts w:ascii="Arial" w:cs="Arial" w:eastAsia="Arial" w:hAnsi="Arial"/>
          <w:sz w:val="13"/>
          <w:szCs w:val="13"/>
          <w:color w:val="auto"/>
        </w:rPr>
        <w:t>Other classes of units representing limited partner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23495</wp:posOffset>
            </wp:positionV>
            <wp:extent cx="54864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86400" cy="8255"/>
                    </a:xfrm>
                    <a:prstGeom prst="rect">
                      <a:avLst/>
                    </a:prstGeom>
                    <a:noFill/>
                  </pic:spPr>
                </pic:pic>
              </a:graphicData>
            </a:graphic>
          </wp:anchor>
        </w:drawing>
      </w:r>
    </w:p>
    <w:p>
      <w:pPr>
        <w:spacing w:after="0" w:line="20" w:lineRule="exact"/>
        <w:rPr>
          <w:sz w:val="20"/>
          <w:szCs w:val="20"/>
          <w:color w:val="auto"/>
        </w:rPr>
      </w:pPr>
    </w:p>
    <w:p>
      <w:pPr>
        <w:ind w:left="1300"/>
        <w:spacing w:after="0"/>
        <w:rPr>
          <w:sz w:val="20"/>
          <w:szCs w:val="20"/>
          <w:color w:val="auto"/>
        </w:rPr>
      </w:pPr>
      <w:r>
        <w:rPr>
          <w:rFonts w:ascii="Arial" w:cs="Arial" w:eastAsia="Arial" w:hAnsi="Arial"/>
          <w:sz w:val="13"/>
          <w:szCs w:val="13"/>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23495</wp:posOffset>
            </wp:positionV>
            <wp:extent cx="54864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86400" cy="8890"/>
                    </a:xfrm>
                    <a:prstGeom prst="rect">
                      <a:avLst/>
                    </a:prstGeom>
                    <a:noFill/>
                  </pic:spPr>
                </pic:pic>
              </a:graphicData>
            </a:graphic>
          </wp:anchor>
        </w:drawing>
      </w:r>
    </w:p>
    <w:p>
      <w:pPr>
        <w:spacing w:after="0" w:line="20" w:lineRule="exact"/>
        <w:rPr>
          <w:sz w:val="20"/>
          <w:szCs w:val="20"/>
          <w:color w:val="auto"/>
        </w:rPr>
      </w:pPr>
    </w:p>
    <w:p>
      <w:pPr>
        <w:ind w:left="1300"/>
        <w:spacing w:after="0"/>
        <w:rPr>
          <w:sz w:val="20"/>
          <w:szCs w:val="20"/>
          <w:color w:val="auto"/>
        </w:rPr>
      </w:pPr>
      <w:r>
        <w:rPr>
          <w:rFonts w:ascii="Arial" w:cs="Arial" w:eastAsia="Arial" w:hAnsi="Arial"/>
          <w:sz w:val="13"/>
          <w:szCs w:val="13"/>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23495</wp:posOffset>
            </wp:positionV>
            <wp:extent cx="54864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86400" cy="8255"/>
                    </a:xfrm>
                    <a:prstGeom prst="rect">
                      <a:avLst/>
                    </a:prstGeom>
                    <a:noFill/>
                  </pic:spPr>
                </pic:pic>
              </a:graphicData>
            </a:graphic>
          </wp:anchor>
        </w:drawing>
      </w:r>
    </w:p>
    <w:p>
      <w:pPr>
        <w:spacing w:after="0" w:line="20" w:lineRule="exact"/>
        <w:rPr>
          <w:sz w:val="20"/>
          <w:szCs w:val="20"/>
          <w:color w:val="auto"/>
        </w:rPr>
      </w:pPr>
    </w:p>
    <w:p>
      <w:pPr>
        <w:ind w:left="1300"/>
        <w:spacing w:after="0"/>
        <w:rPr>
          <w:sz w:val="20"/>
          <w:szCs w:val="20"/>
          <w:color w:val="auto"/>
        </w:rPr>
      </w:pPr>
      <w:r>
        <w:rPr>
          <w:rFonts w:ascii="Arial" w:cs="Arial" w:eastAsia="Arial" w:hAnsi="Arial"/>
          <w:sz w:val="13"/>
          <w:szCs w:val="13"/>
          <w:color w:val="auto"/>
        </w:rPr>
        <w:t>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23495</wp:posOffset>
            </wp:positionV>
            <wp:extent cx="54864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86400" cy="8255"/>
                    </a:xfrm>
                    <a:prstGeom prst="rect">
                      <a:avLst/>
                    </a:prstGeom>
                    <a:noFill/>
                  </pic:spPr>
                </pic:pic>
              </a:graphicData>
            </a:graphic>
          </wp:anchor>
        </w:drawing>
      </w:r>
    </w:p>
    <w:p>
      <w:pPr>
        <w:spacing w:after="0" w:line="20" w:lineRule="exact"/>
        <w:rPr>
          <w:sz w:val="20"/>
          <w:szCs w:val="20"/>
          <w:color w:val="auto"/>
        </w:rPr>
      </w:pPr>
    </w:p>
    <w:p>
      <w:pPr>
        <w:ind w:left="1300"/>
        <w:spacing w:after="0"/>
        <w:rPr>
          <w:sz w:val="20"/>
          <w:szCs w:val="20"/>
          <w:color w:val="auto"/>
        </w:rPr>
      </w:pPr>
      <w:r>
        <w:rPr>
          <w:rFonts w:ascii="Arial" w:cs="Arial" w:eastAsia="Arial" w:hAnsi="Arial"/>
          <w:sz w:val="13"/>
          <w:szCs w:val="13"/>
          <w:color w:val="auto"/>
        </w:rPr>
        <w:t>Combination Units</w:t>
      </w:r>
    </w:p>
    <w:p>
      <w:pPr>
        <w:spacing w:after="0" w:line="23" w:lineRule="exact"/>
        <w:rPr>
          <w:sz w:val="20"/>
          <w:szCs w:val="20"/>
          <w:color w:val="auto"/>
        </w:rPr>
      </w:pPr>
    </w:p>
    <w:tbl>
      <w:tblPr>
        <w:tblLayout w:type="fixed"/>
        <w:tblInd w:w="1300" w:type="dxa"/>
        <w:tblCellMar>
          <w:top w:w="0" w:type="dxa"/>
          <w:left w:w="0" w:type="dxa"/>
          <w:bottom w:w="0" w:type="dxa"/>
          <w:right w:w="0" w:type="dxa"/>
        </w:tblCellMar>
      </w:tblPr>
      <w:tr>
        <w:trPr>
          <w:trHeight w:val="182"/>
        </w:trPr>
        <w:tc>
          <w:tcPr>
            <w:tcW w:w="2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b w:val="1"/>
                <w:bCs w:val="1"/>
                <w:color w:val="auto"/>
              </w:rPr>
              <w:t>Subtotal</w:t>
            </w:r>
          </w:p>
        </w:tc>
        <w:tc>
          <w:tcPr>
            <w:tcW w:w="3340" w:type="dxa"/>
            <w:vAlign w:val="bottom"/>
            <w:tcBorders>
              <w:top w:val="single" w:sz="8" w:color="auto"/>
              <w:bottom w:val="single" w:sz="8" w:color="auto"/>
            </w:tcBorders>
          </w:tcPr>
          <w:p>
            <w:pPr>
              <w:jc w:val="right"/>
              <w:ind w:right="873"/>
              <w:spacing w:after="0"/>
              <w:rPr>
                <w:sz w:val="20"/>
                <w:szCs w:val="20"/>
                <w:color w:val="auto"/>
              </w:rPr>
            </w:pPr>
            <w:r>
              <w:rPr>
                <w:rFonts w:ascii="Arial" w:cs="Arial" w:eastAsia="Arial" w:hAnsi="Arial"/>
                <w:sz w:val="13"/>
                <w:szCs w:val="13"/>
                <w:color w:val="auto"/>
              </w:rPr>
              <w:t>$400,000,000</w:t>
            </w:r>
          </w:p>
        </w:tc>
        <w:tc>
          <w:tcPr>
            <w:tcW w:w="212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3"/>
                <w:szCs w:val="13"/>
                <w:color w:val="auto"/>
              </w:rPr>
              <w:t>$400,000,000</w:t>
            </w:r>
          </w:p>
        </w:tc>
        <w:tc>
          <w:tcPr>
            <w:tcW w:w="104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3"/>
                <w:szCs w:val="13"/>
                <w:color w:val="auto"/>
              </w:rPr>
              <w:t>$0</w:t>
            </w:r>
          </w:p>
        </w:tc>
      </w:tr>
      <w:tr>
        <w:trPr>
          <w:trHeight w:val="169"/>
        </w:trPr>
        <w:tc>
          <w:tcPr>
            <w:tcW w:w="21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Total</w:t>
            </w:r>
          </w:p>
        </w:tc>
        <w:tc>
          <w:tcPr>
            <w:tcW w:w="33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tcPr>
          <w:p>
            <w:pPr>
              <w:jc w:val="right"/>
              <w:ind w:right="353"/>
              <w:spacing w:after="0"/>
              <w:rPr>
                <w:sz w:val="20"/>
                <w:szCs w:val="20"/>
                <w:color w:val="auto"/>
              </w:rPr>
            </w:pPr>
            <w:r>
              <w:rPr>
                <w:rFonts w:ascii="Arial" w:cs="Arial" w:eastAsia="Arial" w:hAnsi="Arial"/>
                <w:sz w:val="13"/>
                <w:szCs w:val="13"/>
                <w:color w:val="auto"/>
              </w:rPr>
              <w:t>$400,000,000</w:t>
            </w:r>
          </w:p>
        </w:tc>
        <w:tc>
          <w:tcPr>
            <w:tcW w:w="1040" w:type="dxa"/>
            <w:vAlign w:val="bottom"/>
            <w:tcBorders>
              <w:bottom w:val="single" w:sz="8" w:color="auto"/>
            </w:tcBorders>
          </w:tcPr>
          <w:p>
            <w:pPr>
              <w:jc w:val="right"/>
              <w:ind w:right="413"/>
              <w:spacing w:after="0"/>
              <w:rPr>
                <w:sz w:val="20"/>
                <w:szCs w:val="20"/>
                <w:color w:val="auto"/>
              </w:rPr>
            </w:pPr>
            <w:r>
              <w:rPr>
                <w:rFonts w:ascii="Arial" w:cs="Arial" w:eastAsia="Arial" w:hAnsi="Arial"/>
                <w:sz w:val="13"/>
                <w:szCs w:val="13"/>
                <w:color w:val="auto"/>
              </w:rPr>
              <w:t>$0</w:t>
            </w:r>
          </w:p>
        </w:tc>
      </w:tr>
      <w:tr>
        <w:trPr>
          <w:trHeight w:val="20"/>
        </w:trPr>
        <w:tc>
          <w:tcPr>
            <w:tcW w:w="2140" w:type="dxa"/>
            <w:vAlign w:val="bottom"/>
            <w:tcBorders>
              <w:bottom w:val="single" w:sz="8" w:color="auto"/>
            </w:tcBorders>
          </w:tcPr>
          <w:p>
            <w:pPr>
              <w:spacing w:after="0" w:line="20" w:lineRule="exact"/>
              <w:rPr>
                <w:sz w:val="1"/>
                <w:szCs w:val="1"/>
                <w:color w:val="auto"/>
              </w:rPr>
            </w:pPr>
          </w:p>
        </w:tc>
        <w:tc>
          <w:tcPr>
            <w:tcW w:w="33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left="540" w:right="140" w:hanging="532"/>
        <w:spacing w:after="0" w:line="278" w:lineRule="auto"/>
        <w:tabs>
          <w:tab w:leader="none" w:pos="540" w:val="left"/>
        </w:tabs>
        <w:numPr>
          <w:ilvl w:val="0"/>
          <w:numId w:val="1"/>
        </w:numPr>
        <w:rPr>
          <w:rFonts w:ascii="Arial" w:cs="Arial" w:eastAsia="Arial" w:hAnsi="Arial"/>
          <w:sz w:val="12"/>
          <w:szCs w:val="12"/>
          <w:color w:val="auto"/>
        </w:rPr>
      </w:pPr>
      <w:r>
        <w:rPr>
          <w:rFonts w:ascii="Arial" w:cs="Arial" w:eastAsia="Arial" w:hAnsi="Arial"/>
          <w:sz w:val="12"/>
          <w:szCs w:val="12"/>
          <w:color w:val="auto"/>
        </w:rPr>
        <w:t>There are being registered hereunder such indeterminate number of the securities of each identified class being registered as may be sold from time to time at indeterminate prices, with any initial aggregate public offering price not to exceed $400,000,000. Separate consideration may or may not be received for units that are issuable on exercise, conversion or exchange of other securities or that are issued in units. If any debt securities are issued at an original issue discount, then the offering price of such debt securities shall be in such greater principal amount as shall result in a maximum aggregate offering price not to exceed $400,000,000, less the aggregate dollar amount of all securities previously issued hereunder.</w:t>
      </w:r>
    </w:p>
    <w:p>
      <w:pPr>
        <w:spacing w:after="0" w:line="89" w:lineRule="exact"/>
        <w:rPr>
          <w:rFonts w:ascii="Arial" w:cs="Arial" w:eastAsia="Arial" w:hAnsi="Arial"/>
          <w:sz w:val="12"/>
          <w:szCs w:val="12"/>
          <w:color w:val="auto"/>
        </w:rPr>
      </w:pPr>
    </w:p>
    <w:p>
      <w:pPr>
        <w:ind w:left="540" w:right="40" w:hanging="532"/>
        <w:spacing w:after="0" w:line="247" w:lineRule="auto"/>
        <w:tabs>
          <w:tab w:leader="none" w:pos="540" w:val="left"/>
        </w:tabs>
        <w:numPr>
          <w:ilvl w:val="0"/>
          <w:numId w:val="1"/>
        </w:numPr>
        <w:rPr>
          <w:rFonts w:ascii="Arial" w:cs="Arial" w:eastAsia="Arial" w:hAnsi="Arial"/>
          <w:sz w:val="13"/>
          <w:szCs w:val="13"/>
          <w:color w:val="auto"/>
        </w:rPr>
      </w:pPr>
      <w:r>
        <w:rPr>
          <w:rFonts w:ascii="Arial" w:cs="Arial" w:eastAsia="Arial" w:hAnsi="Arial"/>
          <w:sz w:val="13"/>
          <w:szCs w:val="13"/>
          <w:color w:val="auto"/>
        </w:rPr>
        <w:t>In United States dollars or the equivalent thereof in any other currency, currency unit or units, or composite currency or currencies. The Registrant is filing this registration statement to replace the portion of its Registration Statement on Form F-3 (File No. 333-220736, declared effective on October 10, 2017 (the "Prior Registration Statement")), which registered securities for sale by the Registrant and will expire on October 10, 2020 pursuant to Rule 415(a)(5) of the Securities Act. In accordance with Rule 415(a)(6) of the Securities Act, effectiveness of this registration statement will be deemed to terminate that portion of the Prior Registration Statement. The securities registered pursuant to this registration statement consist of those securities described in note (1), of which $400,000,000 were previously registered pursuant to the Prior Registration Statement and remain unsold by the Registrant.</w:t>
      </w:r>
    </w:p>
    <w:p>
      <w:pPr>
        <w:spacing w:after="0" w:line="108" w:lineRule="exact"/>
        <w:rPr>
          <w:rFonts w:ascii="Arial" w:cs="Arial" w:eastAsia="Arial" w:hAnsi="Arial"/>
          <w:sz w:val="13"/>
          <w:szCs w:val="13"/>
          <w:color w:val="auto"/>
        </w:rPr>
      </w:pPr>
    </w:p>
    <w:p>
      <w:pPr>
        <w:ind w:left="540" w:right="80" w:hanging="532"/>
        <w:spacing w:after="0" w:line="274" w:lineRule="auto"/>
        <w:tabs>
          <w:tab w:leader="none" w:pos="540" w:val="left"/>
        </w:tabs>
        <w:numPr>
          <w:ilvl w:val="0"/>
          <w:numId w:val="1"/>
        </w:numPr>
        <w:rPr>
          <w:rFonts w:ascii="Arial" w:cs="Arial" w:eastAsia="Arial" w:hAnsi="Arial"/>
          <w:sz w:val="13"/>
          <w:szCs w:val="13"/>
          <w:color w:val="auto"/>
        </w:rPr>
      </w:pPr>
      <w:r>
        <w:rPr>
          <w:rFonts w:ascii="Arial" w:cs="Arial" w:eastAsia="Arial" w:hAnsi="Arial"/>
          <w:sz w:val="13"/>
          <w:szCs w:val="13"/>
          <w:color w:val="auto"/>
        </w:rPr>
        <w:t>The proposed maximum aggregate offering price of each class of securities will be determined from time to time by the Registrant in connection with the issuance by the Registrant of the securities registered hereunder and is not specified as to each class of securities pursuant to the General Instruction II.C. of Form F-3 under the Securities Act of 1933.</w:t>
      </w:r>
    </w:p>
    <w:p>
      <w:pPr>
        <w:spacing w:after="0" w:line="90" w:lineRule="exact"/>
        <w:rPr>
          <w:rFonts w:ascii="Arial" w:cs="Arial" w:eastAsia="Arial" w:hAnsi="Arial"/>
          <w:sz w:val="13"/>
          <w:szCs w:val="13"/>
          <w:color w:val="auto"/>
        </w:rPr>
      </w:pPr>
    </w:p>
    <w:p>
      <w:pPr>
        <w:ind w:left="540" w:hanging="532"/>
        <w:spacing w:after="0" w:line="270" w:lineRule="auto"/>
        <w:tabs>
          <w:tab w:leader="none" w:pos="540" w:val="left"/>
        </w:tabs>
        <w:numPr>
          <w:ilvl w:val="0"/>
          <w:numId w:val="1"/>
        </w:numPr>
        <w:rPr>
          <w:rFonts w:ascii="Arial" w:cs="Arial" w:eastAsia="Arial" w:hAnsi="Arial"/>
          <w:sz w:val="12"/>
          <w:szCs w:val="12"/>
          <w:color w:val="auto"/>
        </w:rPr>
      </w:pPr>
      <w:r>
        <w:rPr>
          <w:rFonts w:ascii="Arial" w:cs="Arial" w:eastAsia="Arial" w:hAnsi="Arial"/>
          <w:sz w:val="12"/>
          <w:szCs w:val="12"/>
          <w:color w:val="auto"/>
        </w:rPr>
        <w:t>The Registrant paid a registration fee of $86,925 relating to the securities registered pursuant to the Prior Registration Statement. As of the date of filing of this registration statement, an aggregate of $260,546,584 of securities have been sold under the Prior Registration Statement. Pursuant to Rule 415(a)(6) of the Securities Act, such registration fee will continue to be applied to the $489,453,416 aggregate amount of those securities which remain unsold. Pursuant to Rule 415(a)(6) under the Securities Act, the full amount of the registration fee previously paid in connection with the Prior Registration Statement will continue to be applied to such unsold securities in this registration statement, so no registration fee is required to be paid with this registration statement with respect to those securities because they constitute unsold securities being moved from the Prior Registration Statement to this replacement registration statement. Pursuant to Rule 415(a)(6) under the Securities Act, the offering of unsold securities under the Prior Registration Statement will be deemed terminated as of the date of effectiveness of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118110</wp:posOffset>
            </wp:positionV>
            <wp:extent cx="18002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right="180" w:firstLine="439"/>
        <w:spacing w:after="0" w:line="258"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310515</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480060</wp:posOffset>
            </wp:positionV>
            <wp:extent cx="7136130"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color w:val="F05159"/>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F05159"/>
        </w:rPr>
        <w:t>SUBJECT TO COMPLETION, DATED OCTOBER 9,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$400,000,000</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GasLog Partners LP</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Common Units Representing Limited Partner Interests</w:t>
      </w:r>
    </w:p>
    <w:p>
      <w:pPr>
        <w:spacing w:after="0" w:line="36"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8.625% Series A Cumulative Redeemable Perpetual Fixed to Floating Rate Preference Units Representing</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Limited Partner Interests</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8.200% Series B Cumulative Redeemable Perpetual Fixed to Floating Rate Preference Units Representing</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Limited Partner Interests</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8.500% Series C Cumulative Redeemable Perpetual Fixed to Floating Rate Preference Units Representing</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Limited Partner Interests</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Other Classes of Units Representing Limited Partner Interests</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Debt Securities</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Warrants</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Rights</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Combination Units</w:t>
      </w:r>
    </w:p>
    <w:p>
      <w:pPr>
        <w:spacing w:after="0" w:line="216"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Through this prospectus, we may offer common units representing limited partner interests (the "Common Units"), 8.625% Series A Cumulative Redeemable Perpetual Fixed to Floating Rate Preference Units representing limited partner interests (the "Series A Preference Units"), 8.200% Series B Cumulative Redeemable Perpetual Fixed to Floating Rate Preference Units representing limited partner interests (the "Series B Preference Units"), 8.500% Series C Cumulative Redeemable Perpetual Fixed to Floating Rate Preference Units representing limited partner interests (the "Series C Preference Units" and, together with the Series A Preference Units and Series B Preference Units, the "Preference Units") and other classes of units representing limited partner interests (the "Other Units"), debt securities, warrants to purchase Common Units, Preference Units, Other Units or other rights (the "Warrants"), rights to purchase Common Units, Preference Units and Other Units (the "Rights"), and units consisting of any combination of the Common Units, Preference Units, Other Units, debt securities, Warrants and Rights (the "Combination Units") from time to time. We may also offer securities of the types listed above that are convertible or exchangeable into one or more of the securities listed above. When we decide to sell a particular class or series of securities, we will provide specific terms of the offered securities in a prospectus supplement.</w:t>
      </w:r>
    </w:p>
    <w:p>
      <w:pPr>
        <w:spacing w:after="0" w:line="176"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securities covered by this prospectus may be offered and sold from time to time in one or more offerings, which may be through one or more underwriters, dealers and agents, or directly to the purchasers. The names of any underwriters, dealers or agents, if any, will be included in a supplement to this prospectus.</w:t>
      </w:r>
    </w:p>
    <w:p>
      <w:pPr>
        <w:spacing w:after="0" w:line="194" w:lineRule="exact"/>
        <w:rPr>
          <w:sz w:val="20"/>
          <w:szCs w:val="20"/>
          <w:color w:val="auto"/>
        </w:rPr>
      </w:pPr>
    </w:p>
    <w:p>
      <w:pPr>
        <w:jc w:val="both"/>
        <w:ind w:right="40" w:firstLine="348"/>
        <w:spacing w:after="0" w:line="259" w:lineRule="auto"/>
        <w:rPr>
          <w:sz w:val="20"/>
          <w:szCs w:val="20"/>
          <w:color w:val="auto"/>
        </w:rPr>
      </w:pPr>
      <w:r>
        <w:rPr>
          <w:rFonts w:ascii="Arial" w:cs="Arial" w:eastAsia="Arial" w:hAnsi="Arial"/>
          <w:sz w:val="18"/>
          <w:szCs w:val="18"/>
          <w:color w:val="auto"/>
        </w:rPr>
        <w:t>This prospectus describes some of the general terms that may apply to these securities and the general manner in which they may be offered. The specific terms of any securities to be offered, and the specific manner in which they may be offered, will be described in one or more supplements to this prospectus. A prospectus supplement may also add, update or change information contained in this prospectus.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Units are traded on the New York Stock Exchange under the symbol "GLOP".</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Series A Preference Units are traded on the New York Stock Exchange under the symbol "GLOP PR A".</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Series B Preference Units are traded on the New York Stock Exchange under the symbol "GLOP PR B".</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Series C Preference Units are traded on the New York Stock Exchange under the symbol "GLOP PR C".</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principal executive offices are located at 69 Akti Miaouli 18537 Piraeus Greece. Our telephone number at such address is +30 210 459 1000.</w:t>
      </w:r>
    </w:p>
    <w:p>
      <w:pPr>
        <w:spacing w:after="0" w:line="229" w:lineRule="exact"/>
        <w:rPr>
          <w:sz w:val="20"/>
          <w:szCs w:val="20"/>
          <w:color w:val="auto"/>
        </w:rPr>
      </w:pPr>
    </w:p>
    <w:p>
      <w:pPr>
        <w:ind w:right="280" w:firstLine="351"/>
        <w:spacing w:after="0" w:line="256" w:lineRule="auto"/>
        <w:rPr>
          <w:sz w:val="20"/>
          <w:szCs w:val="20"/>
          <w:color w:val="auto"/>
        </w:rPr>
      </w:pPr>
      <w:r>
        <w:rPr>
          <w:rFonts w:ascii="Arial" w:cs="Arial" w:eastAsia="Arial" w:hAnsi="Arial"/>
          <w:sz w:val="22"/>
          <w:szCs w:val="22"/>
          <w:b w:val="1"/>
          <w:bCs w:val="1"/>
          <w:color w:val="auto"/>
        </w:rPr>
        <w:t>Investing in our securities involves risks. Before buying any securities you should carefully read the section entitled "Risk Factors" on page 7 of this prospectus.</w:t>
      </w:r>
    </w:p>
    <w:p>
      <w:pPr>
        <w:spacing w:after="0" w:line="175" w:lineRule="exact"/>
        <w:rPr>
          <w:sz w:val="20"/>
          <w:szCs w:val="20"/>
          <w:color w:val="auto"/>
        </w:rPr>
      </w:pPr>
    </w:p>
    <w:p>
      <w:pPr>
        <w:ind w:right="20" w:firstLine="351"/>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or other securities commission has approved or disapproved of these securities or determined if this prospectus is truthful or complete. Any representation to the contrary is a criminal offense.</w:t>
      </w:r>
    </w:p>
    <w:p>
      <w:pPr>
        <w:sectPr>
          <w:pgSz w:w="11900" w:h="16838" w:orient="portrait"/>
          <w:cols w:equalWidth="0" w:num="1">
            <w:col w:w="11200"/>
          </w:cols>
          <w:pgMar w:left="320" w:top="131" w:right="37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ind w:left="4000"/>
        <w:spacing w:after="0"/>
        <w:tabs>
          <w:tab w:leader="none" w:pos="7080" w:val="left"/>
        </w:tabs>
        <w:rPr>
          <w:sz w:val="20"/>
          <w:szCs w:val="20"/>
          <w:color w:val="auto"/>
        </w:rPr>
      </w:pPr>
      <w:r>
        <w:rPr>
          <w:rFonts w:ascii="Arial" w:cs="Arial" w:eastAsia="Arial" w:hAnsi="Arial"/>
          <w:sz w:val="18"/>
          <w:szCs w:val="18"/>
          <w:color w:val="auto"/>
        </w:rPr>
        <w:t>The date of this prospectus is</w:t>
      </w:r>
      <w:r>
        <w:rPr>
          <w:sz w:val="20"/>
          <w:szCs w:val="20"/>
          <w:color w:val="auto"/>
        </w:rPr>
        <w:tab/>
      </w:r>
      <w:r>
        <w:rPr>
          <w:rFonts w:ascii="Arial" w:cs="Arial" w:eastAsia="Arial" w:hAnsi="Arial"/>
          <w:sz w:val="16"/>
          <w:szCs w:val="16"/>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22"/>
        </w:trPr>
        <w:tc>
          <w:tcPr>
            <w:tcW w:w="864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tc>
        <w:tc>
          <w:tcPr>
            <w:tcW w:w="2600" w:type="dxa"/>
            <w:vAlign w:val="bottom"/>
          </w:tcPr>
          <w:p>
            <w:pPr>
              <w:spacing w:after="0"/>
              <w:rPr>
                <w:sz w:val="19"/>
                <w:szCs w:val="19"/>
                <w:color w:val="auto"/>
              </w:rPr>
            </w:pPr>
          </w:p>
        </w:tc>
      </w:tr>
      <w:tr>
        <w:trPr>
          <w:trHeight w:val="648"/>
        </w:trPr>
        <w:tc>
          <w:tcPr>
            <w:tcW w:w="864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2600" w:type="dxa"/>
            <w:vAlign w:val="bottom"/>
          </w:tcPr>
          <w:p>
            <w:pPr>
              <w:spacing w:after="0"/>
              <w:rPr>
                <w:sz w:val="24"/>
                <w:szCs w:val="24"/>
                <w:color w:val="auto"/>
              </w:rPr>
            </w:pPr>
          </w:p>
        </w:tc>
      </w:tr>
      <w:tr>
        <w:trPr>
          <w:trHeight w:val="432"/>
        </w:trPr>
        <w:tc>
          <w:tcPr>
            <w:tcW w:w="8640" w:type="dxa"/>
            <w:vAlign w:val="bottom"/>
          </w:tcPr>
          <w:p>
            <w:pPr>
              <w:ind w:left="11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FORWARD-LOOKING STATEMENTS</w:t>
              </w:r>
            </w:hyperlink>
          </w:p>
        </w:tc>
        <w:tc>
          <w:tcPr>
            <w:tcW w:w="2600" w:type="dxa"/>
            <w:vAlign w:val="bottom"/>
          </w:tcPr>
          <w:p>
            <w:pPr>
              <w:jc w:val="right"/>
              <w:ind w:right="1032"/>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1</w:t>
              </w:r>
            </w:hyperlink>
          </w:p>
        </w:tc>
      </w:tr>
      <w:tr>
        <w:trPr>
          <w:trHeight w:val="432"/>
        </w:trPr>
        <w:tc>
          <w:tcPr>
            <w:tcW w:w="8640" w:type="dxa"/>
            <w:vAlign w:val="bottom"/>
          </w:tcPr>
          <w:p>
            <w:pPr>
              <w:ind w:left="114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THE COMPANY</w:t>
              </w:r>
            </w:hyperlink>
          </w:p>
        </w:tc>
        <w:tc>
          <w:tcPr>
            <w:tcW w:w="2600" w:type="dxa"/>
            <w:vAlign w:val="bottom"/>
          </w:tcPr>
          <w:p>
            <w:pPr>
              <w:jc w:val="right"/>
              <w:ind w:right="1032"/>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4</w:t>
              </w:r>
            </w:hyperlink>
          </w:p>
        </w:tc>
      </w:tr>
      <w:tr>
        <w:trPr>
          <w:trHeight w:val="432"/>
        </w:trPr>
        <w:tc>
          <w:tcPr>
            <w:tcW w:w="8640" w:type="dxa"/>
            <w:vAlign w:val="bottom"/>
          </w:tcPr>
          <w:p>
            <w:pPr>
              <w:ind w:left="114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RISK FACTORS</w:t>
              </w:r>
            </w:hyperlink>
          </w:p>
        </w:tc>
        <w:tc>
          <w:tcPr>
            <w:tcW w:w="2600" w:type="dxa"/>
            <w:vAlign w:val="bottom"/>
          </w:tcPr>
          <w:p>
            <w:pPr>
              <w:jc w:val="right"/>
              <w:ind w:right="1032"/>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7</w:t>
              </w:r>
            </w:hyperlink>
          </w:p>
        </w:tc>
      </w:tr>
      <w:tr>
        <w:trPr>
          <w:trHeight w:val="432"/>
        </w:trPr>
        <w:tc>
          <w:tcPr>
            <w:tcW w:w="8640" w:type="dxa"/>
            <w:vAlign w:val="bottom"/>
          </w:tcPr>
          <w:p>
            <w:pPr>
              <w:ind w:left="114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SERVICE OF PROCESS AND ENFORCEMENT OF LIABILITIES</w:t>
              </w:r>
            </w:hyperlink>
          </w:p>
        </w:tc>
        <w:tc>
          <w:tcPr>
            <w:tcW w:w="2600" w:type="dxa"/>
            <w:vAlign w:val="bottom"/>
          </w:tcPr>
          <w:p>
            <w:pPr>
              <w:jc w:val="right"/>
              <w:ind w:right="1032"/>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8</w:t>
              </w:r>
            </w:hyperlink>
          </w:p>
        </w:tc>
      </w:tr>
      <w:tr>
        <w:trPr>
          <w:trHeight w:val="432"/>
        </w:trPr>
        <w:tc>
          <w:tcPr>
            <w:tcW w:w="8640" w:type="dxa"/>
            <w:vAlign w:val="bottom"/>
          </w:tcPr>
          <w:p>
            <w:pPr>
              <w:ind w:left="1140"/>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ABOUT THIS PROSPECTUS</w:t>
              </w:r>
            </w:hyperlink>
          </w:p>
        </w:tc>
        <w:tc>
          <w:tcPr>
            <w:tcW w:w="2600" w:type="dxa"/>
            <w:vAlign w:val="bottom"/>
          </w:tcPr>
          <w:p>
            <w:pPr>
              <w:jc w:val="right"/>
              <w:ind w:right="1032"/>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9</w:t>
              </w:r>
            </w:hyperlink>
          </w:p>
        </w:tc>
      </w:tr>
      <w:tr>
        <w:trPr>
          <w:trHeight w:val="432"/>
        </w:trPr>
        <w:tc>
          <w:tcPr>
            <w:tcW w:w="8640" w:type="dxa"/>
            <w:vAlign w:val="bottom"/>
          </w:tcPr>
          <w:p>
            <w:pPr>
              <w:ind w:left="1140"/>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WHERE YOU CAN FIND ADDITIONAL INFORMATION</w:t>
              </w:r>
            </w:hyperlink>
          </w:p>
        </w:tc>
        <w:tc>
          <w:tcPr>
            <w:tcW w:w="2600" w:type="dxa"/>
            <w:vAlign w:val="bottom"/>
          </w:tcPr>
          <w:p>
            <w:pPr>
              <w:jc w:val="right"/>
              <w:ind w:right="1032"/>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9</w:t>
              </w:r>
            </w:hyperlink>
          </w:p>
        </w:tc>
      </w:tr>
      <w:tr>
        <w:trPr>
          <w:trHeight w:val="432"/>
        </w:trPr>
        <w:tc>
          <w:tcPr>
            <w:tcW w:w="8640" w:type="dxa"/>
            <w:vAlign w:val="bottom"/>
          </w:tcPr>
          <w:p>
            <w:pPr>
              <w:ind w:left="114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INCORPORATION OF CERTAIN INFORMATION BY REFERENCE</w:t>
              </w:r>
            </w:hyperlink>
          </w:p>
        </w:tc>
        <w:tc>
          <w:tcPr>
            <w:tcW w:w="2600" w:type="dxa"/>
            <w:vAlign w:val="bottom"/>
          </w:tcPr>
          <w:p>
            <w:pPr>
              <w:jc w:val="right"/>
              <w:ind w:right="1032"/>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10</w:t>
              </w:r>
            </w:hyperlink>
          </w:p>
        </w:tc>
      </w:tr>
      <w:tr>
        <w:trPr>
          <w:trHeight w:val="432"/>
        </w:trPr>
        <w:tc>
          <w:tcPr>
            <w:tcW w:w="8640" w:type="dxa"/>
            <w:vAlign w:val="bottom"/>
          </w:tcPr>
          <w:p>
            <w:pPr>
              <w:ind w:left="114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USE OF PROCEEDS</w:t>
              </w:r>
            </w:hyperlink>
          </w:p>
        </w:tc>
        <w:tc>
          <w:tcPr>
            <w:tcW w:w="2600" w:type="dxa"/>
            <w:vAlign w:val="bottom"/>
          </w:tcPr>
          <w:p>
            <w:pPr>
              <w:jc w:val="right"/>
              <w:ind w:right="1032"/>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12</w:t>
              </w:r>
            </w:hyperlink>
          </w:p>
        </w:tc>
      </w:tr>
      <w:tr>
        <w:trPr>
          <w:trHeight w:val="432"/>
        </w:trPr>
        <w:tc>
          <w:tcPr>
            <w:tcW w:w="8640" w:type="dxa"/>
            <w:vAlign w:val="bottom"/>
          </w:tcPr>
          <w:p>
            <w:pPr>
              <w:ind w:left="114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CAPITALIZATION AND INDEBTEDNESS</w:t>
              </w:r>
            </w:hyperlink>
          </w:p>
        </w:tc>
        <w:tc>
          <w:tcPr>
            <w:tcW w:w="2600" w:type="dxa"/>
            <w:vAlign w:val="bottom"/>
          </w:tcPr>
          <w:p>
            <w:pPr>
              <w:jc w:val="right"/>
              <w:ind w:right="1032"/>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12</w:t>
              </w:r>
            </w:hyperlink>
          </w:p>
        </w:tc>
      </w:tr>
      <w:tr>
        <w:trPr>
          <w:trHeight w:val="432"/>
        </w:trPr>
        <w:tc>
          <w:tcPr>
            <w:tcW w:w="8640" w:type="dxa"/>
            <w:vAlign w:val="bottom"/>
          </w:tcPr>
          <w:p>
            <w:pPr>
              <w:ind w:left="114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DESCRIPTION OF COMMON UNITS</w:t>
              </w:r>
            </w:hyperlink>
          </w:p>
        </w:tc>
        <w:tc>
          <w:tcPr>
            <w:tcW w:w="2600" w:type="dxa"/>
            <w:vAlign w:val="bottom"/>
          </w:tcPr>
          <w:p>
            <w:pPr>
              <w:jc w:val="right"/>
              <w:ind w:right="1032"/>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12</w:t>
              </w:r>
            </w:hyperlink>
          </w:p>
        </w:tc>
      </w:tr>
      <w:tr>
        <w:trPr>
          <w:trHeight w:val="432"/>
        </w:trPr>
        <w:tc>
          <w:tcPr>
            <w:tcW w:w="8640" w:type="dxa"/>
            <w:vAlign w:val="bottom"/>
          </w:tcPr>
          <w:p>
            <w:pPr>
              <w:ind w:left="114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DESCRIPTION OF CLASS B UNITS</w:t>
              </w:r>
            </w:hyperlink>
          </w:p>
        </w:tc>
        <w:tc>
          <w:tcPr>
            <w:tcW w:w="2600" w:type="dxa"/>
            <w:vAlign w:val="bottom"/>
          </w:tcPr>
          <w:p>
            <w:pPr>
              <w:jc w:val="right"/>
              <w:ind w:right="1032"/>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13</w:t>
              </w:r>
            </w:hyperlink>
          </w:p>
        </w:tc>
      </w:tr>
      <w:tr>
        <w:trPr>
          <w:trHeight w:val="432"/>
        </w:trPr>
        <w:tc>
          <w:tcPr>
            <w:tcW w:w="8640" w:type="dxa"/>
            <w:vAlign w:val="bottom"/>
          </w:tcPr>
          <w:p>
            <w:pPr>
              <w:ind w:left="114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DESCRIPTION OF SERIES A PREFERENCE UNITS</w:t>
              </w:r>
            </w:hyperlink>
          </w:p>
        </w:tc>
        <w:tc>
          <w:tcPr>
            <w:tcW w:w="2600" w:type="dxa"/>
            <w:vAlign w:val="bottom"/>
          </w:tcPr>
          <w:p>
            <w:pPr>
              <w:jc w:val="right"/>
              <w:ind w:right="1032"/>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15</w:t>
              </w:r>
            </w:hyperlink>
          </w:p>
        </w:tc>
      </w:tr>
      <w:tr>
        <w:trPr>
          <w:trHeight w:val="432"/>
        </w:trPr>
        <w:tc>
          <w:tcPr>
            <w:tcW w:w="8640" w:type="dxa"/>
            <w:vAlign w:val="bottom"/>
          </w:tcPr>
          <w:p>
            <w:pPr>
              <w:ind w:left="114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DESCRIPTION OF SERIES B PREFERENCE UNITS</w:t>
              </w:r>
            </w:hyperlink>
          </w:p>
        </w:tc>
        <w:tc>
          <w:tcPr>
            <w:tcW w:w="2600" w:type="dxa"/>
            <w:vAlign w:val="bottom"/>
          </w:tcPr>
          <w:p>
            <w:pPr>
              <w:jc w:val="right"/>
              <w:ind w:right="1032"/>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15</w:t>
              </w:r>
            </w:hyperlink>
          </w:p>
        </w:tc>
      </w:tr>
      <w:tr>
        <w:trPr>
          <w:trHeight w:val="432"/>
        </w:trPr>
        <w:tc>
          <w:tcPr>
            <w:tcW w:w="8640" w:type="dxa"/>
            <w:vAlign w:val="bottom"/>
          </w:tcPr>
          <w:p>
            <w:pPr>
              <w:ind w:left="114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DESCRIPTION OF SERIES C PREFERENCE UNITS</w:t>
              </w:r>
            </w:hyperlink>
          </w:p>
        </w:tc>
        <w:tc>
          <w:tcPr>
            <w:tcW w:w="2600" w:type="dxa"/>
            <w:vAlign w:val="bottom"/>
          </w:tcPr>
          <w:p>
            <w:pPr>
              <w:jc w:val="right"/>
              <w:ind w:right="1032"/>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15</w:t>
              </w:r>
            </w:hyperlink>
          </w:p>
        </w:tc>
      </w:tr>
      <w:tr>
        <w:trPr>
          <w:trHeight w:val="432"/>
        </w:trPr>
        <w:tc>
          <w:tcPr>
            <w:tcW w:w="8640" w:type="dxa"/>
            <w:vAlign w:val="bottom"/>
          </w:tcPr>
          <w:p>
            <w:pPr>
              <w:ind w:left="114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DESCRIPTION OF THE OTHER CLASSES OF UNITS</w:t>
              </w:r>
            </w:hyperlink>
          </w:p>
        </w:tc>
        <w:tc>
          <w:tcPr>
            <w:tcW w:w="2600" w:type="dxa"/>
            <w:vAlign w:val="bottom"/>
          </w:tcPr>
          <w:p>
            <w:pPr>
              <w:jc w:val="right"/>
              <w:ind w:right="1032"/>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15</w:t>
              </w:r>
            </w:hyperlink>
          </w:p>
        </w:tc>
      </w:tr>
      <w:tr>
        <w:trPr>
          <w:trHeight w:val="432"/>
        </w:trPr>
        <w:tc>
          <w:tcPr>
            <w:tcW w:w="8640" w:type="dxa"/>
            <w:vAlign w:val="bottom"/>
          </w:tcPr>
          <w:p>
            <w:pPr>
              <w:ind w:left="114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DESCRIPTION OF DEBT SECURITIES</w:t>
              </w:r>
            </w:hyperlink>
          </w:p>
        </w:tc>
        <w:tc>
          <w:tcPr>
            <w:tcW w:w="2600" w:type="dxa"/>
            <w:vAlign w:val="bottom"/>
          </w:tcPr>
          <w:p>
            <w:pPr>
              <w:jc w:val="right"/>
              <w:ind w:right="1032"/>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16</w:t>
              </w:r>
            </w:hyperlink>
          </w:p>
        </w:tc>
      </w:tr>
      <w:tr>
        <w:trPr>
          <w:trHeight w:val="432"/>
        </w:trPr>
        <w:tc>
          <w:tcPr>
            <w:tcW w:w="8640" w:type="dxa"/>
            <w:vAlign w:val="bottom"/>
          </w:tcPr>
          <w:p>
            <w:pPr>
              <w:ind w:left="114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DESCRIPTION OF WARRANTS</w:t>
              </w:r>
            </w:hyperlink>
          </w:p>
        </w:tc>
        <w:tc>
          <w:tcPr>
            <w:tcW w:w="2600" w:type="dxa"/>
            <w:vAlign w:val="bottom"/>
          </w:tcPr>
          <w:p>
            <w:pPr>
              <w:jc w:val="right"/>
              <w:ind w:right="1032"/>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24</w:t>
              </w:r>
            </w:hyperlink>
          </w:p>
        </w:tc>
      </w:tr>
      <w:tr>
        <w:trPr>
          <w:trHeight w:val="432"/>
        </w:trPr>
        <w:tc>
          <w:tcPr>
            <w:tcW w:w="8640" w:type="dxa"/>
            <w:vAlign w:val="bottom"/>
          </w:tcPr>
          <w:p>
            <w:pPr>
              <w:ind w:left="114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DESCRIPTION OF RIGHTS</w:t>
              </w:r>
            </w:hyperlink>
          </w:p>
        </w:tc>
        <w:tc>
          <w:tcPr>
            <w:tcW w:w="2600" w:type="dxa"/>
            <w:vAlign w:val="bottom"/>
          </w:tcPr>
          <w:p>
            <w:pPr>
              <w:jc w:val="right"/>
              <w:ind w:right="1032"/>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25</w:t>
              </w:r>
            </w:hyperlink>
          </w:p>
        </w:tc>
      </w:tr>
      <w:tr>
        <w:trPr>
          <w:trHeight w:val="432"/>
        </w:trPr>
        <w:tc>
          <w:tcPr>
            <w:tcW w:w="8640" w:type="dxa"/>
            <w:vAlign w:val="bottom"/>
          </w:tcPr>
          <w:p>
            <w:pPr>
              <w:ind w:left="114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DESCRIPTION OF THE COMBINATION UNITS</w:t>
              </w:r>
            </w:hyperlink>
          </w:p>
        </w:tc>
        <w:tc>
          <w:tcPr>
            <w:tcW w:w="2600" w:type="dxa"/>
            <w:vAlign w:val="bottom"/>
          </w:tcPr>
          <w:p>
            <w:pPr>
              <w:jc w:val="right"/>
              <w:ind w:right="1032"/>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25</w:t>
              </w:r>
            </w:hyperlink>
          </w:p>
        </w:tc>
      </w:tr>
      <w:tr>
        <w:trPr>
          <w:trHeight w:val="432"/>
        </w:trPr>
        <w:tc>
          <w:tcPr>
            <w:tcW w:w="8640" w:type="dxa"/>
            <w:vAlign w:val="bottom"/>
          </w:tcPr>
          <w:p>
            <w:pPr>
              <w:ind w:left="114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SUMMARY OF OUR PARTNERSHIP AGREEMENT</w:t>
              </w:r>
            </w:hyperlink>
          </w:p>
        </w:tc>
        <w:tc>
          <w:tcPr>
            <w:tcW w:w="2600" w:type="dxa"/>
            <w:vAlign w:val="bottom"/>
          </w:tcPr>
          <w:p>
            <w:pPr>
              <w:jc w:val="right"/>
              <w:ind w:right="1032"/>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27</w:t>
              </w:r>
            </w:hyperlink>
          </w:p>
        </w:tc>
      </w:tr>
      <w:tr>
        <w:trPr>
          <w:trHeight w:val="432"/>
        </w:trPr>
        <w:tc>
          <w:tcPr>
            <w:tcW w:w="8640" w:type="dxa"/>
            <w:vAlign w:val="bottom"/>
          </w:tcPr>
          <w:p>
            <w:pPr>
              <w:ind w:left="1140"/>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OUR CASH DISTRIBUTION POLICY AND RESTRICTIONS ON DISTRIBUTIONS</w:t>
              </w:r>
            </w:hyperlink>
          </w:p>
        </w:tc>
        <w:tc>
          <w:tcPr>
            <w:tcW w:w="2600" w:type="dxa"/>
            <w:vAlign w:val="bottom"/>
          </w:tcPr>
          <w:p>
            <w:pPr>
              <w:jc w:val="right"/>
              <w:ind w:right="1032"/>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43</w:t>
              </w:r>
            </w:hyperlink>
          </w:p>
        </w:tc>
      </w:tr>
      <w:tr>
        <w:trPr>
          <w:trHeight w:val="432"/>
        </w:trPr>
        <w:tc>
          <w:tcPr>
            <w:tcW w:w="8640" w:type="dxa"/>
            <w:vAlign w:val="bottom"/>
          </w:tcPr>
          <w:p>
            <w:pPr>
              <w:ind w:left="1140"/>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MATERIAL U.S. FEDERAL INCOME TAX CONSIDERATIONS</w:t>
              </w:r>
            </w:hyperlink>
          </w:p>
        </w:tc>
        <w:tc>
          <w:tcPr>
            <w:tcW w:w="2600" w:type="dxa"/>
            <w:vAlign w:val="bottom"/>
          </w:tcPr>
          <w:p>
            <w:pPr>
              <w:jc w:val="right"/>
              <w:ind w:right="1032"/>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47</w:t>
              </w:r>
            </w:hyperlink>
          </w:p>
        </w:tc>
      </w:tr>
      <w:tr>
        <w:trPr>
          <w:trHeight w:val="432"/>
        </w:trPr>
        <w:tc>
          <w:tcPr>
            <w:tcW w:w="8640" w:type="dxa"/>
            <w:vAlign w:val="bottom"/>
          </w:tcPr>
          <w:p>
            <w:pPr>
              <w:ind w:left="1140"/>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NON-UNITED STATES TAX CONSIDERATIONS</w:t>
              </w:r>
            </w:hyperlink>
          </w:p>
        </w:tc>
        <w:tc>
          <w:tcPr>
            <w:tcW w:w="2600" w:type="dxa"/>
            <w:vAlign w:val="bottom"/>
          </w:tcPr>
          <w:p>
            <w:pPr>
              <w:jc w:val="right"/>
              <w:ind w:right="1032"/>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47</w:t>
              </w:r>
            </w:hyperlink>
          </w:p>
        </w:tc>
      </w:tr>
      <w:tr>
        <w:trPr>
          <w:trHeight w:val="432"/>
        </w:trPr>
        <w:tc>
          <w:tcPr>
            <w:tcW w:w="8640" w:type="dxa"/>
            <w:vAlign w:val="bottom"/>
          </w:tcPr>
          <w:p>
            <w:pPr>
              <w:ind w:left="1140"/>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PLAN OF DISTRIBUTION</w:t>
              </w:r>
            </w:hyperlink>
          </w:p>
        </w:tc>
        <w:tc>
          <w:tcPr>
            <w:tcW w:w="2600" w:type="dxa"/>
            <w:vAlign w:val="bottom"/>
          </w:tcPr>
          <w:p>
            <w:pPr>
              <w:jc w:val="right"/>
              <w:ind w:right="1032"/>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47</w:t>
              </w:r>
            </w:hyperlink>
          </w:p>
        </w:tc>
      </w:tr>
      <w:tr>
        <w:trPr>
          <w:trHeight w:val="432"/>
        </w:trPr>
        <w:tc>
          <w:tcPr>
            <w:tcW w:w="8640" w:type="dxa"/>
            <w:vAlign w:val="bottom"/>
          </w:tcPr>
          <w:p>
            <w:pPr>
              <w:ind w:left="1140"/>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EXPENSES</w:t>
              </w:r>
            </w:hyperlink>
          </w:p>
        </w:tc>
        <w:tc>
          <w:tcPr>
            <w:tcW w:w="2600" w:type="dxa"/>
            <w:vAlign w:val="bottom"/>
          </w:tcPr>
          <w:p>
            <w:pPr>
              <w:jc w:val="right"/>
              <w:ind w:right="1032"/>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49</w:t>
              </w:r>
            </w:hyperlink>
          </w:p>
        </w:tc>
      </w:tr>
      <w:tr>
        <w:trPr>
          <w:trHeight w:val="432"/>
        </w:trPr>
        <w:tc>
          <w:tcPr>
            <w:tcW w:w="8640" w:type="dxa"/>
            <w:vAlign w:val="bottom"/>
          </w:tcPr>
          <w:p>
            <w:pPr>
              <w:ind w:left="1140"/>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LEGAL MATTERS</w:t>
              </w:r>
            </w:hyperlink>
          </w:p>
        </w:tc>
        <w:tc>
          <w:tcPr>
            <w:tcW w:w="2600" w:type="dxa"/>
            <w:vAlign w:val="bottom"/>
          </w:tcPr>
          <w:p>
            <w:pPr>
              <w:jc w:val="right"/>
              <w:ind w:right="1032"/>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49</w:t>
              </w:r>
            </w:hyperlink>
          </w:p>
        </w:tc>
      </w:tr>
      <w:tr>
        <w:trPr>
          <w:trHeight w:val="432"/>
        </w:trPr>
        <w:tc>
          <w:tcPr>
            <w:tcW w:w="8640" w:type="dxa"/>
            <w:vAlign w:val="bottom"/>
          </w:tcPr>
          <w:p>
            <w:pPr>
              <w:ind w:left="1140"/>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EXPERTS</w:t>
              </w:r>
            </w:hyperlink>
          </w:p>
        </w:tc>
        <w:tc>
          <w:tcPr>
            <w:tcW w:w="2600" w:type="dxa"/>
            <w:vAlign w:val="bottom"/>
          </w:tcPr>
          <w:p>
            <w:pPr>
              <w:jc w:val="right"/>
              <w:ind w:right="1032"/>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50</w:t>
              </w:r>
            </w:hyperlink>
          </w:p>
        </w:tc>
      </w:tr>
      <w:tr>
        <w:trPr>
          <w:trHeight w:val="432"/>
        </w:trPr>
        <w:tc>
          <w:tcPr>
            <w:tcW w:w="8640" w:type="dxa"/>
            <w:vAlign w:val="bottom"/>
          </w:tcPr>
          <w:p>
            <w:pPr>
              <w:ind w:left="5600"/>
              <w:spacing w:after="0"/>
              <w:rPr>
                <w:sz w:val="20"/>
                <w:szCs w:val="20"/>
                <w:color w:val="auto"/>
              </w:rPr>
            </w:pPr>
            <w:r>
              <w:rPr>
                <w:rFonts w:ascii="Arial" w:cs="Arial" w:eastAsia="Arial" w:hAnsi="Arial"/>
                <w:sz w:val="18"/>
                <w:szCs w:val="18"/>
                <w:color w:val="auto"/>
              </w:rPr>
              <w:t>i</w:t>
            </w:r>
          </w:p>
        </w:tc>
        <w:tc>
          <w:tcPr>
            <w:tcW w:w="2600" w:type="dxa"/>
            <w:vAlign w:val="bottom"/>
          </w:tcPr>
          <w:p>
            <w:pPr>
              <w:spacing w:after="0"/>
              <w:rPr>
                <w:sz w:val="24"/>
                <w:szCs w:val="24"/>
                <w:color w:val="auto"/>
              </w:rPr>
            </w:pPr>
          </w:p>
        </w:tc>
      </w:tr>
      <w:tr>
        <w:trPr>
          <w:trHeight w:val="228"/>
        </w:trPr>
        <w:tc>
          <w:tcPr>
            <w:tcW w:w="8640" w:type="dxa"/>
            <w:vAlign w:val="bottom"/>
            <w:tcBorders>
              <w:bottom w:val="single" w:sz="8" w:color="808080"/>
            </w:tcBorders>
          </w:tcPr>
          <w:p>
            <w:pPr>
              <w:spacing w:after="0"/>
              <w:rPr>
                <w:sz w:val="19"/>
                <w:szCs w:val="19"/>
                <w:color w:val="auto"/>
              </w:rPr>
            </w:pPr>
          </w:p>
        </w:tc>
        <w:tc>
          <w:tcPr>
            <w:tcW w:w="26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firstLine="341"/>
        <w:spacing w:after="0" w:line="285" w:lineRule="auto"/>
        <w:rPr>
          <w:sz w:val="20"/>
          <w:szCs w:val="20"/>
          <w:color w:val="auto"/>
        </w:rPr>
      </w:pPr>
      <w:r>
        <w:rPr>
          <w:rFonts w:ascii="Arial" w:cs="Arial" w:eastAsia="Arial" w:hAnsi="Arial"/>
          <w:sz w:val="16"/>
          <w:szCs w:val="16"/>
          <w:color w:val="auto"/>
        </w:rPr>
        <w:t>All statements in this prospectus that are not statements of historical fact are "forward-looking statements" within the meaning of the United States Private Securities Litigation Reform Act of 1995. The disclosure and analysis set forth in this prospectus include statements that address activities, events or developments that the Partnership expects, projects, believes or anticipates will or may occur in the future, particularly in relation to our operations, cash flows, financial position, liquidity and cash available for dividends or distributions, and the impact of cash distribution reductions on the Partnership's business and growth prospects, plans, strategies, business prospects and changes and trends in our business and the markets in which we operate. These statements are intended as "forward-looking statements". In some cases, predictive, future-tense or forward-looking words such as "believe", "intend", "anticipate", "estimate", "project", "forecast", "plan", "potential", "may", "should", "could" and "expect" and similar expressions are intended to identify forward-looking statements but are not the exclusive means of identifying such statements. In addition, we and our representatives may from time to time make other oral or written statements which are forward-looking statements, including in our periodic reports that we file with the Securities and Exchange Commission, or the "SEC", other information sent to our security holders, and other written materials. We caution that these forward-looking statements represent our estimates and assumptions only as of the date of this prospectus or the date on which such oral or written statements are made, as applicable,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Factors that might cause future results and outcomes to differ include, but are not limited to, the following:</w:t>
      </w:r>
    </w:p>
    <w:p>
      <w:pPr>
        <w:spacing w:after="0" w:line="239" w:lineRule="exact"/>
        <w:rPr>
          <w:sz w:val="20"/>
          <w:szCs w:val="20"/>
          <w:color w:val="auto"/>
        </w:rPr>
      </w:pPr>
    </w:p>
    <w:p>
      <w:pPr>
        <w:jc w:val="both"/>
        <w:ind w:left="1080" w:right="220" w:hanging="532"/>
        <w:spacing w:after="0" w:line="259"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general liquefied natural gas ("LNG") shipping market conditions and trends, including spot and multi-year charter rates, ship values, factors affecting supply and demand of LNG and LNG shipping, including geopolitical events, technological advancements and opportunities for the profitable operations of LNG carriers;</w:t>
      </w:r>
    </w:p>
    <w:p>
      <w:pPr>
        <w:spacing w:after="0" w:line="220"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fluctuations in charter hire rates, vessel utilization and vessel values;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secure new multi-year charters at economically attractive rates;</w:t>
      </w:r>
    </w:p>
    <w:p>
      <w:pPr>
        <w:spacing w:after="0" w:line="238" w:lineRule="exact"/>
        <w:rPr>
          <w:rFonts w:ascii="Arial" w:cs="Arial" w:eastAsia="Arial" w:hAnsi="Arial"/>
          <w:sz w:val="18"/>
          <w:szCs w:val="18"/>
          <w:color w:val="auto"/>
        </w:rPr>
      </w:pPr>
    </w:p>
    <w:p>
      <w:pPr>
        <w:ind w:left="1080" w:right="220" w:hanging="532"/>
        <w:spacing w:after="0" w:line="306" w:lineRule="auto"/>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ability to maximize the use of our vessels, including the re-deployment or disposition of vessels which are not operating under multi-year charters, including the risk that certain of our vessels may no longer have the latest technology at such time which may impact our ability to secure employment for such vessels as well as the rate at which we can charter such vessels;</w:t>
      </w:r>
    </w:p>
    <w:p>
      <w:pPr>
        <w:spacing w:after="0" w:line="187" w:lineRule="exact"/>
        <w:rPr>
          <w:rFonts w:ascii="Arial" w:cs="Arial" w:eastAsia="Arial" w:hAnsi="Arial"/>
          <w:sz w:val="16"/>
          <w:szCs w:val="16"/>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our operating expenses, including crew wages, maintenance, dry-docking and insurance costs and bunker prices;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number of off-hire days and dry-docking requirements including our ability to complete scheduled dry-dockings on time and within budget;</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planned capital expenditures and availability of capital resources to fund capital expenditures;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disruption to the LNG, LNG shipping and financial markets caused by the global shutdown as a result of the COVID-19 pandemic;</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fluctuations in prices for crude oil, petroleum products and natural gas, including LNG;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fluctuations in exchange rates, especially the U.S. dollar and the Euro;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6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expand our portfolio by acquiring vessels through our drop-down pipeline with GasLog Ltd. ("GasLog") or by acquiring other assets from third parties;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leverage GasLog's relationships and reputation in the shipping industry;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ability of GasLog to maintain long-term relationships with major energy companies and major LNG producers, marketers and consumers;</w:t>
      </w:r>
    </w:p>
    <w:p>
      <w:pPr>
        <w:spacing w:after="0" w:line="261" w:lineRule="exact"/>
        <w:rPr>
          <w:rFonts w:ascii="Arial" w:cs="Arial" w:eastAsia="Arial" w:hAnsi="Arial"/>
          <w:sz w:val="16"/>
          <w:szCs w:val="16"/>
          <w:color w:val="auto"/>
        </w:rPr>
      </w:pPr>
    </w:p>
    <w:p>
      <w:pPr>
        <w:ind w:left="1080" w:right="8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GasLog's relationships with its employees and ship crews, its ability to retain key employees and provide services to us, and the availability of skilled labor, ship crews and management;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ownership of our charterers;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customers' performance of their obligations under our time charters and other contracts;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operating performance, financial condition, liquidity and cash available for distributions;</w:t>
      </w:r>
    </w:p>
    <w:p>
      <w:pPr>
        <w:spacing w:after="0" w:line="252"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distribution policy and our ability to make cash distributions on our units or the impact of cash distribution reductions on our financial position;</w:t>
      </w:r>
    </w:p>
    <w:p>
      <w:pPr>
        <w:spacing w:after="0" w:line="199" w:lineRule="exact"/>
        <w:rPr>
          <w:rFonts w:ascii="Arial" w:cs="Arial" w:eastAsia="Arial" w:hAnsi="Arial"/>
          <w:sz w:val="18"/>
          <w:szCs w:val="18"/>
          <w:color w:val="auto"/>
        </w:rPr>
      </w:pPr>
    </w:p>
    <w:p>
      <w:pPr>
        <w:jc w:val="both"/>
        <w:ind w:left="1080" w:right="360" w:hanging="532"/>
        <w:spacing w:after="0" w:line="259"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debt and equity financing on acceptable terms to fund capital expenditures, acquisitions and other corporate activities, funding by banks of their financial commitments, funding by GasLog of the revolving credit facility and our ability to meet our restrictive covenants and other obligations under our credit facilities;</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future, pending or recent acquisitions of ships or other assets, business strategy, areas of possible expansion and expected capital spending;</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inherent in ship operation, including the discharge of pollutants;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on us and the shipping industry of environmental concerns, including climate change;</w:t>
      </w:r>
    </w:p>
    <w:p>
      <w:pPr>
        <w:spacing w:after="0" w:line="238" w:lineRule="exact"/>
        <w:rPr>
          <w:rFonts w:ascii="Arial" w:cs="Arial" w:eastAsia="Arial" w:hAnsi="Arial"/>
          <w:sz w:val="18"/>
          <w:szCs w:val="18"/>
          <w:color w:val="auto"/>
        </w:rPr>
      </w:pPr>
    </w:p>
    <w:p>
      <w:pPr>
        <w:ind w:left="1080" w:right="68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malfunction or disruption of information technology systems and networks that our operations rely on or any impact of a possible cybersecurity event;</w:t>
      </w:r>
    </w:p>
    <w:p>
      <w:pPr>
        <w:spacing w:after="0" w:line="212" w:lineRule="exact"/>
        <w:rPr>
          <w:rFonts w:ascii="Arial" w:cs="Arial" w:eastAsia="Arial" w:hAnsi="Arial"/>
          <w:sz w:val="18"/>
          <w:szCs w:val="18"/>
          <w:color w:val="auto"/>
        </w:rPr>
      </w:pPr>
    </w:p>
    <w:p>
      <w:pPr>
        <w:ind w:left="1080" w:right="80" w:hanging="532"/>
        <w:spacing w:after="0" w:line="306"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expected cost of and our ability to comply with environmental and regulatory requirements, including with respect to emissions of air pollutants and greenhouse gases, as well as future changes in such requirements or other actions taken by regulatory authorities, governmental organizations, classification societies and standards imposed by our charterers applicable to our business;</w:t>
      </w:r>
    </w:p>
    <w:p>
      <w:pPr>
        <w:spacing w:after="0" w:line="173" w:lineRule="exact"/>
        <w:rPr>
          <w:rFonts w:ascii="Arial" w:cs="Arial" w:eastAsia="Arial" w:hAnsi="Arial"/>
          <w:sz w:val="16"/>
          <w:szCs w:val="16"/>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disruption of shipping routes due to accidents, diseases, pandemics, political events, piracy or acts by terrorists;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liability from future litigation; and</w:t>
      </w:r>
    </w:p>
    <w:p>
      <w:pPr>
        <w:spacing w:after="0" w:line="238" w:lineRule="exact"/>
        <w:rPr>
          <w:rFonts w:ascii="Arial" w:cs="Arial" w:eastAsia="Arial" w:hAnsi="Arial"/>
          <w:sz w:val="18"/>
          <w:szCs w:val="18"/>
          <w:color w:val="auto"/>
        </w:rPr>
      </w:pPr>
    </w:p>
    <w:p>
      <w:pPr>
        <w:ind w:left="1080" w:right="200" w:hanging="532"/>
        <w:spacing w:after="0" w:line="331"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other risks and uncertainties described in the Partnership's Annual Report on Form 20-F filed with the SEC on March 3, 2020, and Quarterly Reports on Form 6-K filed with the SEC on May 7, 2020 and August 5, 2020, available at http://www.sec.gov.</w:t>
      </w:r>
    </w:p>
    <w:p>
      <w:pPr>
        <w:spacing w:after="0" w:line="14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caution that these and other forward-looking statements included in this prospectus represent our estimates and assumptions only as of the date of this prospectus and are not intended to give any assurance as to future results. Many of the forward-looking statements included in this prospectus are based on our assumptions about factors that are beyond our ability to control or predict. Assumptions, expectations, projections, intentions and beliefs about future events may, and often do, vary from actual results and these differences can be material. The reasons for this include the risks, uncertainties and factors described in the "Risk Factors" section of this prospectus. As a result, the forward-looking events discussed in this prospectus might not occur and our actual results may differ materially from</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60"/>
          </w:cols>
          <w:pgMar w:left="320" w:top="131" w:right="41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those anticipated in the forward-looking statements. Accordingly, you should not unduly rely on any forward-looking statements.</w:t>
      </w:r>
    </w:p>
    <w:p>
      <w:pPr>
        <w:spacing w:after="0" w:line="225"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undertake no obligation to update or revise any forward-looking statements contained in this prospectus,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THE COMPANY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Unless otherwise indicated, references in this prospectus to:</w:t>
      </w:r>
    </w:p>
    <w:p>
      <w:pPr>
        <w:spacing w:after="0" w:line="239" w:lineRule="exact"/>
        <w:rPr>
          <w:sz w:val="20"/>
          <w:szCs w:val="20"/>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"cbm" refer to cubic meters;</w:t>
      </w:r>
    </w:p>
    <w:p>
      <w:pPr>
        <w:spacing w:after="0" w:line="25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"Class B Units" refers collectively to the 2,075,000 Class B units (of which 415,000 are Class B-2 units, 415,000 are Class B-3 units, 415,000 are Class B-4 units, 415,000 are Class B-5 units and 415,000 are Class B-6 units), issued on June 30, 2019;</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"dollars" and "$" refer to, and amounts are presented in, U.S. dollars;</w:t>
      </w:r>
    </w:p>
    <w:p>
      <w:pPr>
        <w:spacing w:after="0" w:line="238"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"GasLog", depending on the context, refers to GasLog Ltd. and to any one or more of its direct and indirect subsidiaries, other than GasLog Partners;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"GasLog LNG Services" refer to GasLog LNG Services Ltd., a wholly owned subsidiary of GasLog;</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"GasLog Partners", the "Partnership", "we", "our", "us" or similar terms refer to GasLog Partners LP or any one or more of its subsidiaries, or to all such entities unless the context otherwise indicates;</w:t>
      </w:r>
    </w:p>
    <w:p>
      <w:pPr>
        <w:spacing w:after="0" w:line="199"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"omnibus agreement" refers to the Omnibus Agreement dated May 12, 2014 by and among the Partnership, GasLog, our general partner and GasLog Partners Holdings LLC, as amended;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general partner" refer to GasLog Partners GP LLC, the general partner of GasLog Partners and a wholly owned subsidiary of GasLog;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"Shell" refers to Royal Dutch Shell plc, or any one or more of its subsidiaries.</w:t>
      </w:r>
    </w:p>
    <w:p>
      <w:pPr>
        <w:spacing w:after="0" w:line="225"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We are a growth-oriented master limited partnership focused on owning, operating and acquiring LNG carriers engaged in LNG transportation under multi-year charters, which we define as charters of five full years or more. Our fleet consists of 15 LNG carriers, including ten vessels with tri-fuel diesel electric ("TFDE") propulsion technology and five steam-powered ("Steam") vessels, with an average carrying capacity of approximately 158,000 cbm. Twelve of our vessels have fixed charter terms expiring between 2020 and 2026 and six can be extended at the charterers' option. Eight of our vessels are chartered to subsidiaries of Shell.</w:t>
      </w:r>
    </w:p>
    <w:p>
      <w:pPr>
        <w:spacing w:after="0" w:line="201"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 xml:space="preserve">Our fleet was contributed to us by, or acquired from, GasLog, which controls us through its ownership of our general partner. As of October 9, 2020, we also had options and other certain acquisition rights under which we may acquire additional LNG carriers from GasLog. Under the omnibus agreement entered into with GasLog in connection with our IPO (defined below), we have the option to purchase from GasLog the </w:t>
      </w:r>
      <w:r>
        <w:rPr>
          <w:rFonts w:ascii="Arial" w:cs="Arial" w:eastAsia="Arial" w:hAnsi="Arial"/>
          <w:sz w:val="16"/>
          <w:szCs w:val="16"/>
          <w:i w:val="1"/>
          <w:iCs w:val="1"/>
          <w:color w:val="auto"/>
        </w:rPr>
        <w:t>GasLog Singapore</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Warsaw</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Windsor</w:t>
      </w:r>
      <w:r>
        <w:rPr>
          <w:rFonts w:ascii="Arial" w:cs="Arial" w:eastAsia="Arial" w:hAnsi="Arial"/>
          <w:sz w:val="16"/>
          <w:szCs w:val="16"/>
          <w:color w:val="auto"/>
        </w:rPr>
        <w:t>, the</w:t>
      </w:r>
      <w:r>
        <w:rPr>
          <w:rFonts w:ascii="Arial" w:cs="Arial" w:eastAsia="Arial" w:hAnsi="Arial"/>
          <w:sz w:val="16"/>
          <w:szCs w:val="16"/>
          <w:i w:val="1"/>
          <w:iCs w:val="1"/>
          <w:color w:val="auto"/>
        </w:rPr>
        <w:t xml:space="preserve"> GasLog Wales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GasLog Westminster </w:t>
      </w:r>
      <w:r>
        <w:rPr>
          <w:rFonts w:ascii="Arial" w:cs="Arial" w:eastAsia="Arial" w:hAnsi="Arial"/>
          <w:sz w:val="16"/>
          <w:szCs w:val="16"/>
          <w:color w:val="auto"/>
        </w:rPr>
        <w:t>within 30 days following receipt of notice from GasLog, in each case at fair market value as</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determined pursuant to the omnibus agreement. In addition, according to the terms of the omnibus agreement, GasLog will be required to offer us the opportunity to purchase each of Hull Nos. 2300, 2301, 2311 and 2312 within 30 days of the commencement of their respective charters.</w:t>
      </w:r>
    </w:p>
    <w:p>
      <w:pPr>
        <w:spacing w:after="0" w:line="174"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Pursuant to the omnibus agreement, we also have a right of first offer from GasLog to purchase any other LNG carriers with cargo capacities greater than 75,000 cbm engaged in ongoing LNG transportation under charters of five full years or more that GasLog owns or acquires (the "Five-Year Vessels") either at their acquisition cost plus certain break up costs (in the case of a newly acquired Five-Year Vessel) or at their fair market value (in the case of a previously owned vessel that becomes a Five-Year Vessel). Generally, we must exercise this right of first offer within 30 days following the notice from GasLog that the vessel has been acquired or has become a Five-Year Vessel.</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348"/>
        <w:spacing w:after="0" w:line="331" w:lineRule="auto"/>
        <w:rPr>
          <w:sz w:val="20"/>
          <w:szCs w:val="20"/>
          <w:color w:val="auto"/>
        </w:rPr>
      </w:pPr>
      <w:r>
        <w:rPr>
          <w:rFonts w:ascii="Arial" w:cs="Arial" w:eastAsia="Arial" w:hAnsi="Arial"/>
          <w:sz w:val="16"/>
          <w:szCs w:val="16"/>
          <w:color w:val="auto"/>
        </w:rPr>
        <w:t>The options bring the current pipeline of vessels that we have, or may have, the right to acquire from GasLog to nine LNG carriers. We believe that such options and acquisition rights provide us with significant built-in growth opportunities. We may also acquire vessels from shipyards or other owners.</w:t>
      </w:r>
    </w:p>
    <w:p>
      <w:pPr>
        <w:spacing w:after="0" w:line="14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operate most of our vessels under multi-year charters with fixed-fee contracts that generate predictable cash flows. We intend to grow our fleet through further acquisitions of LNG carriers from GasLog and third parties. However, we cannot assure you that we will make any particular acquisition or that as a consequence we will successfully grow our per unit distributions. Among other things, our ability to acquire additional LNG carriers will be dependent upon our ability to raise additional financing. Additionally, as vessels currently operating under multi-year charters redeliver, the number of vessels available in the short-term or spot charter market is likely to continue to expand which may result in reduced opportunities to secure multi-year charters for our vessels.</w:t>
      </w:r>
    </w:p>
    <w:p>
      <w:pPr>
        <w:spacing w:after="0" w:line="169"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We are not obligated to purchase any of the vessels from GasLog described above and, accordingly, we may not complete the purchase of any such vessels. Furthermore, our ability to purchase any additional vessels, including under the omnibus agreement from GasLog, is dependent on our ability to obtain financing to fund all or a portion of the acquisition costs of these vessels. As of October 9, 2020, we have not secured any financing for the acquisition of additional vessels. Our ability to acquire additional vessels from GasLog is also subject to obtaining any applicable consents of governmental authorities and other non-affiliated third parties, including the relevant lenders and charterers. Under the omnibus agreement, GasLog will be obligated to use reasonable efforts to obtain any such consents with regards to transactions covered by that agreement. We cannot assure you that in any particular case that the necessary consent will be obtained.</w:t>
      </w:r>
    </w:p>
    <w:p>
      <w:pPr>
        <w:spacing w:after="0" w:line="172" w:lineRule="exact"/>
        <w:rPr>
          <w:sz w:val="20"/>
          <w:szCs w:val="20"/>
          <w:color w:val="auto"/>
        </w:rPr>
      </w:pPr>
    </w:p>
    <w:p>
      <w:pPr>
        <w:jc w:val="both"/>
        <w:ind w:right="120" w:firstLine="351"/>
        <w:spacing w:after="0" w:line="256" w:lineRule="auto"/>
        <w:rPr>
          <w:sz w:val="20"/>
          <w:szCs w:val="20"/>
          <w:color w:val="auto"/>
        </w:rPr>
      </w:pPr>
      <w:r>
        <w:rPr>
          <w:rFonts w:ascii="Arial" w:cs="Arial" w:eastAsia="Arial" w:hAnsi="Arial"/>
          <w:sz w:val="18"/>
          <w:szCs w:val="18"/>
          <w:color w:val="auto"/>
        </w:rPr>
        <w:t>On May 12, 2014, we completed an initial public offering of our Common Units (the "IPO"). We completed follow-on public offerings of our Common Units on September 29, 2014, June 26, 2015, August 5, 2016, January 27, 2017 and November 3, 2017. Our Common Units are listed on the New York Stock Exchange (the "NYSE") under the ticker symbol "GLOP". If any securities are to be listed or quoted on any other securities exchange or quotation system, the applicable prospectus supplement will so state.</w:t>
      </w:r>
    </w:p>
    <w:p>
      <w:pPr>
        <w:spacing w:after="0" w:line="197"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On May 15, 2017, we completed a public offering of our Series A Preference Units, liquidation preference $25.00 per unit. The Series A Preference Units are listed on the NYSE under the ticker symbol "GLOP PR A."</w:t>
      </w:r>
    </w:p>
    <w:p>
      <w:pPr>
        <w:spacing w:after="0" w:line="186"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On May 16, 2017, we commenced an "at-the-market" offering program under which we may offer and sell Common Units having an aggregate offering price of up to $100 million from time to time through our sales agents.</w:t>
      </w:r>
    </w:p>
    <w:p>
      <w:pPr>
        <w:spacing w:after="0" w:line="186" w:lineRule="exact"/>
        <w:rPr>
          <w:sz w:val="20"/>
          <w:szCs w:val="20"/>
          <w:color w:val="auto"/>
        </w:rPr>
      </w:pPr>
    </w:p>
    <w:p>
      <w:pPr>
        <w:ind w:right="700" w:firstLine="351"/>
        <w:spacing w:after="0" w:line="268" w:lineRule="auto"/>
        <w:rPr>
          <w:sz w:val="20"/>
          <w:szCs w:val="20"/>
          <w:color w:val="auto"/>
        </w:rPr>
      </w:pPr>
      <w:r>
        <w:rPr>
          <w:rFonts w:ascii="Arial" w:cs="Arial" w:eastAsia="Arial" w:hAnsi="Arial"/>
          <w:sz w:val="18"/>
          <w:szCs w:val="18"/>
          <w:color w:val="auto"/>
        </w:rPr>
        <w:t>On November 3, 2017, we increased the size of the "at-the-market" offering program under which we may offer and sell Common Units up to an aggregate offering price of up to $144.0 million from time to time through our sales agents.</w:t>
      </w:r>
    </w:p>
    <w:p>
      <w:pPr>
        <w:spacing w:after="0" w:line="186"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On January 17, 2018, we completed a public offering of our Series B Preference Units, liquidation preference $25.00 per unit. The Series B Preference Units are listed on the NYSE under the ticker symbol "GLOP PR B."</w:t>
      </w:r>
    </w:p>
    <w:p>
      <w:pPr>
        <w:spacing w:after="0" w:line="186"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On November 15, 2018, we completed a public offering of our Series C Preference Units, liquidation preference $25.00 per unit. The Series C Preference Units are listed on the NYSE under the ticker symbol "GLOP PR C."</w:t>
      </w:r>
    </w:p>
    <w:p>
      <w:pPr>
        <w:spacing w:after="0" w:line="186"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On February 26, 2019, we further increased the size of the "at-the-market" offering program under which we may offer and sell Common Units up to an aggregate offering price of up to $250.0 million from time to time through our sales agents.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302" w:lineRule="auto"/>
        <w:rPr>
          <w:sz w:val="20"/>
          <w:szCs w:val="20"/>
          <w:color w:val="auto"/>
        </w:rPr>
      </w:pPr>
      <w:r>
        <w:rPr>
          <w:rFonts w:ascii="Arial" w:cs="Arial" w:eastAsia="Arial" w:hAnsi="Arial"/>
          <w:sz w:val="15"/>
          <w:szCs w:val="15"/>
          <w:color w:val="auto"/>
        </w:rPr>
        <w:t>On June 24, 2019, GasLog and GasLog Partners entered into an agreement, effective as of June 30, 2019, to modify the partnership agreement, thereby eliminating GasLog's incentive distribution rights ("IDRs"). In exchange for the IDRs, GasLog received 2,532,911 Common Units and 2,490,000 Class B units (of which 415,000 were Class B-1 units, 415,000 are Class B-2 units, 415,000 are Class B-3 units, 415,000 are Class B-4 units, 415,000 are Class B-5 units and 415,000 are Class B-6 units), issued on June 30, 2019. The Class B units have all of the rights and obligations attached to the Common Units, except for voting rights and participation in earnings and distributions until such time as GasLog exercises its right to convert the Class B units to Common Units. The Class B units will become eligible for conversion on a one-for-one basis into Common Units at GasLog's option on July 1, 2021, July 1, 2022, July 1, 2023, July 1,</w:t>
      </w:r>
    </w:p>
    <w:p>
      <w:pPr>
        <w:ind w:right="100"/>
        <w:spacing w:after="0" w:line="260" w:lineRule="auto"/>
        <w:rPr>
          <w:sz w:val="20"/>
          <w:szCs w:val="20"/>
          <w:color w:val="auto"/>
        </w:rPr>
      </w:pPr>
      <w:r>
        <w:rPr>
          <w:rFonts w:ascii="Arial" w:cs="Arial" w:eastAsia="Arial" w:hAnsi="Arial"/>
          <w:sz w:val="18"/>
          <w:szCs w:val="18"/>
          <w:color w:val="auto"/>
        </w:rPr>
        <w:t>2024 and July 1, 2025 for the Class B-2 units, Class B-3 units, Class B-4 units, Class B-5 units and the Class B-6 units, respectively. The Class B-1 units were converted into Common Units on July 1, 2020.</w:t>
      </w:r>
    </w:p>
    <w:p>
      <w:pPr>
        <w:spacing w:after="0" w:line="193"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We maintain our principal executive offices at 69 Akti Miaouli 18537 Piraeus Greece. Our telephone number at such address is +30 210 459 1000. We have been organized under the laws of the Republic of the Marshall Islands.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51"/>
        <w:spacing w:after="0" w:line="294" w:lineRule="auto"/>
        <w:rPr>
          <w:rFonts w:ascii="Arial" w:cs="Arial" w:eastAsia="Arial" w:hAnsi="Arial"/>
          <w:sz w:val="16"/>
          <w:szCs w:val="16"/>
          <w:color w:val="0000EE"/>
        </w:rPr>
      </w:pPr>
      <w:r>
        <w:rPr>
          <w:rFonts w:ascii="Arial" w:cs="Arial" w:eastAsia="Arial" w:hAnsi="Arial"/>
          <w:sz w:val="16"/>
          <w:szCs w:val="16"/>
          <w:color w:val="auto"/>
        </w:rPr>
        <w:t xml:space="preserve">Investing in the securities to be offered pursuant to this prospectus may involve a high degree of risk. You should carefully consider the important factors </w:t>
      </w:r>
      <w:hyperlink r:id="rId31">
        <w:r>
          <w:rPr>
            <w:rFonts w:ascii="Arial" w:cs="Arial" w:eastAsia="Arial" w:hAnsi="Arial"/>
            <w:sz w:val="16"/>
            <w:szCs w:val="16"/>
            <w:u w:val="single" w:color="auto"/>
            <w:color w:val="auto"/>
          </w:rPr>
          <w:t xml:space="preserve">set forth under the heading "Risk Factors" in our most recent Annual Report on Form 20-F as well as the updated risk factors included in </w:t>
        </w:r>
        <w:r>
          <w:rPr>
            <w:rFonts w:ascii="Arial" w:cs="Arial" w:eastAsia="Arial" w:hAnsi="Arial"/>
            <w:sz w:val="16"/>
            <w:szCs w:val="16"/>
            <w:u w:val="single" w:color="auto"/>
            <w:color w:val="0000EE"/>
          </w:rPr>
          <w:t>Exhibit 99.2 of our</w:t>
        </w:r>
      </w:hyperlink>
      <w:r>
        <w:rPr>
          <w:rFonts w:ascii="Arial" w:cs="Arial" w:eastAsia="Arial" w:hAnsi="Arial"/>
          <w:sz w:val="16"/>
          <w:szCs w:val="16"/>
          <w:u w:val="single" w:color="auto"/>
          <w:color w:val="auto"/>
        </w:rPr>
        <w:t xml:space="preserve"> </w:t>
      </w:r>
      <w:hyperlink r:id="rId31">
        <w:r>
          <w:rPr>
            <w:rFonts w:ascii="Arial" w:cs="Arial" w:eastAsia="Arial" w:hAnsi="Arial"/>
            <w:sz w:val="16"/>
            <w:szCs w:val="16"/>
            <w:u w:val="single" w:color="auto"/>
            <w:color w:val="0000EE"/>
          </w:rPr>
          <w:t>Report on Form 6-K filed with the SEC on May 7, 2020</w:t>
        </w:r>
        <w:r>
          <w:rPr>
            <w:rFonts w:ascii="Arial" w:cs="Arial" w:eastAsia="Arial" w:hAnsi="Arial"/>
            <w:sz w:val="16"/>
            <w:szCs w:val="16"/>
            <w:color w:val="0000EE"/>
          </w:rPr>
          <w:t xml:space="preserve"> </w:t>
        </w:r>
        <w:r>
          <w:rPr>
            <w:rFonts w:ascii="Arial" w:cs="Arial" w:eastAsia="Arial" w:hAnsi="Arial"/>
            <w:sz w:val="16"/>
            <w:szCs w:val="16"/>
            <w:u w:val="single" w:color="auto"/>
            <w:color w:val="000000"/>
          </w:rPr>
          <w:t>and</w:t>
        </w:r>
        <w:r>
          <w:rPr>
            <w:rFonts w:ascii="Arial" w:cs="Arial" w:eastAsia="Arial" w:hAnsi="Arial"/>
            <w:sz w:val="16"/>
            <w:szCs w:val="16"/>
            <w:color w:val="0000EE"/>
          </w:rPr>
          <w:t xml:space="preserve"> </w:t>
        </w:r>
      </w:hyperlink>
      <w:hyperlink r:id="rId32">
        <w:r>
          <w:rPr>
            <w:rFonts w:ascii="Arial" w:cs="Arial" w:eastAsia="Arial" w:hAnsi="Arial"/>
            <w:sz w:val="16"/>
            <w:szCs w:val="16"/>
            <w:u w:val="single" w:color="auto"/>
            <w:color w:val="0000EE"/>
          </w:rPr>
          <w:t>Exhibit 99.2 of our Report on Form 6-K filed with the SEC on August 5, 2020</w:t>
        </w:r>
      </w:hyperlink>
      <w:hyperlink r:id="rId31">
        <w:r>
          <w:rPr>
            <w:rFonts w:ascii="Arial" w:cs="Arial" w:eastAsia="Arial" w:hAnsi="Arial"/>
            <w:sz w:val="16"/>
            <w:szCs w:val="16"/>
            <w:u w:val="single" w:color="auto"/>
            <w:color w:val="000000"/>
          </w:rPr>
          <w:t>, each filed with</w:t>
        </w:r>
        <w:r>
          <w:rPr>
            <w:rFonts w:ascii="Arial" w:cs="Arial" w:eastAsia="Arial" w:hAnsi="Arial"/>
            <w:sz w:val="16"/>
            <w:szCs w:val="16"/>
            <w:u w:val="single" w:color="auto"/>
            <w:color w:val="0000EE"/>
          </w:rPr>
          <w:t xml:space="preserve"> </w:t>
        </w:r>
      </w:hyperlink>
      <w:r>
        <w:rPr>
          <w:rFonts w:ascii="Arial" w:cs="Arial" w:eastAsia="Arial" w:hAnsi="Arial"/>
          <w:sz w:val="16"/>
          <w:szCs w:val="16"/>
          <w:color w:val="000000"/>
        </w:rPr>
        <w:t>the</w:t>
      </w:r>
      <w:r>
        <w:rPr>
          <w:rFonts w:ascii="Arial" w:cs="Arial" w:eastAsia="Arial" w:hAnsi="Arial"/>
          <w:sz w:val="16"/>
          <w:szCs w:val="16"/>
          <w:color w:val="0000EE"/>
        </w:rPr>
        <w:t xml:space="preserve"> </w:t>
      </w:r>
      <w:r>
        <w:rPr>
          <w:rFonts w:ascii="Arial" w:cs="Arial" w:eastAsia="Arial" w:hAnsi="Arial"/>
          <w:sz w:val="16"/>
          <w:szCs w:val="16"/>
          <w:color w:val="000000"/>
        </w:rPr>
        <w:t>SEC and incorporated herein by reference and in the accompanying prospectus supplement for such issuance before investing in any securities that may be offered. For further details, see the section entitled "Where You Can Find Additional Information".</w:t>
      </w:r>
    </w:p>
    <w:p>
      <w:pPr>
        <w:spacing w:after="0" w:line="169" w:lineRule="exact"/>
        <w:rPr>
          <w:rFonts w:ascii="Arial" w:cs="Arial" w:eastAsia="Arial" w:hAnsi="Arial"/>
          <w:sz w:val="16"/>
          <w:szCs w:val="16"/>
          <w:color w:val="0000EE"/>
        </w:rPr>
      </w:pPr>
    </w:p>
    <w:p>
      <w:pPr>
        <w:ind w:right="300" w:firstLine="341"/>
        <w:spacing w:after="0" w:line="256" w:lineRule="auto"/>
        <w:rPr>
          <w:sz w:val="20"/>
          <w:szCs w:val="20"/>
          <w:color w:val="auto"/>
        </w:rPr>
      </w:pPr>
      <w:r>
        <w:rPr>
          <w:rFonts w:ascii="Arial" w:cs="Arial" w:eastAsia="Arial" w:hAnsi="Arial"/>
          <w:sz w:val="18"/>
          <w:szCs w:val="18"/>
          <w:color w:val="auto"/>
        </w:rPr>
        <w:t>Any of the risk factors referred to above could significantly and negatively affect our business, results of operations or financial condition, which may reduce our ability to make cash distributions and lower the trading price of our securities. The risks referred to above are not the only ones that may exist. Additional risks not currently known by us or risks that we deem immaterial may also impair our business operations. You may lose all or a part of your investment.</w:t>
      </w:r>
    </w:p>
    <w:p>
      <w:pPr>
        <w:spacing w:after="0" w:line="197" w:lineRule="exact"/>
        <w:rPr>
          <w:rFonts w:ascii="Arial" w:cs="Arial" w:eastAsia="Arial" w:hAnsi="Arial"/>
          <w:sz w:val="16"/>
          <w:szCs w:val="16"/>
          <w:color w:val="0000EE"/>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rFonts w:ascii="Arial" w:cs="Arial" w:eastAsia="Arial" w:hAnsi="Arial"/>
          <w:sz w:val="16"/>
          <w:szCs w:val="16"/>
          <w:color w:val="0000EE"/>
        </w:rPr>
      </w:pPr>
      <w:r>
        <w:rPr>
          <w:rFonts w:ascii="Arial" w:cs="Arial" w:eastAsia="Arial" w:hAnsi="Arial"/>
          <w:sz w:val="16"/>
          <w:szCs w:val="16"/>
          <w:color w:val="0000EE"/>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SERVICE OF PROCESS AND ENFORCEMENT OF LIABILITIES</w:t>
      </w:r>
    </w:p>
    <w:p>
      <w:pPr>
        <w:spacing w:after="0" w:line="231" w:lineRule="exact"/>
        <w:rPr>
          <w:sz w:val="20"/>
          <w:szCs w:val="20"/>
          <w:color w:val="auto"/>
        </w:rPr>
      </w:pPr>
    </w:p>
    <w:p>
      <w:pPr>
        <w:jc w:val="both"/>
        <w:ind w:right="80" w:firstLine="348"/>
        <w:spacing w:after="0" w:line="259" w:lineRule="auto"/>
        <w:rPr>
          <w:sz w:val="20"/>
          <w:szCs w:val="20"/>
          <w:color w:val="auto"/>
        </w:rPr>
      </w:pPr>
      <w:r>
        <w:rPr>
          <w:rFonts w:ascii="Arial" w:cs="Arial" w:eastAsia="Arial" w:hAnsi="Arial"/>
          <w:sz w:val="18"/>
          <w:szCs w:val="18"/>
          <w:color w:val="auto"/>
        </w:rPr>
        <w:t>We are organized under the laws of the Marshall Islands as a limited partnership. Our general partner is organized under the laws of the Marshall Islands as a limited liability company. The Marshall Islands has a less developed body of securities laws as compared to the United States and provides protections for investors to a significantly lesser extent.</w:t>
      </w:r>
    </w:p>
    <w:p>
      <w:pPr>
        <w:spacing w:after="0" w:line="194"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Most of our directors and officers and those of our subsidiaries are residents of countries other than the United States. Substantially all of our and our subsidiaries' assets and a substantial portion of the assets of our directors and officers are located outside the United States. As a result, it may be difficult or impossible for United States investors to effect service of process within the United States upon us, our directors or officers, our general partner or our subsidiaries or to realize against us or them judgments obtained in United States courts, including judgments predicated upon the civil liability provisions of the securities laws of the United States or any state in the United States.</w:t>
      </w:r>
    </w:p>
    <w:p>
      <w:pPr>
        <w:spacing w:after="0" w:line="201"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However, we have expressly submitted to the jurisdiction of the U.S. federal and New York state courts sitting in the City of New York for the purpose of any suit, action or proceeding arising under the securities laws of the United States or any state in the United States, and we have appointed Puglisi &amp; Associates, 850 Library Avenue, Suite 204, Newark, Delaware 19711, our registered agent, to accept service of process on our behalf in any such action.</w:t>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Cozen O'Connor, our counsel as to Marshall Islands law, has advised us that there is uncertainty as to whether the courts of the Marshall Islands would</w:t>
      </w:r>
    </w:p>
    <w:p>
      <w:pPr>
        <w:spacing w:after="0" w:line="38" w:lineRule="exact"/>
        <w:rPr>
          <w:sz w:val="20"/>
          <w:szCs w:val="20"/>
          <w:color w:val="auto"/>
        </w:rPr>
      </w:pPr>
    </w:p>
    <w:p>
      <w:pPr>
        <w:ind w:right="20" w:firstLine="8"/>
        <w:spacing w:after="0" w:line="255" w:lineRule="auto"/>
        <w:tabs>
          <w:tab w:leader="none" w:pos="249"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recognize or enforce against us, our general partner or our directors or officers judgments of courts of the United States based on civil liability provisions of applicable U.S. federal and state securities laws or (2) impose liabilities against us, our general partner or our directors and officers in original actions brought in the Marshall Islands, based on these laws.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ind w:firstLine="348"/>
        <w:spacing w:after="0" w:line="310" w:lineRule="auto"/>
        <w:rPr>
          <w:sz w:val="20"/>
          <w:szCs w:val="20"/>
          <w:color w:val="auto"/>
        </w:rPr>
      </w:pPr>
      <w:r>
        <w:rPr>
          <w:rFonts w:ascii="Arial" w:cs="Arial" w:eastAsia="Arial" w:hAnsi="Arial"/>
          <w:sz w:val="15"/>
          <w:szCs w:val="15"/>
          <w:color w:val="auto"/>
        </w:rPr>
        <w:t>This prospectus is part of a registration statement that we filed with the SEC using a shelf registration process. Under this shelf registration process, we may, from time to time, sell up to an aggregate public offering price of $400,000,000 of any combination of the securities described in this prospectus. This prospectus provides you with a general description of the securities we may offer. Each time we sell securities, we will provide you with this prospectus, as well as a prospectus supplement that will contain specific information about the terms of that offering. That prospectus supplement may include additional risk factors or other special considerations applicable to those particular securities. Any prospectus supplement may also add, update or change information contained in this prospectus. If there is any inconsistency between the information contained in this prospectus and any prospectus supplement, you should rely on the information contained in that particular prospectus supplement. You should read both this prospectus and any prospectus supplement together with additional information described under the headings "Incorporation of Certain Information by Reference" and "Where You Can Find Additional Information".</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31"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 xml:space="preserve">We have filed with the SEC a registration statement on Form F-3 under the Securities Act with respect to the offer and sale of securities pursuant to this prospectus. For purposes of this section, the term "registration statement" means the original registration statement and any and all amendments, including the schedules and exhibits to the original registration statement and any amendments. This prospectus, filed as a part of the registration statement, does not contain all of the information set forth in the registration statement or the exhibits and schedules thereto in accordance with the rules and regulations of the SEC and no reference is hereby made to such omitted information. Statements made in this prospectus concerning the contents of any contract, agreement or other document filed as an exhibit to the registration statement are summaries of all of the material terms of such contracts, agreements or documents, but do not repeat all of their terms. Reference is made to each such exhibit for a more complete description of the matters involved and such statements shall be deemed qualified in their entirety by such reference. The SEC maintains a website at </w:t>
      </w:r>
      <w:r>
        <w:rPr>
          <w:rFonts w:ascii="Arial" w:cs="Arial" w:eastAsia="Arial" w:hAnsi="Arial"/>
          <w:sz w:val="16"/>
          <w:szCs w:val="16"/>
          <w:i w:val="1"/>
          <w:iCs w:val="1"/>
          <w:u w:val="single" w:color="auto"/>
          <w:color w:val="auto"/>
        </w:rPr>
        <w:t>http://www.sec.gov</w:t>
      </w:r>
      <w:r>
        <w:rPr>
          <w:rFonts w:ascii="Arial" w:cs="Arial" w:eastAsia="Arial" w:hAnsi="Arial"/>
          <w:sz w:val="16"/>
          <w:szCs w:val="16"/>
          <w:color w:val="auto"/>
        </w:rPr>
        <w:t xml:space="preserve"> that contains reports, proxy and information statements and other information regarding registrants that file electronically with the SEC. For further information pertaining to the securities offered by this prospectus and GasLog Partners, reference is made to the registration statement.</w:t>
      </w:r>
    </w:p>
    <w:p>
      <w:pPr>
        <w:spacing w:after="0" w:line="176"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are subject to the information and periodic reporting requirements of the Exchange Act of 1934, as amended (the "Exchange Act"), and we file periodic reports and other information with the SEC. These periodic reports and other information are available for inspection and copying at the SEC's public reference facilities and the website of the SEC referred to above. As a "foreign private issuer", we are exempt from the rules under the Exchange Act prescribing the furnishing and content of proxy statements to shareholders, but we are required to furnish certain proxy statements to shareholders under NYSE rules. Those proxy statements are not expected to conform to Schedule 14A of the proxy rules promulgated under the Exchange Act. In addition, as a "foreign private issuer", we are exempt from the rules under the Exchange Act relating to short swing profit reporting and liability.</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31"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SEC allows us to "incorporate by reference" information that we file with the SEC. This means that we can disclose important information to you by referring you to those filed documents. The information incorporated by reference is considered to be a part of this prospectus, and information that we file later with the SEC prior to the termination of this offering will also be considered to be part of this prospectus and will automatically update and supersede previously filed information, including information contained in this prospectus.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prospectus incorporates by reference the following documents:</w:t>
      </w:r>
    </w:p>
    <w:p>
      <w:pPr>
        <w:spacing w:after="0" w:line="239" w:lineRule="exact"/>
        <w:rPr>
          <w:sz w:val="20"/>
          <w:szCs w:val="20"/>
          <w:color w:val="auto"/>
        </w:rPr>
      </w:pPr>
    </w:p>
    <w:p>
      <w:pPr>
        <w:ind w:left="1080" w:right="260" w:hanging="532"/>
        <w:spacing w:after="0" w:line="268" w:lineRule="auto"/>
        <w:tabs>
          <w:tab w:leader="none" w:pos="1080" w:val="left"/>
        </w:tabs>
        <w:numPr>
          <w:ilvl w:val="0"/>
          <w:numId w:val="6"/>
        </w:numPr>
        <w:rPr>
          <w:rFonts w:ascii="Arial" w:cs="Arial" w:eastAsia="Arial" w:hAnsi="Arial"/>
          <w:sz w:val="18"/>
          <w:szCs w:val="18"/>
          <w:color w:val="0000EE"/>
        </w:rPr>
      </w:pPr>
      <w:hyperlink r:id="rId36">
        <w:r>
          <w:rPr>
            <w:rFonts w:ascii="Arial" w:cs="Arial" w:eastAsia="Arial" w:hAnsi="Arial"/>
            <w:sz w:val="18"/>
            <w:szCs w:val="18"/>
            <w:u w:val="single" w:color="auto"/>
            <w:color w:val="0000EE"/>
          </w:rPr>
          <w:t>our Annual Report on Form 20-F for the year ended December 31, 2019, filed with the SEC on March 3, 2020</w:t>
        </w:r>
        <w:r>
          <w:rPr>
            <w:rFonts w:ascii="Arial" w:cs="Arial" w:eastAsia="Arial" w:hAnsi="Arial"/>
            <w:sz w:val="18"/>
            <w:szCs w:val="18"/>
            <w:color w:val="000000"/>
          </w:rPr>
          <w:t>, as amended on</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Form 20-F/A</w:t>
        </w:r>
      </w:hyperlink>
      <w:r>
        <w:rPr>
          <w:rFonts w:ascii="Arial" w:cs="Arial" w:eastAsia="Arial" w:hAnsi="Arial"/>
          <w:sz w:val="18"/>
          <w:szCs w:val="18"/>
          <w:color w:val="0000EE"/>
        </w:rPr>
        <w:t xml:space="preserve"> </w:t>
      </w:r>
      <w:hyperlink r:id="rId36">
        <w:r>
          <w:rPr>
            <w:rFonts w:ascii="Arial" w:cs="Arial" w:eastAsia="Arial" w:hAnsi="Arial"/>
            <w:sz w:val="18"/>
            <w:szCs w:val="18"/>
            <w:u w:val="single" w:color="auto"/>
            <w:color w:val="0000EE"/>
          </w:rPr>
          <w:t>filed with the SEC on June 4, 2020</w:t>
        </w:r>
        <w:r>
          <w:rPr>
            <w:rFonts w:ascii="Arial" w:cs="Arial" w:eastAsia="Arial" w:hAnsi="Arial"/>
            <w:sz w:val="18"/>
            <w:szCs w:val="18"/>
            <w:color w:val="000000"/>
          </w:rPr>
          <w:t>;</w:t>
        </w:r>
      </w:hyperlink>
    </w:p>
    <w:p>
      <w:pPr>
        <w:spacing w:after="0" w:line="212" w:lineRule="exact"/>
        <w:rPr>
          <w:rFonts w:ascii="Arial" w:cs="Arial" w:eastAsia="Arial" w:hAnsi="Arial"/>
          <w:sz w:val="18"/>
          <w:szCs w:val="18"/>
          <w:color w:val="0000EE"/>
        </w:rPr>
      </w:pPr>
    </w:p>
    <w:p>
      <w:pPr>
        <w:ind w:left="1080" w:right="20" w:hanging="532"/>
        <w:spacing w:after="0" w:line="331" w:lineRule="auto"/>
        <w:tabs>
          <w:tab w:leader="none" w:pos="1080" w:val="left"/>
        </w:tabs>
        <w:numPr>
          <w:ilvl w:val="0"/>
          <w:numId w:val="6"/>
        </w:numPr>
        <w:rPr>
          <w:rFonts w:ascii="Arial" w:cs="Arial" w:eastAsia="Arial" w:hAnsi="Arial"/>
          <w:sz w:val="16"/>
          <w:szCs w:val="16"/>
          <w:color w:val="0000EE"/>
        </w:rPr>
      </w:pPr>
      <w:r>
        <w:rPr>
          <w:rFonts w:ascii="Arial" w:cs="Arial" w:eastAsia="Arial" w:hAnsi="Arial"/>
          <w:sz w:val="16"/>
          <w:szCs w:val="16"/>
          <w:color w:val="auto"/>
        </w:rPr>
        <w:t xml:space="preserve">our Current Reports on Form 6-K furnished to the SEC on </w:t>
      </w:r>
      <w:hyperlink r:id="rId37">
        <w:r>
          <w:rPr>
            <w:rFonts w:ascii="Arial" w:cs="Arial" w:eastAsia="Arial" w:hAnsi="Arial"/>
            <w:sz w:val="16"/>
            <w:szCs w:val="16"/>
            <w:u w:val="single" w:color="auto"/>
            <w:color w:val="0000EE"/>
          </w:rPr>
          <w:t>February 6, 2020</w:t>
        </w:r>
      </w:hyperlink>
      <w:r>
        <w:rPr>
          <w:rFonts w:ascii="Arial" w:cs="Arial" w:eastAsia="Arial" w:hAnsi="Arial"/>
          <w:sz w:val="16"/>
          <w:szCs w:val="16"/>
          <w:color w:val="auto"/>
        </w:rPr>
        <w:t xml:space="preserve">, </w:t>
      </w:r>
      <w:hyperlink r:id="rId38">
        <w:r>
          <w:rPr>
            <w:rFonts w:ascii="Arial" w:cs="Arial" w:eastAsia="Arial" w:hAnsi="Arial"/>
            <w:sz w:val="16"/>
            <w:szCs w:val="16"/>
            <w:u w:val="single" w:color="auto"/>
            <w:color w:val="0000EE"/>
          </w:rPr>
          <w:t>April 2, 2020</w:t>
        </w:r>
      </w:hyperlink>
      <w:r>
        <w:rPr>
          <w:rFonts w:ascii="Arial" w:cs="Arial" w:eastAsia="Arial" w:hAnsi="Arial"/>
          <w:sz w:val="16"/>
          <w:szCs w:val="16"/>
          <w:color w:val="auto"/>
        </w:rPr>
        <w:t xml:space="preserve">, </w:t>
      </w:r>
      <w:hyperlink r:id="rId39">
        <w:r>
          <w:rPr>
            <w:rFonts w:ascii="Arial" w:cs="Arial" w:eastAsia="Arial" w:hAnsi="Arial"/>
            <w:sz w:val="16"/>
            <w:szCs w:val="16"/>
            <w:u w:val="single" w:color="auto"/>
            <w:color w:val="0000EE"/>
          </w:rPr>
          <w:t>May 7, 2020</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(other than Exhibit 99.1 thereto), </w:t>
      </w:r>
      <w:hyperlink r:id="rId40">
        <w:r>
          <w:rPr>
            <w:rFonts w:ascii="Arial" w:cs="Arial" w:eastAsia="Arial" w:hAnsi="Arial"/>
            <w:sz w:val="16"/>
            <w:szCs w:val="16"/>
            <w:u w:val="single" w:color="auto"/>
            <w:color w:val="0000EE"/>
          </w:rPr>
          <w:t>May 7, 2020</w:t>
        </w:r>
      </w:hyperlink>
      <w:r>
        <w:rPr>
          <w:rFonts w:ascii="Arial" w:cs="Arial" w:eastAsia="Arial" w:hAnsi="Arial"/>
          <w:sz w:val="16"/>
          <w:szCs w:val="16"/>
          <w:color w:val="000000"/>
        </w:rPr>
        <w:t>,</w:t>
      </w:r>
      <w:r>
        <w:rPr>
          <w:rFonts w:ascii="Arial" w:cs="Arial" w:eastAsia="Arial" w:hAnsi="Arial"/>
          <w:sz w:val="16"/>
          <w:szCs w:val="16"/>
          <w:color w:val="0000EE"/>
        </w:rPr>
        <w:t xml:space="preserve"> </w:t>
      </w:r>
      <w:hyperlink r:id="rId41">
        <w:r>
          <w:rPr>
            <w:rFonts w:ascii="Arial" w:cs="Arial" w:eastAsia="Arial" w:hAnsi="Arial"/>
            <w:sz w:val="16"/>
            <w:szCs w:val="16"/>
            <w:u w:val="single" w:color="auto"/>
            <w:color w:val="0000EE"/>
          </w:rPr>
          <w:t>May 14, 2020</w:t>
        </w:r>
      </w:hyperlink>
      <w:r>
        <w:rPr>
          <w:rFonts w:ascii="Arial" w:cs="Arial" w:eastAsia="Arial" w:hAnsi="Arial"/>
          <w:sz w:val="16"/>
          <w:szCs w:val="16"/>
          <w:color w:val="000000"/>
        </w:rPr>
        <w:t>,</w:t>
      </w:r>
      <w:r>
        <w:rPr>
          <w:rFonts w:ascii="Arial" w:cs="Arial" w:eastAsia="Arial" w:hAnsi="Arial"/>
          <w:sz w:val="16"/>
          <w:szCs w:val="16"/>
          <w:color w:val="0000EE"/>
        </w:rPr>
        <w:t xml:space="preserve"> </w:t>
      </w:r>
      <w:hyperlink r:id="rId42">
        <w:r>
          <w:rPr>
            <w:rFonts w:ascii="Arial" w:cs="Arial" w:eastAsia="Arial" w:hAnsi="Arial"/>
            <w:sz w:val="16"/>
            <w:szCs w:val="16"/>
            <w:u w:val="single" w:color="auto"/>
            <w:color w:val="0000EE"/>
          </w:rPr>
          <w:t>May 15, 2020</w:t>
        </w:r>
      </w:hyperlink>
      <w:r>
        <w:rPr>
          <w:rFonts w:ascii="Arial" w:cs="Arial" w:eastAsia="Arial" w:hAnsi="Arial"/>
          <w:sz w:val="16"/>
          <w:szCs w:val="16"/>
          <w:color w:val="000000"/>
        </w:rPr>
        <w:t>,</w:t>
      </w:r>
      <w:r>
        <w:rPr>
          <w:rFonts w:ascii="Arial" w:cs="Arial" w:eastAsia="Arial" w:hAnsi="Arial"/>
          <w:sz w:val="16"/>
          <w:szCs w:val="16"/>
          <w:color w:val="0000EE"/>
        </w:rPr>
        <w:t xml:space="preserve"> </w:t>
      </w:r>
      <w:hyperlink r:id="rId43">
        <w:r>
          <w:rPr>
            <w:rFonts w:ascii="Arial" w:cs="Arial" w:eastAsia="Arial" w:hAnsi="Arial"/>
            <w:sz w:val="16"/>
            <w:szCs w:val="16"/>
            <w:u w:val="single" w:color="auto"/>
            <w:color w:val="0000EE"/>
          </w:rPr>
          <w:t>July 2, 2020</w:t>
        </w:r>
      </w:hyperlink>
      <w:r>
        <w:rPr>
          <w:rFonts w:ascii="Arial" w:cs="Arial" w:eastAsia="Arial" w:hAnsi="Arial"/>
          <w:sz w:val="16"/>
          <w:szCs w:val="16"/>
          <w:color w:val="000000"/>
        </w:rPr>
        <w:t>,</w:t>
      </w:r>
      <w:r>
        <w:rPr>
          <w:rFonts w:ascii="Arial" w:cs="Arial" w:eastAsia="Arial" w:hAnsi="Arial"/>
          <w:sz w:val="16"/>
          <w:szCs w:val="16"/>
          <w:color w:val="0000EE"/>
        </w:rPr>
        <w:t xml:space="preserve"> </w:t>
      </w:r>
      <w:hyperlink r:id="rId44">
        <w:r>
          <w:rPr>
            <w:rFonts w:ascii="Arial" w:cs="Arial" w:eastAsia="Arial" w:hAnsi="Arial"/>
            <w:sz w:val="16"/>
            <w:szCs w:val="16"/>
            <w:u w:val="single" w:color="auto"/>
            <w:color w:val="0000EE"/>
          </w:rPr>
          <w:t xml:space="preserve">August 5, 2020 </w:t>
        </w:r>
      </w:hyperlink>
      <w:r>
        <w:rPr>
          <w:rFonts w:ascii="Arial" w:cs="Arial" w:eastAsia="Arial" w:hAnsi="Arial"/>
          <w:sz w:val="16"/>
          <w:szCs w:val="16"/>
          <w:color w:val="000000"/>
        </w:rPr>
        <w:t>(other</w:t>
      </w:r>
      <w:r>
        <w:rPr>
          <w:rFonts w:ascii="Arial" w:cs="Arial" w:eastAsia="Arial" w:hAnsi="Arial"/>
          <w:sz w:val="16"/>
          <w:szCs w:val="16"/>
          <w:color w:val="0000EE"/>
        </w:rPr>
        <w:t xml:space="preserve"> </w:t>
      </w:r>
      <w:r>
        <w:rPr>
          <w:rFonts w:ascii="Arial" w:cs="Arial" w:eastAsia="Arial" w:hAnsi="Arial"/>
          <w:sz w:val="16"/>
          <w:szCs w:val="16"/>
          <w:color w:val="000000"/>
        </w:rPr>
        <w:t>than Exhibit 99.1 thereto),</w:t>
      </w:r>
      <w:r>
        <w:rPr>
          <w:rFonts w:ascii="Arial" w:cs="Arial" w:eastAsia="Arial" w:hAnsi="Arial"/>
          <w:sz w:val="16"/>
          <w:szCs w:val="16"/>
          <w:color w:val="0000EE"/>
        </w:rPr>
        <w:t xml:space="preserve"> </w:t>
      </w:r>
      <w:hyperlink r:id="rId45">
        <w:r>
          <w:rPr>
            <w:rFonts w:ascii="Arial" w:cs="Arial" w:eastAsia="Arial" w:hAnsi="Arial"/>
            <w:sz w:val="16"/>
            <w:szCs w:val="16"/>
            <w:u w:val="single" w:color="auto"/>
            <w:color w:val="0000EE"/>
          </w:rPr>
          <w:t xml:space="preserve">August 5, 2020 </w:t>
        </w:r>
      </w:hyperlink>
      <w:r>
        <w:rPr>
          <w:rFonts w:ascii="Arial" w:cs="Arial" w:eastAsia="Arial" w:hAnsi="Arial"/>
          <w:sz w:val="16"/>
          <w:szCs w:val="16"/>
          <w:color w:val="000000"/>
        </w:rPr>
        <w:t>and</w:t>
      </w:r>
      <w:r>
        <w:rPr>
          <w:rFonts w:ascii="Arial" w:cs="Arial" w:eastAsia="Arial" w:hAnsi="Arial"/>
          <w:sz w:val="16"/>
          <w:szCs w:val="16"/>
          <w:color w:val="0000EE"/>
        </w:rPr>
        <w:t xml:space="preserve"> </w:t>
      </w:r>
      <w:hyperlink r:id="rId46">
        <w:r>
          <w:rPr>
            <w:rFonts w:ascii="Arial" w:cs="Arial" w:eastAsia="Arial" w:hAnsi="Arial"/>
            <w:sz w:val="16"/>
            <w:szCs w:val="16"/>
            <w:u w:val="single" w:color="auto"/>
            <w:color w:val="0000EE"/>
          </w:rPr>
          <w:t>August 5, 2020</w:t>
        </w:r>
      </w:hyperlink>
      <w:r>
        <w:rPr>
          <w:rFonts w:ascii="Arial" w:cs="Arial" w:eastAsia="Arial" w:hAnsi="Arial"/>
          <w:sz w:val="16"/>
          <w:szCs w:val="16"/>
          <w:color w:val="000000"/>
        </w:rPr>
        <w:t>;</w:t>
      </w:r>
    </w:p>
    <w:p>
      <w:pPr>
        <w:spacing w:after="0" w:line="154" w:lineRule="exact"/>
        <w:rPr>
          <w:rFonts w:ascii="Arial" w:cs="Arial" w:eastAsia="Arial" w:hAnsi="Arial"/>
          <w:sz w:val="16"/>
          <w:szCs w:val="16"/>
          <w:color w:val="0000EE"/>
        </w:rPr>
      </w:pPr>
    </w:p>
    <w:p>
      <w:pPr>
        <w:ind w:left="1080" w:hanging="532"/>
        <w:spacing w:after="0" w:line="268" w:lineRule="auto"/>
        <w:tabs>
          <w:tab w:leader="none" w:pos="1080" w:val="left"/>
        </w:tabs>
        <w:numPr>
          <w:ilvl w:val="0"/>
          <w:numId w:val="6"/>
        </w:numPr>
        <w:rPr>
          <w:rFonts w:ascii="Arial" w:cs="Arial" w:eastAsia="Arial" w:hAnsi="Arial"/>
          <w:sz w:val="18"/>
          <w:szCs w:val="18"/>
          <w:u w:val="single" w:color="auto"/>
          <w:color w:val="0000EE"/>
        </w:rPr>
      </w:pPr>
      <w:hyperlink r:id="rId47">
        <w:r>
          <w:rPr>
            <w:rFonts w:ascii="Arial" w:cs="Arial" w:eastAsia="Arial" w:hAnsi="Arial"/>
            <w:sz w:val="18"/>
            <w:szCs w:val="18"/>
            <w:u w:val="single" w:color="auto"/>
            <w:color w:val="0000EE"/>
          </w:rPr>
          <w:t>the description of our Common Units which is contained in our registration statement on Form 8-A (File No. 001-36433), filed with the SEC on</w:t>
        </w:r>
      </w:hyperlink>
      <w:r>
        <w:rPr>
          <w:rFonts w:ascii="Arial" w:cs="Arial" w:eastAsia="Arial" w:hAnsi="Arial"/>
          <w:sz w:val="18"/>
          <w:szCs w:val="18"/>
          <w:u w:val="single" w:color="auto"/>
          <w:color w:val="0000EE"/>
        </w:rPr>
        <w:t xml:space="preserve"> </w:t>
      </w:r>
      <w:hyperlink r:id="rId47">
        <w:r>
          <w:rPr>
            <w:rFonts w:ascii="Arial" w:cs="Arial" w:eastAsia="Arial" w:hAnsi="Arial"/>
            <w:sz w:val="18"/>
            <w:szCs w:val="18"/>
            <w:u w:val="single" w:color="auto"/>
            <w:color w:val="0000EE"/>
          </w:rPr>
          <w:t>April 30, 2014, including any amendment or report filed for the purpose of updating such description; and</w:t>
        </w:r>
      </w:hyperlink>
    </w:p>
    <w:p>
      <w:pPr>
        <w:spacing w:after="0" w:line="199" w:lineRule="exact"/>
        <w:rPr>
          <w:rFonts w:ascii="Arial" w:cs="Arial" w:eastAsia="Arial" w:hAnsi="Arial"/>
          <w:sz w:val="18"/>
          <w:szCs w:val="18"/>
          <w:u w:val="single" w:color="auto"/>
          <w:color w:val="0000EE"/>
        </w:rPr>
      </w:pPr>
    </w:p>
    <w:p>
      <w:pPr>
        <w:ind w:left="1080" w:right="120" w:hanging="532"/>
        <w:spacing w:after="0" w:line="331" w:lineRule="auto"/>
        <w:tabs>
          <w:tab w:leader="none" w:pos="1080" w:val="left"/>
        </w:tabs>
        <w:numPr>
          <w:ilvl w:val="0"/>
          <w:numId w:val="6"/>
        </w:numPr>
        <w:rPr>
          <w:rFonts w:ascii="Arial" w:cs="Arial" w:eastAsia="Arial" w:hAnsi="Arial"/>
          <w:sz w:val="16"/>
          <w:szCs w:val="16"/>
          <w:u w:val="single" w:color="auto"/>
          <w:color w:val="0000EE"/>
        </w:rPr>
      </w:pPr>
      <w:hyperlink r:id="rId48">
        <w:r>
          <w:rPr>
            <w:rFonts w:ascii="Arial" w:cs="Arial" w:eastAsia="Arial" w:hAnsi="Arial"/>
            <w:sz w:val="16"/>
            <w:szCs w:val="16"/>
            <w:u w:val="single" w:color="auto"/>
            <w:color w:val="0000EE"/>
          </w:rPr>
          <w:t>the description of our Series A Preference Units which is contained in our registration statement on Form 8-A (File No. 001-36433), filed with</w:t>
        </w:r>
      </w:hyperlink>
      <w:r>
        <w:rPr>
          <w:rFonts w:ascii="Arial" w:cs="Arial" w:eastAsia="Arial" w:hAnsi="Arial"/>
          <w:sz w:val="16"/>
          <w:szCs w:val="16"/>
          <w:u w:val="single" w:color="auto"/>
          <w:color w:val="0000EE"/>
        </w:rPr>
        <w:t xml:space="preserve"> </w:t>
      </w:r>
      <w:hyperlink r:id="rId48">
        <w:r>
          <w:rPr>
            <w:rFonts w:ascii="Arial" w:cs="Arial" w:eastAsia="Arial" w:hAnsi="Arial"/>
            <w:sz w:val="16"/>
            <w:szCs w:val="16"/>
            <w:u w:val="single" w:color="auto"/>
            <w:color w:val="0000EE"/>
          </w:rPr>
          <w:t>the SEC on May 15, 2017, including any amendment or report filed for the purpose of updating such description.</w:t>
        </w:r>
      </w:hyperlink>
    </w:p>
    <w:p>
      <w:pPr>
        <w:spacing w:after="0" w:line="167" w:lineRule="exact"/>
        <w:rPr>
          <w:rFonts w:ascii="Arial" w:cs="Arial" w:eastAsia="Arial" w:hAnsi="Arial"/>
          <w:sz w:val="16"/>
          <w:szCs w:val="16"/>
          <w:u w:val="single" w:color="auto"/>
          <w:color w:val="0000EE"/>
        </w:rPr>
      </w:pPr>
    </w:p>
    <w:p>
      <w:pPr>
        <w:ind w:left="1080" w:right="100" w:hanging="532"/>
        <w:spacing w:after="0" w:line="331" w:lineRule="auto"/>
        <w:tabs>
          <w:tab w:leader="none" w:pos="1080" w:val="left"/>
        </w:tabs>
        <w:numPr>
          <w:ilvl w:val="0"/>
          <w:numId w:val="6"/>
        </w:numPr>
        <w:rPr>
          <w:rFonts w:ascii="Arial" w:cs="Arial" w:eastAsia="Arial" w:hAnsi="Arial"/>
          <w:sz w:val="16"/>
          <w:szCs w:val="16"/>
          <w:u w:val="single" w:color="auto"/>
          <w:color w:val="0000EE"/>
        </w:rPr>
      </w:pPr>
      <w:hyperlink r:id="rId49">
        <w:r>
          <w:rPr>
            <w:rFonts w:ascii="Arial" w:cs="Arial" w:eastAsia="Arial" w:hAnsi="Arial"/>
            <w:sz w:val="16"/>
            <w:szCs w:val="16"/>
            <w:u w:val="single" w:color="auto"/>
            <w:color w:val="0000EE"/>
          </w:rPr>
          <w:t>the description of our Series B Preference Units which is contained in our registration statement on Form 8-A (File No. 001-36433), filed with</w:t>
        </w:r>
      </w:hyperlink>
      <w:r>
        <w:rPr>
          <w:rFonts w:ascii="Arial" w:cs="Arial" w:eastAsia="Arial" w:hAnsi="Arial"/>
          <w:sz w:val="16"/>
          <w:szCs w:val="16"/>
          <w:u w:val="single" w:color="auto"/>
          <w:color w:val="0000EE"/>
        </w:rPr>
        <w:t xml:space="preserve"> </w:t>
      </w:r>
      <w:hyperlink r:id="rId49">
        <w:r>
          <w:rPr>
            <w:rFonts w:ascii="Arial" w:cs="Arial" w:eastAsia="Arial" w:hAnsi="Arial"/>
            <w:sz w:val="16"/>
            <w:szCs w:val="16"/>
            <w:u w:val="single" w:color="auto"/>
            <w:color w:val="0000EE"/>
          </w:rPr>
          <w:t>the SEC on January 17, 2018, including any amendment or report filed for the purpose of updating such description.</w:t>
        </w:r>
      </w:hyperlink>
    </w:p>
    <w:p>
      <w:pPr>
        <w:spacing w:after="0" w:line="154" w:lineRule="exact"/>
        <w:rPr>
          <w:rFonts w:ascii="Arial" w:cs="Arial" w:eastAsia="Arial" w:hAnsi="Arial"/>
          <w:sz w:val="16"/>
          <w:szCs w:val="16"/>
          <w:u w:val="single" w:color="auto"/>
          <w:color w:val="0000EE"/>
        </w:rPr>
      </w:pPr>
    </w:p>
    <w:p>
      <w:pPr>
        <w:ind w:left="1080" w:right="100" w:hanging="532"/>
        <w:spacing w:after="0" w:line="331" w:lineRule="auto"/>
        <w:tabs>
          <w:tab w:leader="none" w:pos="1080" w:val="left"/>
        </w:tabs>
        <w:numPr>
          <w:ilvl w:val="0"/>
          <w:numId w:val="6"/>
        </w:numPr>
        <w:rPr>
          <w:rFonts w:ascii="Arial" w:cs="Arial" w:eastAsia="Arial" w:hAnsi="Arial"/>
          <w:sz w:val="16"/>
          <w:szCs w:val="16"/>
          <w:u w:val="single" w:color="auto"/>
          <w:color w:val="0000EE"/>
        </w:rPr>
      </w:pPr>
      <w:hyperlink r:id="rId50">
        <w:r>
          <w:rPr>
            <w:rFonts w:ascii="Arial" w:cs="Arial" w:eastAsia="Arial" w:hAnsi="Arial"/>
            <w:sz w:val="16"/>
            <w:szCs w:val="16"/>
            <w:u w:val="single" w:color="auto"/>
            <w:color w:val="0000EE"/>
          </w:rPr>
          <w:t>the description of our Series C Preference Units which is contained in our registration statement on Form 8-A (File No. 001-36433), filed with</w:t>
        </w:r>
      </w:hyperlink>
      <w:r>
        <w:rPr>
          <w:rFonts w:ascii="Arial" w:cs="Arial" w:eastAsia="Arial" w:hAnsi="Arial"/>
          <w:sz w:val="16"/>
          <w:szCs w:val="16"/>
          <w:u w:val="single" w:color="auto"/>
          <w:color w:val="0000EE"/>
        </w:rPr>
        <w:t xml:space="preserve"> </w:t>
      </w:r>
      <w:hyperlink r:id="rId50">
        <w:r>
          <w:rPr>
            <w:rFonts w:ascii="Arial" w:cs="Arial" w:eastAsia="Arial" w:hAnsi="Arial"/>
            <w:sz w:val="16"/>
            <w:szCs w:val="16"/>
            <w:u w:val="single" w:color="auto"/>
            <w:color w:val="0000EE"/>
          </w:rPr>
          <w:t>the SEC on November 15, 2018, including any amendment or report filed for the purpose of updating such description.</w:t>
        </w:r>
      </w:hyperlink>
    </w:p>
    <w:p>
      <w:pPr>
        <w:spacing w:after="0" w:line="141" w:lineRule="exact"/>
        <w:rPr>
          <w:rFonts w:ascii="Arial" w:cs="Arial" w:eastAsia="Arial" w:hAnsi="Arial"/>
          <w:sz w:val="16"/>
          <w:szCs w:val="16"/>
          <w:color w:val="auto"/>
        </w:rPr>
      </w:pPr>
    </w:p>
    <w:p>
      <w:pPr>
        <w:ind w:firstLine="348"/>
        <w:spacing w:after="0" w:line="298" w:lineRule="auto"/>
        <w:rPr>
          <w:sz w:val="20"/>
          <w:szCs w:val="20"/>
          <w:color w:val="auto"/>
        </w:rPr>
      </w:pPr>
      <w:r>
        <w:rPr>
          <w:rFonts w:ascii="Arial" w:cs="Arial" w:eastAsia="Arial" w:hAnsi="Arial"/>
          <w:sz w:val="16"/>
          <w:szCs w:val="16"/>
          <w:color w:val="auto"/>
        </w:rPr>
        <w:t>We are also incorporating by reference all subsequent annual reports on Form 20-F that we file with the SEC and certain reports on Form 6-K that we furnish to the SEC after the date of this prospectus (if they state that they are incorporated by reference into this prospectus) until we file a post-effective amendment indicating that the offering of the securities made by this prospectus has been terminated. In all cases, you should rely on the later information over different information included in this prospectus or any accompanying prospectus supplement.</w:t>
      </w:r>
    </w:p>
    <w:p>
      <w:pPr>
        <w:spacing w:after="0" w:line="166" w:lineRule="exact"/>
        <w:rPr>
          <w:rFonts w:ascii="Arial" w:cs="Arial" w:eastAsia="Arial" w:hAnsi="Arial"/>
          <w:sz w:val="16"/>
          <w:szCs w:val="16"/>
          <w:color w:val="auto"/>
        </w:rPr>
      </w:pPr>
    </w:p>
    <w:p>
      <w:pPr>
        <w:jc w:val="both"/>
        <w:ind w:right="360" w:firstLine="351"/>
        <w:spacing w:after="0" w:line="259" w:lineRule="auto"/>
        <w:rPr>
          <w:sz w:val="20"/>
          <w:szCs w:val="20"/>
          <w:color w:val="auto"/>
        </w:rPr>
      </w:pPr>
      <w:r>
        <w:rPr>
          <w:rFonts w:ascii="Arial" w:cs="Arial" w:eastAsia="Arial" w:hAnsi="Arial"/>
          <w:sz w:val="18"/>
          <w:szCs w:val="18"/>
          <w:color w:val="auto"/>
        </w:rPr>
        <w:t>In accordance with Rule 402 of Regulation S-T, the XBRL-related information in Exhibit 101 to our Annual Report on Form 20-F and our reports on Form 6-K will not be deemed to be incorporated by reference into any registration statement or other document filed under the Securities Act of 1933, as amended, except as will be expressly set forth by specific reference in such filing.</w:t>
      </w:r>
    </w:p>
    <w:p>
      <w:pPr>
        <w:spacing w:after="0" w:line="194" w:lineRule="exact"/>
        <w:rPr>
          <w:rFonts w:ascii="Arial" w:cs="Arial" w:eastAsia="Arial" w:hAnsi="Arial"/>
          <w:sz w:val="16"/>
          <w:szCs w:val="16"/>
          <w:color w:val="auto"/>
        </w:rPr>
      </w:pPr>
    </w:p>
    <w:p>
      <w:pPr>
        <w:ind w:right="240" w:firstLine="348"/>
        <w:spacing w:after="0" w:line="256" w:lineRule="auto"/>
        <w:rPr>
          <w:sz w:val="20"/>
          <w:szCs w:val="20"/>
          <w:color w:val="auto"/>
        </w:rPr>
      </w:pPr>
      <w:r>
        <w:rPr>
          <w:rFonts w:ascii="Arial" w:cs="Arial" w:eastAsia="Arial" w:hAnsi="Arial"/>
          <w:sz w:val="18"/>
          <w:szCs w:val="18"/>
          <w:color w:val="auto"/>
        </w:rPr>
        <w:t xml:space="preserve">We will provide, free of charge upon written or oral request, to each person to whom this prospectus is delivered, including any beneficial owner of the securities, a copy of any or all of the information that has been incorporated by reference into this prospectus, but which has not been delivered with the prospectus. Copies of these documents also may be obtained on the "Investor Relations" section of our website at </w:t>
      </w:r>
      <w:r>
        <w:rPr>
          <w:rFonts w:ascii="Arial" w:cs="Arial" w:eastAsia="Arial" w:hAnsi="Arial"/>
          <w:sz w:val="18"/>
          <w:szCs w:val="18"/>
          <w:i w:val="1"/>
          <w:iCs w:val="1"/>
          <w:color w:val="auto"/>
        </w:rPr>
        <w:t>www.gaslogmlp.com.</w:t>
      </w:r>
      <w:r>
        <w:rPr>
          <w:rFonts w:ascii="Arial" w:cs="Arial" w:eastAsia="Arial" w:hAnsi="Arial"/>
          <w:sz w:val="18"/>
          <w:szCs w:val="18"/>
          <w:color w:val="auto"/>
        </w:rPr>
        <w:t xml:space="preserve"> The information contained on or connected to</w:t>
      </w:r>
    </w:p>
    <w:p>
      <w:pPr>
        <w:spacing w:after="0" w:line="197" w:lineRule="exact"/>
        <w:rPr>
          <w:rFonts w:ascii="Arial" w:cs="Arial" w:eastAsia="Arial" w:hAnsi="Arial"/>
          <w:sz w:val="16"/>
          <w:szCs w:val="16"/>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website is not a part of this prospectus. Requests for such information should be made to us at the following address:</w:t>
      </w:r>
    </w:p>
    <w:p>
      <w:pPr>
        <w:spacing w:after="0" w:line="22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GasLog Partners LP</w:t>
      </w:r>
    </w:p>
    <w:p>
      <w:pPr>
        <w:spacing w:after="0" w:line="1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c/o GasLog LNG Services Ltd</w:t>
      </w:r>
    </w:p>
    <w:p>
      <w:pPr>
        <w:spacing w:after="0" w:line="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69 Akti Miaouli</w:t>
      </w:r>
    </w:p>
    <w:p>
      <w:pPr>
        <w:spacing w:after="0" w:line="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18537 Piraeus Greece</w:t>
      </w:r>
    </w:p>
    <w:p>
      <w:pPr>
        <w:spacing w:after="0" w:line="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+30 210 459 1000</w:t>
      </w:r>
    </w:p>
    <w:p>
      <w:pPr>
        <w:spacing w:after="0" w:line="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Attention: General Counsel</w:t>
      </w:r>
    </w:p>
    <w:p>
      <w:pPr>
        <w:spacing w:after="0" w:line="219" w:lineRule="exact"/>
        <w:rPr>
          <w:sz w:val="20"/>
          <w:szCs w:val="20"/>
          <w:color w:val="auto"/>
        </w:rPr>
      </w:pPr>
    </w:p>
    <w:p>
      <w:pPr>
        <w:ind w:firstLine="344"/>
        <w:spacing w:after="0" w:line="259" w:lineRule="auto"/>
        <w:rPr>
          <w:sz w:val="20"/>
          <w:szCs w:val="20"/>
          <w:color w:val="auto"/>
        </w:rPr>
      </w:pPr>
      <w:r>
        <w:rPr>
          <w:rFonts w:ascii="Arial" w:cs="Arial" w:eastAsia="Arial" w:hAnsi="Arial"/>
          <w:sz w:val="18"/>
          <w:szCs w:val="18"/>
          <w:color w:val="auto"/>
        </w:rPr>
        <w:t>You should assume that the information appearing in this prospectus and any accompanying prospectus supplement, as well as the information we previously filed with the SEC and incorporated by reference, is accurate as of the dates on the front cover of those documents only. Our business, financial condition and results of operations and prospects may have changed since those dates.</w:t>
      </w:r>
    </w:p>
    <w:p>
      <w:pPr>
        <w:spacing w:after="0" w:line="19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860"/>
          </w:cols>
          <w:pgMar w:left="320" w:top="131" w:right="71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right="580" w:firstLine="351"/>
        <w:spacing w:after="0" w:line="268" w:lineRule="auto"/>
        <w:rPr>
          <w:sz w:val="20"/>
          <w:szCs w:val="20"/>
          <w:color w:val="auto"/>
        </w:rPr>
      </w:pPr>
      <w:r>
        <w:rPr>
          <w:rFonts w:ascii="Arial" w:cs="Arial" w:eastAsia="Arial" w:hAnsi="Arial"/>
          <w:sz w:val="18"/>
          <w:szCs w:val="18"/>
          <w:color w:val="auto"/>
        </w:rPr>
        <w:t>Unless otherwise set forth in the applicable prospectus, we intend to use the net proceeds received from the sale of the securities we offer by this prospectus for general corporate purposes.</w:t>
      </w:r>
    </w:p>
    <w:p>
      <w:pPr>
        <w:spacing w:after="0" w:line="186"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We may raise additional funds from time to time through equity or debt financings not involving the issuance of securities described in this prospectus, including borrowings under credit facilities, to finance our business and operations and new vessel acquisitions.</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CAPITALIZATION AND INDEBTEDNESS</w:t>
      </w:r>
    </w:p>
    <w:p>
      <w:pPr>
        <w:spacing w:after="0" w:line="23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Our capitalization and indebtedness will be set forth in a prospectus supplement to this prospectus or in a report on Form 6-K subsequently furnished to the SEC and specifically incorporated herein by reference.</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COMMON UNITS</w:t>
      </w:r>
    </w:p>
    <w:p>
      <w:pPr>
        <w:spacing w:after="0" w:line="231"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 description of our Common Units can be found in our registration statement on Form 8-A (File No. 001-36433), filed with the SEC on April 30, 2014, including any amendment or report filed for the purpose of updating such description.</w:t>
      </w:r>
    </w:p>
    <w:p>
      <w:pPr>
        <w:spacing w:after="0" w:line="1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080"/>
          </w:cols>
          <w:pgMar w:left="320" w:top="131" w:right="49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DESCRIPTION OF CLASS B UNITS</w:t>
      </w:r>
    </w:p>
    <w:p>
      <w:pPr>
        <w:spacing w:after="0" w:line="231"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i w:val="1"/>
          <w:iCs w:val="1"/>
          <w:color w:val="auto"/>
        </w:rPr>
        <w:t>The following description of the Class B Units does not purport to be complete and is subject to, and qualified in its entirety by reference to, the provisions of the partnership agreement, which sets forth the terms of the Class B Units. A copy of the partnership agreement may be obtained from us as described under "Where You Can Find Additional Information" and "Incorporation of Certain Information by Reference".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Class B Units, which consist of a total of 2,075,000 Class B Units (of which 415,000 are designated Class B-2 Units, 415,000 are designated Class B-3 Units, 415,000 are designated Class B-4 Units, 415,000 are designated Class B-5 Units and 415,000 are designated Class B-6 Units), represent limited partner interests in us. GasLog currently owns 100% of our Class B Units.</w:t>
      </w:r>
    </w:p>
    <w:p>
      <w:pPr>
        <w:spacing w:after="0" w:line="194"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holders of Class B Units have all of the rights and privileges of limited partners under our partnership agreement, except (i) with respect to the right to vote on or approve matters and (ii) for the right to participate in distributions made with respect to Common Units, in each case until such Class B Units convert into Common Units. For a description of the rights and privileges of limited partners under our partnership agreement, including the voting rights available to the holders of the Class B Units upon conversion into Common Units, see "Summary of our Partnership Agreement" below.</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31" w:lineRule="exact"/>
        <w:rPr>
          <w:sz w:val="20"/>
          <w:szCs w:val="20"/>
          <w:color w:val="auto"/>
        </w:rPr>
      </w:pPr>
    </w:p>
    <w:p>
      <w:pPr>
        <w:ind w:right="660" w:firstLine="348"/>
        <w:spacing w:after="0" w:line="331" w:lineRule="auto"/>
        <w:rPr>
          <w:sz w:val="20"/>
          <w:szCs w:val="20"/>
          <w:color w:val="auto"/>
        </w:rPr>
      </w:pPr>
      <w:r>
        <w:rPr>
          <w:rFonts w:ascii="Arial" w:cs="Arial" w:eastAsia="Arial" w:hAnsi="Arial"/>
          <w:sz w:val="16"/>
          <w:szCs w:val="16"/>
          <w:color w:val="auto"/>
        </w:rPr>
        <w:t>The holders of Class B Units do not have any voting rights and are not entitled to vote on or approve any matters, except for (i) the removal of an appointed director with cause or (ii) an amendment of the partnership agreement in certain limited circumstances, as set forth therein.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231" w:lineRule="exact"/>
        <w:rPr>
          <w:sz w:val="20"/>
          <w:szCs w:val="20"/>
          <w:color w:val="auto"/>
        </w:rPr>
      </w:pPr>
    </w:p>
    <w:p>
      <w:pPr>
        <w:ind w:right="140" w:firstLine="348"/>
        <w:spacing w:after="0" w:line="294" w:lineRule="auto"/>
        <w:rPr>
          <w:sz w:val="20"/>
          <w:szCs w:val="20"/>
          <w:color w:val="auto"/>
        </w:rPr>
      </w:pPr>
      <w:r>
        <w:rPr>
          <w:rFonts w:ascii="Arial" w:cs="Arial" w:eastAsia="Arial" w:hAnsi="Arial"/>
          <w:sz w:val="16"/>
          <w:szCs w:val="16"/>
          <w:color w:val="auto"/>
        </w:rPr>
        <w:t>The holders of Class B Units do not have the right to participate in any distributions made with respect to Common Units, until the conversion of a Class B Unit into a Common Unit. Immediately upon the conversion of a Class B Unit into a Common Unit, the holder of such Common Unit issued upon conversion of such Class B Unit shall possess all of the rights and obligations of a holder of a Common Unit, including the right to participate in distributions made with respect to Common Units. The holder of a Class B Unit that is entitled to convert but has not yet converted does not have the right to participate in distributions made with respect to Common Units until such Class B Unit is converted into a Common Unit.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w:t>
      </w:r>
    </w:p>
    <w:p>
      <w:pPr>
        <w:spacing w:after="0" w:line="231" w:lineRule="exact"/>
        <w:rPr>
          <w:sz w:val="20"/>
          <w:szCs w:val="20"/>
          <w:color w:val="auto"/>
        </w:rPr>
      </w:pPr>
    </w:p>
    <w:p>
      <w:pPr>
        <w:jc w:val="both"/>
        <w:ind w:right="380" w:firstLine="348"/>
        <w:spacing w:after="0" w:line="259" w:lineRule="auto"/>
        <w:rPr>
          <w:sz w:val="20"/>
          <w:szCs w:val="20"/>
          <w:color w:val="auto"/>
        </w:rPr>
      </w:pPr>
      <w:r>
        <w:rPr>
          <w:rFonts w:ascii="Arial" w:cs="Arial" w:eastAsia="Arial" w:hAnsi="Arial"/>
          <w:sz w:val="18"/>
          <w:szCs w:val="18"/>
          <w:color w:val="auto"/>
        </w:rPr>
        <w:t>The Class B-2 Units, Class B-3 Units, Class B-4 Units, Class B-5 Units and Class B-6 Units are eligible for conversion on July 1, 2021, July 1, 2022, July 1, 2023, July 1, 2024 and July 1, 2025, respectively (each, a "Class B Convertible Date"). The Class B-1 units were converted into Common Units on July 1, 2020.</w:t>
      </w:r>
    </w:p>
    <w:p>
      <w:pPr>
        <w:spacing w:after="0" w:line="194" w:lineRule="exact"/>
        <w:rPr>
          <w:sz w:val="20"/>
          <w:szCs w:val="20"/>
          <w:color w:val="auto"/>
        </w:rPr>
      </w:pPr>
    </w:p>
    <w:p>
      <w:pPr>
        <w:ind w:firstLine="341"/>
        <w:spacing w:after="0" w:line="254" w:lineRule="auto"/>
        <w:rPr>
          <w:sz w:val="20"/>
          <w:szCs w:val="20"/>
          <w:color w:val="auto"/>
        </w:rPr>
      </w:pPr>
      <w:r>
        <w:rPr>
          <w:rFonts w:ascii="Arial" w:cs="Arial" w:eastAsia="Arial" w:hAnsi="Arial"/>
          <w:sz w:val="18"/>
          <w:szCs w:val="18"/>
          <w:color w:val="auto"/>
        </w:rPr>
        <w:t>At any time, and from time to time, on or after each Class B Unit becomes eligible for conversion, the holder of such Class B Unit shall have the option, in its sole discretion, to convert such Class B Unit into a Common Unit on a one-for-one basis. All Class B Units that have not yet been converted will automatically convert into Common Units on a one-for-one basis (i) immediately before the consummation of a change of control, (ii) immediately before the consummation of a merger, consolidation or conversion of the Partnership (except for a merger, consolidation, acquisition or any other transaction pursuant to which GasLog or any of its affiliates would acquire all of the</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80"/>
        <w:spacing w:after="0" w:line="331" w:lineRule="auto"/>
        <w:rPr>
          <w:sz w:val="20"/>
          <w:szCs w:val="20"/>
          <w:color w:val="auto"/>
        </w:rPr>
      </w:pPr>
      <w:r>
        <w:rPr>
          <w:rFonts w:ascii="Arial" w:cs="Arial" w:eastAsia="Arial" w:hAnsi="Arial"/>
          <w:sz w:val="16"/>
          <w:szCs w:val="16"/>
          <w:color w:val="auto"/>
        </w:rPr>
        <w:t>Partnership's outstanding Common Units), (iii) immediately upon the dissolution of the Partnership but before any liquidating distributions are made and (iv) upon the removal of the general partner in certain limited circumstances, each as set forth in the partnership agreement.</w:t>
      </w:r>
    </w:p>
    <w:p>
      <w:pPr>
        <w:spacing w:after="0" w:line="14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Upon conversion, the rights of a holder of converted Class B Units as holder of Class B Units shall cease with respect to such converted Class B Units and such holder shall continue to be a limited partner and have the rights of a holder of Common Units. All Class B Units will, upon conversion into Common Units, be deemed to be transferred to, and cancelled by, the Partnership in exchange for the Common Units into which the Class B Units converted.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B Cancellation Event</w:t>
      </w:r>
    </w:p>
    <w:p>
      <w:pPr>
        <w:spacing w:after="0" w:line="231"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Immediately before the consummation of a merger, consolidation, acquisition or any other transaction pursuant to which GasLog or any of its affiliates acquires all of the Partnership's outstanding Common Units, (i) all Class B Units will automatically be canceled and eliminated, cease to exist and no longer be outstanding and (ii) each holder of such canceled Class B Units will automatically cease to have any rights with respect thereto.</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Class B Units</w:t>
      </w:r>
    </w:p>
    <w:p>
      <w:pPr>
        <w:spacing w:after="0" w:line="231"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Prior to a Class B Unit's applicable Class B Convertible Date, a holder of such Class B Unit may transfer such Class B Unit without any consent to (A) an affiliate of such holder (other than an individual) or (B) another person (other than an individual) in connection with (x) the merger or consolidation of such holder with or into such other person or (y) the transfer by such holder of all or substantially all of its assets to such other person. Any other transfer by such holder prior to such Class B Unit's applicable Class B Convertible Date requires the prior approval of holders of a majority of Common Units, excluding Common Units held by GasLog and its affiliates. On or after such Class B Unit's applicable Class B Convertible Date, such holder may transfer such Class B Unit without approval of the majority of Common Units.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SERIES A PREFERENCE UNITS</w:t>
      </w:r>
    </w:p>
    <w:p>
      <w:pPr>
        <w:spacing w:after="0" w:line="231" w:lineRule="exact"/>
        <w:rPr>
          <w:sz w:val="20"/>
          <w:szCs w:val="20"/>
          <w:color w:val="auto"/>
        </w:rPr>
      </w:pPr>
    </w:p>
    <w:p>
      <w:pPr>
        <w:ind w:right="460" w:firstLine="341"/>
        <w:spacing w:after="0" w:line="268" w:lineRule="auto"/>
        <w:rPr>
          <w:sz w:val="20"/>
          <w:szCs w:val="20"/>
          <w:color w:val="auto"/>
        </w:rPr>
      </w:pPr>
      <w:r>
        <w:rPr>
          <w:rFonts w:ascii="Arial" w:cs="Arial" w:eastAsia="Arial" w:hAnsi="Arial"/>
          <w:sz w:val="18"/>
          <w:szCs w:val="18"/>
          <w:color w:val="auto"/>
        </w:rPr>
        <w:t>A description of our Series A Preference Units can be found in our registration statement on Form 8-A (File No. 001-36433), filed with the SEC on May 15, 2017, including any amendment or report filed for the purpose of updating such description.</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SERIES B PREFERENCE UNITS</w:t>
      </w:r>
    </w:p>
    <w:p>
      <w:pPr>
        <w:spacing w:after="0" w:line="231" w:lineRule="exact"/>
        <w:rPr>
          <w:sz w:val="20"/>
          <w:szCs w:val="20"/>
          <w:color w:val="auto"/>
        </w:rPr>
      </w:pPr>
    </w:p>
    <w:p>
      <w:pPr>
        <w:ind w:right="460" w:firstLine="341"/>
        <w:spacing w:after="0" w:line="268" w:lineRule="auto"/>
        <w:rPr>
          <w:sz w:val="20"/>
          <w:szCs w:val="20"/>
          <w:color w:val="auto"/>
        </w:rPr>
      </w:pPr>
      <w:r>
        <w:rPr>
          <w:rFonts w:ascii="Arial" w:cs="Arial" w:eastAsia="Arial" w:hAnsi="Arial"/>
          <w:sz w:val="18"/>
          <w:szCs w:val="18"/>
          <w:color w:val="auto"/>
        </w:rPr>
        <w:t>A description of our Series B Preference Units can be found in our registration statement on Form 8-A (File No. 001-36433), filed with the SEC on January 17, 2018, including any amendment or report filed for the purpose of updating such description.</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SERIES C PREFERENCE UNITS</w:t>
      </w:r>
    </w:p>
    <w:p>
      <w:pPr>
        <w:spacing w:after="0" w:line="231" w:lineRule="exact"/>
        <w:rPr>
          <w:sz w:val="20"/>
          <w:szCs w:val="20"/>
          <w:color w:val="auto"/>
        </w:rPr>
      </w:pPr>
    </w:p>
    <w:p>
      <w:pPr>
        <w:ind w:right="460" w:firstLine="341"/>
        <w:spacing w:after="0" w:line="268" w:lineRule="auto"/>
        <w:rPr>
          <w:sz w:val="20"/>
          <w:szCs w:val="20"/>
          <w:color w:val="auto"/>
        </w:rPr>
      </w:pPr>
      <w:r>
        <w:rPr>
          <w:rFonts w:ascii="Arial" w:cs="Arial" w:eastAsia="Arial" w:hAnsi="Arial"/>
          <w:sz w:val="18"/>
          <w:szCs w:val="18"/>
          <w:color w:val="auto"/>
        </w:rPr>
        <w:t>A description of our Series A Preference Units can be found in our registration statement on Form 8-A (File No. 001-36433), filed with the SEC on November 15, 2018, including any amendment or report filed for the purpose of updating such description.</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THE OTHER CLASSES OF UNITS</w:t>
      </w:r>
    </w:p>
    <w:p>
      <w:pPr>
        <w:spacing w:after="0" w:line="23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Our partnership agreement permits us to issue additional classes or series of equity interests at any time and from time to time for consideration on such terms and conditions established by our board of directors without the approval of any of our unitholders, other than the limited approval rights of the holders of the Preference Units. Unless we receive the affirmative vote or consent of the holders of at least two-thirds of the outstanding Preference Units, voting as a class together with holders of any other Parity Securities (as defined in the partnership agreement) (if applicable), we may not (i) issue any Parity Securities if the cumulative distributions on Preference Units are in arrears or (ii) create or issue any Senior Securities (as defined in the partnership agreement). As of October 9, 2020, no classes of limited partnership interests were outstanding other than the Common Units, Class B Units, Series A Preference Units, Series B Preference Units and Series C Preference Units. Should we offer other classes of units under this prospectus, a prospectus supplement relating to the particular class or series of units offered will include the designations, preferences, rights, powers and duties of those units which shall be fixed by the board of directors, including, among other things, the following:</w:t>
      </w:r>
    </w:p>
    <w:p>
      <w:pPr>
        <w:spacing w:after="0" w:line="186"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right to share in partnership distributions;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rights upon our dissolution and liquidation;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whether, and the terms and conditions upon which, we may or shall be required to redeem the Other Units (including sinking fund provisions);</w:t>
      </w:r>
    </w:p>
    <w:p>
      <w:pPr>
        <w:spacing w:after="0" w:line="261" w:lineRule="exact"/>
        <w:rPr>
          <w:rFonts w:ascii="Arial" w:cs="Arial" w:eastAsia="Arial" w:hAnsi="Arial"/>
          <w:sz w:val="16"/>
          <w:szCs w:val="16"/>
          <w:color w:val="auto"/>
        </w:rPr>
      </w:pPr>
    </w:p>
    <w:p>
      <w:pPr>
        <w:ind w:left="1080" w:right="40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the Other Units are issued with the privilege of conversion or exchange and, if so, the terms and conditions of such conversion or exchange;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terms and conditions upon which Other Units will be issued, evidenced by certificates and assigned or transferred;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method for determining the Percentage Interest (as defined in our partnership agreement) as to such Other Units; and</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right, if any, of each Other Unit to vote on partnership matters, including matters relating to the relative rights, preferences and privileges of such Other Units.</w:t>
      </w:r>
    </w:p>
    <w:p>
      <w:pPr>
        <w:spacing w:after="0" w:line="186" w:lineRule="exact"/>
        <w:rPr>
          <w:sz w:val="20"/>
          <w:szCs w:val="20"/>
          <w:color w:val="auto"/>
        </w:rPr>
      </w:pPr>
    </w:p>
    <w:p>
      <w:pPr>
        <w:jc w:val="both"/>
        <w:ind w:right="40" w:firstLine="348"/>
        <w:spacing w:after="0" w:line="259" w:lineRule="auto"/>
        <w:rPr>
          <w:sz w:val="20"/>
          <w:szCs w:val="20"/>
          <w:color w:val="auto"/>
        </w:rPr>
      </w:pPr>
      <w:r>
        <w:rPr>
          <w:rFonts w:ascii="Arial" w:cs="Arial" w:eastAsia="Arial" w:hAnsi="Arial"/>
          <w:sz w:val="18"/>
          <w:szCs w:val="18"/>
          <w:color w:val="auto"/>
        </w:rPr>
        <w:t>The particular terms of any class or series of any such class of units will also be described in the amendment to our partnership agreement relating to that class or series of such class of units, which will be filed as an exhibit to or incorporated by reference in this prospectus at or before the time of issuance of any such class or series of any such class of units.</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60"/>
          </w:cols>
          <w:pgMar w:left="320" w:top="131" w:right="41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0" w:firstLine="351"/>
        <w:spacing w:after="0" w:line="259" w:lineRule="auto"/>
        <w:rPr>
          <w:sz w:val="20"/>
          <w:szCs w:val="20"/>
          <w:color w:val="auto"/>
        </w:rPr>
      </w:pPr>
      <w:r>
        <w:rPr>
          <w:rFonts w:ascii="Arial" w:cs="Arial" w:eastAsia="Arial" w:hAnsi="Arial"/>
          <w:sz w:val="18"/>
          <w:szCs w:val="18"/>
          <w:color w:val="auto"/>
        </w:rPr>
        <w:t>Such units will be fully paid and non-assessable (except as such non-assessability may be affected by Sections 30, 41, 51 and 60 of the Marshall Islands Limited Partnership Act) when issued upon full payment of the purchase price therefor. The transfer agent, registrar and distributions disbursement agent for the units will be designated in the applicable prospectus supplement.</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DESCRIPTION OF DEBT SECURITIES</w:t>
      </w:r>
    </w:p>
    <w:p>
      <w:pPr>
        <w:spacing w:after="0" w:line="231"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We may issue debt securities from time to time in one or more series, under one or more indentures, each dated as of a date on or prior to the issuance of the debt securities to which it relates.</w:t>
      </w:r>
    </w:p>
    <w:p>
      <w:pPr>
        <w:spacing w:after="0" w:line="186" w:lineRule="exact"/>
        <w:rPr>
          <w:sz w:val="20"/>
          <w:szCs w:val="20"/>
          <w:color w:val="auto"/>
        </w:rPr>
      </w:pPr>
    </w:p>
    <w:p>
      <w:pPr>
        <w:ind w:right="140" w:firstLine="348"/>
        <w:spacing w:after="0" w:line="254" w:lineRule="auto"/>
        <w:rPr>
          <w:sz w:val="20"/>
          <w:szCs w:val="20"/>
          <w:color w:val="auto"/>
        </w:rPr>
      </w:pPr>
      <w:r>
        <w:rPr>
          <w:rFonts w:ascii="Arial" w:cs="Arial" w:eastAsia="Arial" w:hAnsi="Arial"/>
          <w:sz w:val="18"/>
          <w:szCs w:val="18"/>
          <w:color w:val="auto"/>
        </w:rPr>
        <w:t>The following description of debt securities sets forth the material terms and provisions of the debt securities to which any prospectus supplement may relate. Our debt securities would be issued under an indenture between us and a trustee. The debt securities we may offer may be convertible into Common Units or other securities. The indenture, a form of which is included as an exhibit to the registration statement of which this prospectus is a part, will be executed at the time we issue any debt securities. Any supplemental indentures will be filed with the SEC on a Form 6-K or by a post-effective amendment to the registration statement of which this prospectus is a part.</w:t>
      </w:r>
    </w:p>
    <w:p>
      <w:pPr>
        <w:spacing w:after="0" w:line="20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particular terms of the debt securities offered by any prospectus supplement, and the extent to which the general provisions described below may apply to the offered debt securities, will be described in the applicable prospectus supplement. The indenture will be qualified under the Trust Indenture Act of 1939, as amended (the "Trust Indenture Act"). The terms of the debt securities will include those stated in the indenture and those made part of the indenture by reference to the Trust Indenture Act.</w:t>
      </w:r>
    </w:p>
    <w:p>
      <w:pPr>
        <w:spacing w:after="0" w:line="197"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Because the following summaries of the material terms and provisions of the indenture and the related debt securities are not complete, you should refer to the form of the indenture and the debt securities for complete information on some of the terms and provisions of the indenture, including definitions of some of the terms used below, and the debt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provisions of the indenture do not limit the aggregate principal amount of debt securities which may be issued thereunder. Unless otherwise provided in a prospectus supplement, the debt securities will be our direct, unsecured and unsubordinated general obligations and will have the same rank in liquidation as all of our other unsecured and unsubordinated debt. The debt securities may be convertible into Common Units or other securities if specified in the applicable prospectus supplement.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w:t>
      </w:r>
    </w:p>
    <w:p>
      <w:pPr>
        <w:spacing w:after="0" w:line="231" w:lineRule="exact"/>
        <w:rPr>
          <w:sz w:val="20"/>
          <w:szCs w:val="20"/>
          <w:color w:val="auto"/>
        </w:rPr>
      </w:pPr>
    </w:p>
    <w:p>
      <w:pPr>
        <w:ind w:right="160" w:firstLine="348"/>
        <w:spacing w:after="0" w:line="254" w:lineRule="auto"/>
        <w:rPr>
          <w:sz w:val="20"/>
          <w:szCs w:val="20"/>
          <w:color w:val="auto"/>
        </w:rPr>
      </w:pPr>
      <w:r>
        <w:rPr>
          <w:rFonts w:ascii="Arial" w:cs="Arial" w:eastAsia="Arial" w:hAnsi="Arial"/>
          <w:sz w:val="18"/>
          <w:szCs w:val="18"/>
          <w:color w:val="auto"/>
        </w:rPr>
        <w:t>We may issue debt securities from time to time in one or more series. The provisions of the indenture allow us to "reopen" a previous issue of a series of debt securities and issue additional debt securities of that series. The debt securities may be denominated and payable in U.S. dollars or other currencies. We may also issue debt securities from time to time with the principal amount or interest payable on any relevant payment date to be determined by reference to one or more currency exchange rates, securities or baskets of securities, commodity prices or indices. Holders of these types of debt securities will receive payments of principal or interest that depend upon the value of the applicable currency, security or basket of securities, commodity or index on the relevant payment dates.</w:t>
      </w:r>
    </w:p>
    <w:p>
      <w:pPr>
        <w:spacing w:after="0" w:line="198" w:lineRule="exact"/>
        <w:rPr>
          <w:sz w:val="20"/>
          <w:szCs w:val="20"/>
          <w:color w:val="auto"/>
        </w:rPr>
      </w:pPr>
    </w:p>
    <w:p>
      <w:pPr>
        <w:jc w:val="both"/>
        <w:ind w:right="320" w:firstLine="351"/>
        <w:spacing w:after="0" w:line="259" w:lineRule="auto"/>
        <w:rPr>
          <w:sz w:val="20"/>
          <w:szCs w:val="20"/>
          <w:color w:val="auto"/>
        </w:rPr>
      </w:pPr>
      <w:r>
        <w:rPr>
          <w:rFonts w:ascii="Arial" w:cs="Arial" w:eastAsia="Arial" w:hAnsi="Arial"/>
          <w:sz w:val="18"/>
          <w:szCs w:val="18"/>
          <w:color w:val="auto"/>
        </w:rPr>
        <w:t>Debt securities may bear interest at a fixed rate, which may be zero, a floating rate, or a rate which varies during the lifetime of the debt security. Debt securities bearing no interest or interest at a rate that at the time of issuance is below the prevailing market rate may be sold at a discount below their stated principal amount.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Specified in the Applicable Prospectus Supplement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applicable prospectus supplement will contain, where applicable, the following terms of, and other information relating to, any offered debt securities:</w:t>
      </w:r>
    </w:p>
    <w:p>
      <w:pPr>
        <w:spacing w:after="0" w:line="262"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specific designation;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limit on the aggregate principal amount of the debt securities, their purchase price and denomination;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currency in which the debt securities are denominated and/or in which principal, premium, if any, and/or interest, if any, is payable;</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date of maturity;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interest rate or rates or the method by which the calculation agent will determine the interest rate or rates, if 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interest payment dates, if 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place or places for payment of the principal of and any premium and/or interest on the debt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repayment, redemption, prepayment or sinking fund provisions, including any redemption notice provisions;</w:t>
      </w:r>
    </w:p>
    <w:p>
      <w:pPr>
        <w:spacing w:after="0" w:line="238" w:lineRule="exact"/>
        <w:rPr>
          <w:rFonts w:ascii="Arial" w:cs="Arial" w:eastAsia="Arial" w:hAnsi="Arial"/>
          <w:sz w:val="18"/>
          <w:szCs w:val="18"/>
          <w:color w:val="auto"/>
        </w:rPr>
      </w:pPr>
    </w:p>
    <w:p>
      <w:pPr>
        <w:ind w:left="1080" w:right="340" w:hanging="532"/>
        <w:spacing w:after="0" w:line="331"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whether we will issue the debt securities in registered form or bearer form or both and, if we are offering debt securities in bearer form, any restrictions applicable to the exchange of one form for another and to the offer, sale and delivery of those debt securities in bearer form;</w:t>
      </w:r>
    </w:p>
    <w:p>
      <w:pPr>
        <w:spacing w:after="0" w:line="154" w:lineRule="exact"/>
        <w:rPr>
          <w:rFonts w:ascii="Arial" w:cs="Arial" w:eastAsia="Arial" w:hAnsi="Arial"/>
          <w:sz w:val="16"/>
          <w:szCs w:val="16"/>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we will issue the debt securities in definitive form and under what terms and conditions;</w:t>
      </w:r>
    </w:p>
    <w:p>
      <w:pPr>
        <w:spacing w:after="0" w:line="252" w:lineRule="exact"/>
        <w:rPr>
          <w:rFonts w:ascii="Arial" w:cs="Arial" w:eastAsia="Arial" w:hAnsi="Arial"/>
          <w:sz w:val="18"/>
          <w:szCs w:val="18"/>
          <w:color w:val="auto"/>
        </w:rPr>
      </w:pPr>
    </w:p>
    <w:p>
      <w:pPr>
        <w:ind w:left="1080" w:right="280" w:hanging="532"/>
        <w:spacing w:after="0" w:line="259"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terms on which holders of the debt securities may convert or exchange these securities into or for Common Units or other securities, any specific terms relating to the adjustment of the conversion or exchange feature and the period during which the holders may make the conversion or exchange;</w:t>
      </w:r>
    </w:p>
    <w:p>
      <w:pPr>
        <w:spacing w:after="0" w:line="207"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information as to the methods for determining the amount of principal or interest payable on any date and/or the currencies, securities or baskets of securities, commodities or indices to which the amount payable on that date is linked;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any agents for the debt securities, including trustees, depositaries, authenticating or paying agents, transfer agents or registrars;</w:t>
      </w:r>
    </w:p>
    <w:p>
      <w:pPr>
        <w:spacing w:after="0" w:line="275" w:lineRule="exact"/>
        <w:rPr>
          <w:rFonts w:ascii="Arial" w:cs="Arial" w:eastAsia="Arial" w:hAnsi="Arial"/>
          <w:sz w:val="16"/>
          <w:szCs w:val="16"/>
          <w:color w:val="auto"/>
        </w:rPr>
      </w:pPr>
    </w:p>
    <w:p>
      <w:pPr>
        <w:ind w:left="1080" w:right="500" w:hanging="532"/>
        <w:spacing w:after="0" w:line="369" w:lineRule="auto"/>
        <w:tabs>
          <w:tab w:leader="none" w:pos="1080" w:val="left"/>
        </w:tabs>
        <w:numPr>
          <w:ilvl w:val="0"/>
          <w:numId w:val="8"/>
        </w:numPr>
        <w:rPr>
          <w:rFonts w:ascii="Arial" w:cs="Arial" w:eastAsia="Arial" w:hAnsi="Arial"/>
          <w:sz w:val="15"/>
          <w:szCs w:val="15"/>
          <w:color w:val="auto"/>
        </w:rPr>
      </w:pPr>
      <w:r>
        <w:rPr>
          <w:rFonts w:ascii="Arial" w:cs="Arial" w:eastAsia="Arial" w:hAnsi="Arial"/>
          <w:sz w:val="15"/>
          <w:szCs w:val="15"/>
          <w:color w:val="auto"/>
        </w:rPr>
        <w:t>whether and under what circumstances we will pay additional amounts on debt securities for any tax, assessment or governmental charge withheld or deducted and, if so, whether we will have the option to redeem those debt securities rather than pay the additional amounts;</w:t>
      </w:r>
    </w:p>
    <w:p>
      <w:pPr>
        <w:spacing w:after="0" w:line="131" w:lineRule="exact"/>
        <w:rPr>
          <w:rFonts w:ascii="Arial" w:cs="Arial" w:eastAsia="Arial" w:hAnsi="Arial"/>
          <w:sz w:val="15"/>
          <w:szCs w:val="15"/>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material United States federal income tax or other income tax consequences, including, but not limited to:</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right="40" w:hanging="532"/>
        <w:spacing w:after="0" w:line="268" w:lineRule="auto"/>
        <w:tabs>
          <w:tab w:leader="none" w:pos="1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tax considerations applicable to any discounted debt securities or to debt securities issued at par that are treated as having been issued at a discount for United States federal income tax purposes; and</w:t>
      </w:r>
    </w:p>
    <w:p>
      <w:pPr>
        <w:spacing w:after="0" w:line="199" w:lineRule="exact"/>
        <w:rPr>
          <w:rFonts w:ascii="Arial" w:cs="Arial" w:eastAsia="Arial" w:hAnsi="Arial"/>
          <w:sz w:val="18"/>
          <w:szCs w:val="18"/>
          <w:color w:val="auto"/>
        </w:rPr>
      </w:pPr>
    </w:p>
    <w:p>
      <w:pPr>
        <w:ind w:left="1620" w:hanging="532"/>
        <w:spacing w:after="0"/>
        <w:tabs>
          <w:tab w:leader="none" w:pos="1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tax considerations applicable to any debt securities denominated and payable in non-United States currencies;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5540" w:right="40" w:hanging="4992"/>
        <w:spacing w:after="0" w:line="518" w:lineRule="auto"/>
        <w:tabs>
          <w:tab w:leader="none" w:pos="1092"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certain payments on the debt securities will be guaranteed under a financial insurance guarantee policy and the terms of that guarantee;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36130"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the debt securities will be secured;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applicable selling restrictions; and</w:t>
      </w:r>
    </w:p>
    <w:p>
      <w:pPr>
        <w:spacing w:after="0" w:line="238" w:lineRule="exact"/>
        <w:rPr>
          <w:rFonts w:ascii="Arial" w:cs="Arial" w:eastAsia="Arial" w:hAnsi="Arial"/>
          <w:sz w:val="18"/>
          <w:szCs w:val="18"/>
          <w:color w:val="auto"/>
        </w:rPr>
      </w:pPr>
    </w:p>
    <w:p>
      <w:pPr>
        <w:ind w:left="1080" w:right="720" w:hanging="532"/>
        <w:spacing w:after="0" w:line="331"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any other specific terms of the debt securities, including any modifications to or additional events of default, covenants or modified or eliminated acceleration rights, and any terms required by or advisable under applicable laws or regulations.</w:t>
      </w:r>
    </w:p>
    <w:p>
      <w:pPr>
        <w:spacing w:after="0" w:line="141"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Some of the debt securities may be issued as original issue discount securities. Original issue discount securities bear no interest or bear interest at below-market rates and may be sold at a discount below their stated principal amount. The applicable prospectus supplement will contain information relating to income tax, accounting, and other special considerations applicable to original issue discount securities.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and Transfer of Debt Securities</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Holders may present debt securities for exchange, and holders of registered debt securities may present these securities for transfer, in the manner, at the places and subject to the restrictions stated in the debt securities and described in the applicable prospectus supplement. We will provide these services without charge except for any tax or other governmental charge payable in connection with these services and subject to any limitations or requirements provided in the indenture or the supplemental indenture or issuer order under which that series of debt securities is issued. Holders may transfer debt securities in bearer form and/or the related coupons, if any, by delivery to the transferee. If any of the securities are held in global form, the procedures for transfer of interests in those securities will depend upon the procedures of the depositary for those global securities.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231"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indenture provides holders of debt securities with remedies if we fail to perform specific obligations, such as making payments on the debt securities, or if we become bankrupt. Holders should review these provisions and understand which actions trigger an event of default and which actions do not. The indenture permits the issuance of debt securities in one or more series, and, in many cases, whether an event of default has occurred is determined on a series-by-series basis.</w:t>
      </w:r>
    </w:p>
    <w:p>
      <w:pPr>
        <w:spacing w:after="0" w:line="197" w:lineRule="exact"/>
        <w:rPr>
          <w:sz w:val="20"/>
          <w:szCs w:val="20"/>
          <w:color w:val="auto"/>
        </w:rPr>
      </w:pPr>
    </w:p>
    <w:p>
      <w:pPr>
        <w:ind w:right="120" w:firstLine="341"/>
        <w:spacing w:after="0" w:line="259" w:lineRule="auto"/>
        <w:rPr>
          <w:sz w:val="20"/>
          <w:szCs w:val="20"/>
          <w:color w:val="auto"/>
        </w:rPr>
      </w:pPr>
      <w:r>
        <w:rPr>
          <w:rFonts w:ascii="Arial" w:cs="Arial" w:eastAsia="Arial" w:hAnsi="Arial"/>
          <w:sz w:val="18"/>
          <w:szCs w:val="18"/>
          <w:color w:val="auto"/>
        </w:rPr>
        <w:t>An event of default is defined under the indenture, with respect to any series of debt securities issued under the indenture, as any one or more of the following events, subject to modification in a supplemental indenture, each of which we refer to in this prospectus as an event of default, having occurred and be continuing:</w:t>
      </w:r>
    </w:p>
    <w:p>
      <w:pPr>
        <w:spacing w:after="0" w:line="207"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default is made for more than 30 days in the payment of interest, premium or principal in respect of the securities;</w:t>
      </w:r>
    </w:p>
    <w:p>
      <w:pPr>
        <w:spacing w:after="0" w:line="252" w:lineRule="exact"/>
        <w:rPr>
          <w:rFonts w:ascii="Arial" w:cs="Arial" w:eastAsia="Arial" w:hAnsi="Arial"/>
          <w:sz w:val="18"/>
          <w:szCs w:val="18"/>
          <w:color w:val="auto"/>
        </w:rPr>
      </w:pPr>
    </w:p>
    <w:p>
      <w:pPr>
        <w:ind w:left="1080" w:right="44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fail to perform or observe any of our other obligations under the securities and this failure has continued for the period of 60 days next following the service on us of notice requiring the same to be remedied;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bankruptcy, insolvency or reorganization under any applicable bankruptcy, insolvency or insolvency related reorganization law;</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order is made or an effective resolution is passed for the winding up or liquidation of us; or</w:t>
      </w:r>
    </w:p>
    <w:p>
      <w:pPr>
        <w:spacing w:after="0" w:line="252"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other event of default provided in the supplemental indenture or resolution of the board of directors, if any, under which that series of debt securities is issued.</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Acceleration of Debt Securities Upon an Event of Default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indenture provides that, unless otherwise set forth in a supplemental indenture:</w:t>
      </w:r>
    </w:p>
    <w:p>
      <w:pPr>
        <w:spacing w:after="0" w:line="239" w:lineRule="exact"/>
        <w:rPr>
          <w:sz w:val="20"/>
          <w:szCs w:val="20"/>
          <w:color w:val="auto"/>
        </w:rPr>
      </w:pPr>
    </w:p>
    <w:p>
      <w:pPr>
        <w:ind w:left="1080" w:right="140" w:hanging="532"/>
        <w:spacing w:after="0" w:line="291" w:lineRule="auto"/>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if an event of default occurs due to the default in payment of principal of, or any premium or interest on, any series of debt securities issued under the indenture, or due to the default in the performance or breach of any other covenant or warranty of us applicable to that series of debt securities but not applicable to all outstanding debt securities issued under the indenture occurs and is continuing, either the trustee or the holders of not less than 25% in aggregate principal amount of the outstanding debt securities of each affected series, voting as one class, by notice in writing to us may declare the principal of and accrued interest on the debt securities of such affected series (but not any other debt securities issued under the indenture) to be due and payable immediately;</w:t>
      </w:r>
    </w:p>
    <w:p>
      <w:pPr>
        <w:spacing w:after="0" w:line="200" w:lineRule="exact"/>
        <w:rPr>
          <w:rFonts w:ascii="Arial" w:cs="Arial" w:eastAsia="Arial" w:hAnsi="Arial"/>
          <w:sz w:val="16"/>
          <w:szCs w:val="16"/>
          <w:color w:val="auto"/>
        </w:rPr>
      </w:pPr>
    </w:p>
    <w:p>
      <w:pPr>
        <w:ind w:left="1080" w:right="30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an event of default occurs due to specified events of bankruptcy, insolvency or reorganization of us, the principal of all debt securities and interest accrued on the debt securities to be due and payable immediately; and</w:t>
      </w:r>
    </w:p>
    <w:p>
      <w:pPr>
        <w:spacing w:after="0" w:line="199" w:lineRule="exact"/>
        <w:rPr>
          <w:rFonts w:ascii="Arial" w:cs="Arial" w:eastAsia="Arial" w:hAnsi="Arial"/>
          <w:sz w:val="18"/>
          <w:szCs w:val="18"/>
          <w:color w:val="auto"/>
        </w:rPr>
      </w:pPr>
    </w:p>
    <w:p>
      <w:pPr>
        <w:ind w:left="1080" w:right="160" w:hanging="532"/>
        <w:spacing w:after="0" w:line="294" w:lineRule="auto"/>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if an event of default due to a default in the performance of any other of the covenants or agreements in the indenture applicable to all outstanding debt securities issued under the indenture occurs and is continuing, either the trustee or the holders of not less than 25% in aggregate principal amount of all outstanding debt securities issued under the indenture for which any applicable supplemental indenture does not prevent acceleration under the relevant circumstances, voting as one class, by notice in writing to us may declare the principal of all debt securities and interest accrued on the debt securities to be due and payable immediately.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Annulment of Acceleration and Waiver of Defaults</w:t>
      </w:r>
    </w:p>
    <w:p>
      <w:pPr>
        <w:spacing w:after="0" w:line="231" w:lineRule="exact"/>
        <w:rPr>
          <w:sz w:val="20"/>
          <w:szCs w:val="20"/>
          <w:color w:val="auto"/>
        </w:rPr>
      </w:pPr>
    </w:p>
    <w:p>
      <w:pPr>
        <w:jc w:val="both"/>
        <w:ind w:right="140" w:firstLine="351"/>
        <w:spacing w:after="0" w:line="335" w:lineRule="auto"/>
        <w:rPr>
          <w:sz w:val="20"/>
          <w:szCs w:val="20"/>
          <w:color w:val="auto"/>
        </w:rPr>
      </w:pPr>
      <w:r>
        <w:rPr>
          <w:rFonts w:ascii="Arial" w:cs="Arial" w:eastAsia="Arial" w:hAnsi="Arial"/>
          <w:sz w:val="15"/>
          <w:szCs w:val="15"/>
          <w:color w:val="auto"/>
        </w:rPr>
        <w:t>In some circumstances, if any and all events of default under the indenture, other than the non-payment of the principal of the securities that has become due as a result of an acceleration, have been cured, waived or otherwise remedied, then the holders of a majority in aggregate principal amount of all series of outstanding debt securities affected, voting as one class, may annul past declarations of acceleration or waive past defaults of the debt securities.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of Trustee for Actions Taken on Your Behalf</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indenture provides that the trustee shall not be liable with respect to any action taken or omitted to be taken by it in good faith in accordance with the direction of the holders of debt securities issued under the indenture relating to the time, method and place of conducting any proceeding for any remedy available to the trustee, or exercising any trust or power conferred upon the trustee. In addition, the indenture contains a provision entitling the trustee, subject to the duty of the trustee to act with the required standard of care during a default, to be indemnified to its satisfaction by the holders of debt securities issued under the indenture before proceeding to exercise any right or power at the request of holders. Subject to these provisions and specified other limitations, the holders of a majority in aggregate principal amount of each series of outstanding debt securities of each affected series, voting as one class, may direct the time, method and place of conducting any proceeding for any remedy available to the trustee, or exercising any trust or power conferred on the trustee.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Actions by You as an Individual Holder</w:t>
      </w:r>
    </w:p>
    <w:p>
      <w:pPr>
        <w:spacing w:after="0" w:line="231"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indenture provides that no individual holder of debt securities may institute any action against us under the indenture, except actions for payment of overdue principal and interest, unless the following actions have occurred:</w:t>
      </w:r>
    </w:p>
    <w:p>
      <w:pPr>
        <w:spacing w:after="0" w:line="199" w:lineRule="exact"/>
        <w:rPr>
          <w:sz w:val="20"/>
          <w:szCs w:val="20"/>
          <w:color w:val="auto"/>
        </w:rPr>
      </w:pPr>
    </w:p>
    <w:p>
      <w:pPr>
        <w:ind w:left="5540" w:right="3660" w:hanging="4992"/>
        <w:spacing w:after="0" w:line="518" w:lineRule="auto"/>
        <w:tabs>
          <w:tab w:leader="none" w:pos="109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holder must have previously given written notice to the trustee of the continuing default;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36130"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8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holders of not less than 25% in aggregate principal amount of the outstanding debt securities of each affected series, treated as one class, must have:</w:t>
      </w:r>
    </w:p>
    <w:p>
      <w:pPr>
        <w:spacing w:after="0" w:line="200" w:lineRule="exact"/>
        <w:rPr>
          <w:rFonts w:ascii="Arial" w:cs="Arial" w:eastAsia="Arial" w:hAnsi="Arial"/>
          <w:sz w:val="18"/>
          <w:szCs w:val="18"/>
          <w:color w:val="auto"/>
        </w:rPr>
      </w:pPr>
    </w:p>
    <w:p>
      <w:pPr>
        <w:spacing w:after="0" w:line="228" w:lineRule="exact"/>
        <w:rPr>
          <w:rFonts w:ascii="Arial" w:cs="Arial" w:eastAsia="Arial" w:hAnsi="Arial"/>
          <w:sz w:val="18"/>
          <w:szCs w:val="18"/>
          <w:color w:val="auto"/>
        </w:rPr>
      </w:pPr>
    </w:p>
    <w:p>
      <w:pPr>
        <w:ind w:left="1620" w:hanging="532"/>
        <w:spacing w:after="0"/>
        <w:tabs>
          <w:tab w:leader="none" w:pos="16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requested the trustee to institute that action; and</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offered the trustee indemnity satisfactory to it;</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trustee must have failed to institute that action within 60 days after receipt of the request referred to above; and</w:t>
      </w:r>
    </w:p>
    <w:p>
      <w:pPr>
        <w:spacing w:after="0" w:line="252"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outstanding debt securities of each affected series, voting as one class, must not have given directions to the trustee inconsistent with those of the holders referred to above.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indenture contains a covenant that we will file annually with the trustee a certificate of no default or a certificate specifying any default that exists.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Discharge, Defeasance and Covenant Defeasance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the ability to eliminate most or all of our obligations on any series of debt securities prior to maturity if we comply with the following provisions:</w:t>
      </w:r>
    </w:p>
    <w:p>
      <w:pPr>
        <w:spacing w:after="0" w:line="248" w:lineRule="exact"/>
        <w:rPr>
          <w:sz w:val="20"/>
          <w:szCs w:val="20"/>
          <w:color w:val="auto"/>
        </w:rPr>
      </w:pPr>
    </w:p>
    <w:p>
      <w:pPr>
        <w:ind w:left="360"/>
        <w:spacing w:after="0"/>
        <w:tabs>
          <w:tab w:leader="none" w:pos="2260" w:val="left"/>
        </w:tabs>
        <w:rPr>
          <w:sz w:val="20"/>
          <w:szCs w:val="20"/>
          <w:color w:val="auto"/>
        </w:rPr>
      </w:pPr>
      <w:r>
        <w:rPr>
          <w:rFonts w:ascii="Arial" w:cs="Arial" w:eastAsia="Arial" w:hAnsi="Arial"/>
          <w:sz w:val="18"/>
          <w:szCs w:val="18"/>
          <w:b w:val="1"/>
          <w:bCs w:val="1"/>
          <w:i w:val="1"/>
          <w:iCs w:val="1"/>
          <w:color w:val="auto"/>
        </w:rPr>
        <w:t>Discharge of Indenture.</w:t>
      </w:r>
      <w:r>
        <w:rPr>
          <w:sz w:val="20"/>
          <w:szCs w:val="20"/>
          <w:color w:val="auto"/>
        </w:rPr>
        <w:tab/>
      </w:r>
      <w:r>
        <w:rPr>
          <w:rFonts w:ascii="Arial" w:cs="Arial" w:eastAsia="Arial" w:hAnsi="Arial"/>
          <w:sz w:val="15"/>
          <w:szCs w:val="15"/>
          <w:color w:val="auto"/>
        </w:rPr>
        <w:t>We may discharge all of our obligations, other than as to transfers and exchanges, under the indenture after we have:</w:t>
      </w:r>
    </w:p>
    <w:p>
      <w:pPr>
        <w:spacing w:after="0" w:line="239"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paid or caused to be paid the principal of and interest on all of the outstanding debt securities in accordance with their terms;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delivered to the trustee for cancellation all of the outstanding debt securities; or</w:t>
      </w:r>
    </w:p>
    <w:p>
      <w:pPr>
        <w:spacing w:after="0" w:line="252" w:lineRule="exact"/>
        <w:rPr>
          <w:rFonts w:ascii="Arial" w:cs="Arial" w:eastAsia="Arial" w:hAnsi="Arial"/>
          <w:sz w:val="18"/>
          <w:szCs w:val="18"/>
          <w:color w:val="auto"/>
        </w:rPr>
      </w:pPr>
    </w:p>
    <w:p>
      <w:pPr>
        <w:ind w:left="1080" w:right="20" w:hanging="532"/>
        <w:spacing w:after="0" w:line="314" w:lineRule="auto"/>
        <w:tabs>
          <w:tab w:leader="none" w:pos="10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irrevocably deposited with the trustee cash or, in the case of a series of debt securities payable only in U.S. dollars, U.S. government obligations in trust for the benefit of the holders of any series of debt securities issued under the indenture that have either become due and payable, or are by their terms due and payable, or are scheduled for redemption, within one year, in an amount certified to be sufficient to pay on each date that they become due and payable, the principal of and interest on, and any mandatory sinking fund payments for, those debt securities. However, the deposit of cash or U.S. government obligations for the benefit of holders of a series of debt securities that are due and payable, or are scheduled for redemption, within one year will discharge obligations under the indenture relating only to that series of debt securities.</w:t>
      </w:r>
    </w:p>
    <w:p>
      <w:pPr>
        <w:spacing w:after="0" w:line="158"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b w:val="1"/>
          <w:bCs w:val="1"/>
          <w:i w:val="1"/>
          <w:iCs w:val="1"/>
          <w:color w:val="auto"/>
        </w:rPr>
        <w:t xml:space="preserve">Defeasance of a Series of Securities at Any Time. </w:t>
      </w:r>
      <w:r>
        <w:rPr>
          <w:rFonts w:ascii="Arial" w:cs="Arial" w:eastAsia="Arial" w:hAnsi="Arial"/>
          <w:sz w:val="18"/>
          <w:szCs w:val="18"/>
          <w:color w:val="auto"/>
        </w:rPr>
        <w:t>We may also discharge all of our obligations, other than as to transfers and exchanges, under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series of debt securities at any time, which we refer to as defeasance in this prospectus. We may be released with respect to any outstanding series of debt securities from the obligations imposed by any covenants and elect not to comply with those covenants without creating an event of default. Discharge under those procedures is called covenant defeasance.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Defeasance or covenant defeasance may be effected only if, among other things:</w:t>
      </w:r>
    </w:p>
    <w:p>
      <w:pPr>
        <w:spacing w:after="0" w:line="239" w:lineRule="exact"/>
        <w:rPr>
          <w:sz w:val="20"/>
          <w:szCs w:val="20"/>
          <w:color w:val="auto"/>
        </w:rPr>
      </w:pPr>
    </w:p>
    <w:p>
      <w:pPr>
        <w:ind w:left="1080" w:right="100" w:hanging="532"/>
        <w:spacing w:after="0" w:line="306" w:lineRule="auto"/>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irrevocably deposit with the trustee cash or, in the case of debt securities payable only in U.S. dollars, U.S. government obligations, as trust funds in an amount certified to be sufficient to pay on each date that they become due and payable, the principal of and interest on, and any mandatory sinking fund payments for, all outstanding debt securities of the series being defeased; and</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deliver to the trustee an opinion of counsel to the effect that:</w:t>
      </w:r>
    </w:p>
    <w:p>
      <w:pPr>
        <w:spacing w:after="0" w:line="252"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holders of the series of debt securities being defeased will not recognize income, gain or loss for United States federal income tax purposes as a result of the defeasance or covenant defeasance;</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defeasance or covenant defeasance will not otherwise alter those holders' United States federal income tax treatment of principal and interest payments on the series of debt securities being defeased; and</w:t>
      </w:r>
    </w:p>
    <w:p>
      <w:pPr>
        <w:spacing w:after="0" w:line="199" w:lineRule="exact"/>
        <w:rPr>
          <w:rFonts w:ascii="Arial" w:cs="Arial" w:eastAsia="Arial" w:hAnsi="Arial"/>
          <w:sz w:val="18"/>
          <w:szCs w:val="18"/>
          <w:color w:val="auto"/>
        </w:rPr>
      </w:pPr>
    </w:p>
    <w:p>
      <w:pPr>
        <w:ind w:left="1080" w:right="120" w:hanging="532"/>
        <w:spacing w:after="0" w:line="331"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 the case of a defeasance, this opinion must be based on a ruling of the Internal Revenue Service or a change in United States federal income tax law occurring after the date of this prospectus, since that result would not occur under current tax law.</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the Indenture</w:t>
      </w:r>
    </w:p>
    <w:p>
      <w:pPr>
        <w:spacing w:after="0" w:line="231" w:lineRule="exact"/>
        <w:rPr>
          <w:sz w:val="20"/>
          <w:szCs w:val="20"/>
          <w:color w:val="auto"/>
        </w:rPr>
      </w:pPr>
    </w:p>
    <w:p>
      <w:pPr>
        <w:ind w:right="600" w:firstLine="351"/>
        <w:spacing w:after="0" w:line="268" w:lineRule="auto"/>
        <w:rPr>
          <w:sz w:val="20"/>
          <w:szCs w:val="20"/>
          <w:color w:val="auto"/>
        </w:rPr>
      </w:pPr>
      <w:r>
        <w:rPr>
          <w:rFonts w:ascii="Arial" w:cs="Arial" w:eastAsia="Arial" w:hAnsi="Arial"/>
          <w:sz w:val="18"/>
          <w:szCs w:val="18"/>
          <w:b w:val="1"/>
          <w:bCs w:val="1"/>
          <w:i w:val="1"/>
          <w:iCs w:val="1"/>
          <w:color w:val="auto"/>
        </w:rPr>
        <w:t xml:space="preserve">Modification without Consent of Holders. </w:t>
      </w:r>
      <w:r>
        <w:rPr>
          <w:rFonts w:ascii="Arial" w:cs="Arial" w:eastAsia="Arial" w:hAnsi="Arial"/>
          <w:sz w:val="18"/>
          <w:szCs w:val="18"/>
          <w:color w:val="auto"/>
        </w:rPr>
        <w:t>We and the trustee may enter into supplemental indentures without the consent of the holders of debt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issued under the indenture to:</w:t>
      </w:r>
    </w:p>
    <w:p>
      <w:pPr>
        <w:spacing w:after="0" w:line="213"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secure any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evidence the assumption by a successor corporation of our obligations;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 covenants for the protection of the holders of debt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cure any ambiguity or correct any inconsistency;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 the forms or terms of debt securities of any series;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evidence the acceptance of appointment by a successor trustee; or</w:t>
      </w:r>
    </w:p>
    <w:p>
      <w:pPr>
        <w:spacing w:after="0" w:line="252" w:lineRule="exact"/>
        <w:rPr>
          <w:rFonts w:ascii="Arial" w:cs="Arial" w:eastAsia="Arial" w:hAnsi="Arial"/>
          <w:sz w:val="18"/>
          <w:szCs w:val="18"/>
          <w:color w:val="auto"/>
        </w:rPr>
      </w:pPr>
    </w:p>
    <w:p>
      <w:pPr>
        <w:ind w:left="1080" w:right="260" w:hanging="532"/>
        <w:spacing w:after="0" w:line="259"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make such other provisions in regard to matters or questions arising under the indenture or under any supplemental indenture as the board of directors may deem necessary or desirable and which shall not adversely affect the rights of the holders of debt securities in any material respect.</w:t>
      </w:r>
    </w:p>
    <w:p>
      <w:pPr>
        <w:spacing w:after="0" w:line="194"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b w:val="1"/>
          <w:bCs w:val="1"/>
          <w:i w:val="1"/>
          <w:iCs w:val="1"/>
          <w:color w:val="auto"/>
        </w:rPr>
        <w:t xml:space="preserve">Modification with Consent of Holders. </w:t>
      </w:r>
      <w:r>
        <w:rPr>
          <w:rFonts w:ascii="Arial" w:cs="Arial" w:eastAsia="Arial" w:hAnsi="Arial"/>
          <w:sz w:val="16"/>
          <w:szCs w:val="16"/>
          <w:color w:val="auto"/>
        </w:rPr>
        <w:t>We and the trustee, with the consent of the holders of not less than a majority in aggregate principal amount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each affected series of outstanding debt securities, voting as one class, may add any provisions to, or change in any manner or eliminate any of the provisions of, the indenture or modify in any manner the rights of the holders of those debt securities. However, we and the trustee may not make any of the following changes to any outstanding debt security without the consent of each holder that would be affected by the change:</w:t>
      </w:r>
    </w:p>
    <w:p>
      <w:pPr>
        <w:spacing w:after="0" w:line="180"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extend the final maturity of the security;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 the principal amount;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 the rate or extend the time of payment of interest;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 any amount payable on redemption;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change the currency in which the principal, including any amount of original issue discount, premium, or interest on the security is payable;</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modify or amend the provisions for conversion of any currency into another currency;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 the amount of any original issue discount security payable upon acceleration or provable in bankruptcy;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line="331" w:lineRule="auto"/>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alter the terms on which holders of the debt securities may convert or exchange debt securities for Common Units or other securities, other than in accordance with the antidilution provisions or other similar adjustment provisions included in the terms of the debt securities;</w:t>
      </w:r>
    </w:p>
    <w:p>
      <w:pPr>
        <w:spacing w:after="0" w:line="167" w:lineRule="exact"/>
        <w:rPr>
          <w:rFonts w:ascii="Arial" w:cs="Arial" w:eastAsia="Arial" w:hAnsi="Arial"/>
          <w:sz w:val="16"/>
          <w:szCs w:val="16"/>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impair the right of any holder to institute suit for the enforcement of any payment on any debt security when due;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 the percentage of debt securities the consent of whose holders is required for modification of the indenture.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of Debt Security</w:t>
      </w:r>
    </w:p>
    <w:p>
      <w:pPr>
        <w:spacing w:after="0" w:line="231" w:lineRule="exact"/>
        <w:rPr>
          <w:sz w:val="20"/>
          <w:szCs w:val="20"/>
          <w:color w:val="auto"/>
        </w:rPr>
      </w:pPr>
    </w:p>
    <w:p>
      <w:pPr>
        <w:ind w:right="740" w:firstLine="351"/>
        <w:spacing w:after="0" w:line="331" w:lineRule="auto"/>
        <w:rPr>
          <w:sz w:val="20"/>
          <w:szCs w:val="20"/>
          <w:color w:val="auto"/>
        </w:rPr>
      </w:pPr>
      <w:r>
        <w:rPr>
          <w:rFonts w:ascii="Arial" w:cs="Arial" w:eastAsia="Arial" w:hAnsi="Arial"/>
          <w:sz w:val="16"/>
          <w:szCs w:val="16"/>
          <w:color w:val="auto"/>
        </w:rPr>
        <w:t>Each debt security will be represented either by a certificate issued in definitive form to a particular investor or by one or more global securities representing the entire issuance of securities. Both certificated securities in definitive form and global securities may be issued either:</w:t>
      </w:r>
    </w:p>
    <w:p>
      <w:pPr>
        <w:spacing w:after="0" w:line="154"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registered form, where our obligation runs to the holder of the security named on the face of the security;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bearer form, where our obligation runs to the bearer of the security.</w:t>
      </w:r>
    </w:p>
    <w:p>
      <w:pPr>
        <w:spacing w:after="0" w:line="225"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Definitive securities name you or your nominee as the owner of the security, other than definitive bearer securities, which name the bearer as owner, and in order to transfer or exchange these securities or to receive payments other than interest or other interim payments, you or your nominee must physically deliver the securities to the trustee, registrar, paying agent or other agent, as applicable.</w:t>
      </w:r>
    </w:p>
    <w:p>
      <w:pPr>
        <w:spacing w:after="0" w:line="194" w:lineRule="exact"/>
        <w:rPr>
          <w:sz w:val="20"/>
          <w:szCs w:val="20"/>
          <w:color w:val="auto"/>
        </w:rPr>
      </w:pPr>
    </w:p>
    <w:p>
      <w:pPr>
        <w:ind w:right="200" w:firstLine="351"/>
        <w:spacing w:after="0" w:line="335" w:lineRule="auto"/>
        <w:rPr>
          <w:sz w:val="20"/>
          <w:szCs w:val="20"/>
          <w:color w:val="auto"/>
        </w:rPr>
      </w:pPr>
      <w:r>
        <w:rPr>
          <w:rFonts w:ascii="Arial" w:cs="Arial" w:eastAsia="Arial" w:hAnsi="Arial"/>
          <w:sz w:val="15"/>
          <w:szCs w:val="15"/>
          <w:color w:val="auto"/>
        </w:rPr>
        <w:t>Global securities name a depositary or its nominee as the owner of the debt securities represented by these global securities, other than global bearer securities, which name the bearer as owner.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231"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b w:val="1"/>
          <w:bCs w:val="1"/>
          <w:i w:val="1"/>
          <w:iCs w:val="1"/>
          <w:color w:val="auto"/>
        </w:rPr>
        <w:t xml:space="preserve">Registered Global Securities. </w:t>
      </w:r>
      <w:r>
        <w:rPr>
          <w:rFonts w:ascii="Arial" w:cs="Arial" w:eastAsia="Arial" w:hAnsi="Arial"/>
          <w:sz w:val="16"/>
          <w:szCs w:val="16"/>
          <w:color w:val="auto"/>
        </w:rPr>
        <w:t>We may issue the debt securities in the form of one or more fully registered global securities that will be deposited with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 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178"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selling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respect to interests of participants, and on the records of participants, with respect to interests of persons holding through participants. The laws of some jurisdictions may require that some purchasers of securities take physical delivery of these securities in definitive form. These laws may impair your ability to own, transfer or pledge beneficial interests in registered global securities. 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indenture.</w:t>
      </w:r>
    </w:p>
    <w:p>
      <w:pPr>
        <w:spacing w:after="0" w:line="20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indenture.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indenture. We understand that under existing industry practices, if we request any action of holders or if an owner of a beneficial interest in a registered global security desires to give or take any action that a holder is entitled to give or take under the indenture,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73" w:lineRule="exact"/>
        <w:rPr>
          <w:sz w:val="20"/>
          <w:szCs w:val="20"/>
          <w:color w:val="auto"/>
        </w:rPr>
      </w:pPr>
    </w:p>
    <w:p>
      <w:pPr>
        <w:ind w:right="60" w:firstLine="351"/>
        <w:spacing w:after="0" w:line="287" w:lineRule="auto"/>
        <w:rPr>
          <w:sz w:val="20"/>
          <w:szCs w:val="20"/>
          <w:color w:val="auto"/>
        </w:rPr>
      </w:pPr>
      <w:r>
        <w:rPr>
          <w:rFonts w:ascii="Arial" w:cs="Arial" w:eastAsia="Arial" w:hAnsi="Arial"/>
          <w:sz w:val="16"/>
          <w:szCs w:val="16"/>
          <w:color w:val="auto"/>
        </w:rPr>
        <w:t>Principal, premium, if any, and interest payments on debt securities represented by a registered global security registered in the name of a depositary or its nominee will be made to the depositary or its nominee, as the case may be, as the registered owner of the registered global security. None of us, the trustee or any other agent of us or agent of the trustee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 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spacing w:after="0" w:line="176"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In addition, we may, at any time and in our sole discretion, decide not to have any of the securities represented by one or more registered global securities. If we make that decision, we will issue securities in definitive form in exchange for all of the registered global security or securities representing those securities. Any securities issued in definitive form in exchange for a registered global security will be registered in the name or names that the depositary gives to the relevant trustee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0" w:firstLine="351"/>
        <w:spacing w:after="0" w:line="298" w:lineRule="auto"/>
        <w:rPr>
          <w:sz w:val="20"/>
          <w:szCs w:val="20"/>
          <w:color w:val="auto"/>
        </w:rPr>
      </w:pPr>
      <w:r>
        <w:rPr>
          <w:rFonts w:ascii="Arial" w:cs="Arial" w:eastAsia="Arial" w:hAnsi="Arial"/>
          <w:sz w:val="16"/>
          <w:szCs w:val="16"/>
          <w:b w:val="1"/>
          <w:bCs w:val="1"/>
          <w:i w:val="1"/>
          <w:iCs w:val="1"/>
          <w:color w:val="auto"/>
        </w:rPr>
        <w:t xml:space="preserve">Bearer Global Securities. </w:t>
      </w:r>
      <w:r>
        <w:rPr>
          <w:rFonts w:ascii="Arial" w:cs="Arial" w:eastAsia="Arial" w:hAnsi="Arial"/>
          <w:sz w:val="16"/>
          <w:szCs w:val="16"/>
          <w:color w:val="auto"/>
        </w:rPr>
        <w:t>The securities may also be issued in the form of one or more bearer global securities that will be deposited with a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depositary for the Euroclear System and Clearstream Banking, </w:t>
      </w:r>
      <w:r>
        <w:rPr>
          <w:rFonts w:ascii="Arial" w:cs="Arial" w:eastAsia="Arial" w:hAnsi="Arial"/>
          <w:sz w:val="16"/>
          <w:szCs w:val="16"/>
          <w:i w:val="1"/>
          <w:iCs w:val="1"/>
          <w:color w:val="auto"/>
        </w:rPr>
        <w:t>société anonyme</w:t>
      </w:r>
      <w:r>
        <w:rPr>
          <w:rFonts w:ascii="Arial" w:cs="Arial" w:eastAsia="Arial" w:hAnsi="Arial"/>
          <w:sz w:val="16"/>
          <w:szCs w:val="16"/>
          <w:color w:val="auto"/>
        </w:rPr>
        <w:t xml:space="preserve"> or with a nominee for the depositary identified in the prospectus supplement relating to those securities. The specific terms and procedures, including the specific terms of the depositary arrangement, with respect to any securities to be represented by a bearer global security will be described in the prospectus supplement relating to those securities.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York Law to Govern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indenture and the debt securities will be governed by the laws of the State of New York.</w:t>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WARRANTS</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may issue Warrants to purchase our equity securities or securities of third parties or other rights, including rights to receive payment in cash or securities based on the value, rate or price of one or more specified commodities, currencies, securities or indices, or any combination of the foregoing. Warrants may be issued independently or together with any other securities and may be attached to, or separate from, such securities. A series of Warrants may be issued under a separate warrant agreement to be entered into between us and a warrant agent. The terms of any Warrants to be issued and a description of the material provisions of any applicable warrant agreement will be set forth in the applicable prospectus supplement.</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applicable prospectus supplement will describe the following terms of any warrants in respect of which this prospectus is being delivered:</w:t>
      </w:r>
    </w:p>
    <w:p>
      <w:pPr>
        <w:spacing w:after="0" w:line="262"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currency or currencies, in which the price of such Warrants will be payable;</w:t>
      </w:r>
    </w:p>
    <w:p>
      <w:pPr>
        <w:spacing w:after="0" w:line="252" w:lineRule="exact"/>
        <w:rPr>
          <w:rFonts w:ascii="Arial" w:cs="Arial" w:eastAsia="Arial" w:hAnsi="Arial"/>
          <w:sz w:val="18"/>
          <w:szCs w:val="18"/>
          <w:color w:val="auto"/>
        </w:rPr>
      </w:pPr>
    </w:p>
    <w:p>
      <w:pPr>
        <w:ind w:left="1080" w:right="140" w:hanging="532"/>
        <w:spacing w:after="0" w:line="331" w:lineRule="auto"/>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securities or other rights, including rights to receive payment in cash or securities based on the value, rate or price of one or more specified commodities, currencies, securities or indices, or any combination of the foregoing, purchasable upon exercise of such Warrants;</w:t>
      </w:r>
    </w:p>
    <w:p>
      <w:pPr>
        <w:spacing w:after="0" w:line="154" w:lineRule="exact"/>
        <w:rPr>
          <w:rFonts w:ascii="Arial" w:cs="Arial" w:eastAsia="Arial" w:hAnsi="Arial"/>
          <w:sz w:val="16"/>
          <w:szCs w:val="16"/>
          <w:color w:val="auto"/>
        </w:rPr>
      </w:pPr>
    </w:p>
    <w:p>
      <w:pPr>
        <w:ind w:left="1080" w:right="36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price at which and the currency or currencies, in which the securities or other rights purchasable upon exercise of such Warrants may be purchased;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shall commence and the date on which such right shall expire;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amount of Warrants outstanding;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238"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such Warrants are issued and the number of such Warrants issued with each such security;</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applicable, a discussion of any material United States Federal income tax considerations;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any other terms of such Warrants, including terms, procedures and limitations relating to the exchange and exercise of such warrants.</w:t>
      </w:r>
    </w:p>
    <w:p>
      <w:pPr>
        <w:spacing w:after="0" w:line="248"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description in the applicable prospectus supplement of any Warrants we offer will not necessarily be complete and will be qualified in its entirety by reference to the applicable warrant certificate or warrant agreement, which will be filed with the SEC if we offer Warrants. For more information on how you can obtain copies of any warrant certificate or warrant agreement if we offer Warrants, see "Where You Can Find Additional Information" beginning on page 9 of this prospectus. We urge you to read the applicable warrant certificate, the applicable warrant agreement and any applicable prospectus supplement in their entirety.</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RIGHTS</w:t>
      </w:r>
    </w:p>
    <w:p>
      <w:pPr>
        <w:spacing w:after="0" w:line="231"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We may issue Rights to purchase our equity securities. These Rights may be issued independently or together with any other security offered by this prospectus and may or may not be transferable by the shareholder receiving the Rights in the rights offering. In connection with any Rights offering, we may enter into a standby underwriting agreement with one or more underwriters pursuant to which the underwriter will purchase any securities that remain unsubscribed for upon completion of the rights offering.</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applicable prospectus supplement relating to any rights will describe the terms of the offered rights, including, where applicable, the following:</w:t>
      </w:r>
    </w:p>
    <w:p>
      <w:pPr>
        <w:spacing w:after="0" w:line="275"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exercise price for the Rights;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number of Rights issued to each shareholder;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extent to which the Rights are transferable;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other terms of the Rights, including terms, procedures and limitations relating to the exchange and exercise of the Rights;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date on which the Right to exercise the Rights will commence and the date on which the Right will expire;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amount of Rights outstanding;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extent to which the Rights include an over-subscription privilege with respect to unsubscribed securities;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material terms of any standby underwriting arrangement entered into by us in connection with the Rights offering.</w:t>
      </w:r>
    </w:p>
    <w:p>
      <w:pPr>
        <w:spacing w:after="0" w:line="225" w:lineRule="exact"/>
        <w:rPr>
          <w:sz w:val="20"/>
          <w:szCs w:val="20"/>
          <w:color w:val="auto"/>
        </w:rPr>
      </w:pPr>
    </w:p>
    <w:p>
      <w:pPr>
        <w:jc w:val="both"/>
        <w:ind w:right="240" w:firstLine="348"/>
        <w:spacing w:after="0" w:line="323" w:lineRule="auto"/>
        <w:rPr>
          <w:sz w:val="20"/>
          <w:szCs w:val="20"/>
          <w:color w:val="auto"/>
        </w:rPr>
      </w:pPr>
      <w:r>
        <w:rPr>
          <w:rFonts w:ascii="Arial" w:cs="Arial" w:eastAsia="Arial" w:hAnsi="Arial"/>
          <w:sz w:val="15"/>
          <w:szCs w:val="15"/>
          <w:color w:val="auto"/>
        </w:rPr>
        <w:t>The description in the applicable prospectus supplement of any Rights we offer will not necessarily be complete and will be qualified in its entirety by reference to the applicable rights certificate or rights agreement, which will be filed with the SEC if we offer rights. For more information on how you can obtain copies of any rights certificate or rights agreement if we offer Rights, see "Where You Can Find Additional Information" beginning on page 9 of this prospectus. We urge you to read the applicable rights certificate, the applicable rights agreement and any applicable prospectus supplement in their entirety.</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COMBINATION UNITS</w:t>
      </w:r>
    </w:p>
    <w:p>
      <w:pPr>
        <w:spacing w:after="0" w:line="231" w:lineRule="exact"/>
        <w:rPr>
          <w:sz w:val="20"/>
          <w:szCs w:val="20"/>
          <w:color w:val="auto"/>
        </w:rPr>
      </w:pPr>
    </w:p>
    <w:p>
      <w:pPr>
        <w:jc w:val="both"/>
        <w:ind w:right="160" w:firstLine="348"/>
        <w:spacing w:after="0" w:line="259" w:lineRule="auto"/>
        <w:rPr>
          <w:sz w:val="20"/>
          <w:szCs w:val="20"/>
          <w:color w:val="auto"/>
        </w:rPr>
      </w:pPr>
      <w:r>
        <w:rPr>
          <w:rFonts w:ascii="Arial" w:cs="Arial" w:eastAsia="Arial" w:hAnsi="Arial"/>
          <w:sz w:val="18"/>
          <w:szCs w:val="18"/>
          <w:color w:val="auto"/>
        </w:rPr>
        <w:t>We may issue Combination Units consisting of any combination of Common Units, Preference Units, Other Units, debt securities, Warrants and Rights. Each Combination Unit will be issued so that the holder of the Combination Unit is also the holder of each security included in the Combination Unit. Thus, the holder of a Combination Unit will have the rights and obligations of a holder of each</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included security. The unit agreement under which a Combination Unit is issued may provide that the securities included in the unit may not be held or transferred separately, at any time, or at any time before a specified date.</w:t>
      </w:r>
    </w:p>
    <w:p>
      <w:pPr>
        <w:spacing w:after="0" w:line="186"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The applicable prospectus supplement relating to any series of units will describe the terms of the Combination Units, including, where applicable, the following:</w:t>
      </w:r>
    </w:p>
    <w:p>
      <w:pPr>
        <w:spacing w:after="0" w:line="199" w:lineRule="exact"/>
        <w:rPr>
          <w:sz w:val="20"/>
          <w:szCs w:val="20"/>
          <w:color w:val="auto"/>
        </w:rPr>
      </w:pPr>
    </w:p>
    <w:p>
      <w:pPr>
        <w:ind w:left="1080" w:right="4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designation and terms of the Combination Units and of the securities comprising the Combination Units, including whether and under what circumstances those securities may be held or transferred separately;</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provisions of the governing unit agreement; and</w:t>
      </w:r>
    </w:p>
    <w:p>
      <w:pPr>
        <w:spacing w:after="0" w:line="238" w:lineRule="exact"/>
        <w:rPr>
          <w:rFonts w:ascii="Arial" w:cs="Arial" w:eastAsia="Arial" w:hAnsi="Arial"/>
          <w:sz w:val="18"/>
          <w:szCs w:val="18"/>
          <w:color w:val="auto"/>
        </w:rPr>
      </w:pPr>
    </w:p>
    <w:p>
      <w:pPr>
        <w:ind w:left="1080" w:right="58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provisions for the issuance, payment, settlement, transfer, or exchange of the Combination Units or of the securities comprising the Combination Units.</w:t>
      </w:r>
    </w:p>
    <w:p>
      <w:pPr>
        <w:spacing w:after="0" w:line="186"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description in the applicable prospectus supplement of any Combination Units we offer will not necessarily be complete and will be qualified in its entirety by reference to the applicable unit certificate or unit agreement, which will be filed with the SEC if we offer Combination Units. For more information on how you can obtain copies of any unit certificate or unit agreement if we offer Combination Units, see "Where You Can Find Additional Information" beginning on page 9 of this prospectus. We urge you to read the applicable unit certificate, the applicable unit agreement and any applicable prospectus supplement in their entirety.</w:t>
      </w: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OUR PARTNERSHIP AGREEMENT</w:t>
      </w:r>
    </w:p>
    <w:p>
      <w:pPr>
        <w:spacing w:after="0" w:line="231" w:lineRule="exact"/>
        <w:rPr>
          <w:sz w:val="20"/>
          <w:szCs w:val="20"/>
          <w:color w:val="auto"/>
        </w:rPr>
      </w:pPr>
    </w:p>
    <w:p>
      <w:pPr>
        <w:ind w:right="80" w:firstLine="348"/>
        <w:spacing w:after="0" w:line="254" w:lineRule="auto"/>
        <w:rPr>
          <w:sz w:val="20"/>
          <w:szCs w:val="20"/>
          <w:color w:val="auto"/>
        </w:rPr>
      </w:pPr>
      <w:r>
        <w:rPr>
          <w:rFonts w:ascii="Arial" w:cs="Arial" w:eastAsia="Arial" w:hAnsi="Arial"/>
          <w:sz w:val="18"/>
          <w:szCs w:val="18"/>
          <w:color w:val="auto"/>
        </w:rPr>
        <w:t>The following is a summary of the material provisions of our partnership agreement, which is qualified in its entirety by the terms and conditions of the partnership agreement, which is incorporated herein by reference. This summary should be read together with any subsequent amendments of the partnership agreement or reports filed for the purpose of updating the description of the important provisions of our partnership agreement and the rights and privileges of our unitholders. We will provide prospective investors with a copy of the partnership agreement upon written request at no charge. Please read "Where You Can Find More Information."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Duration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were organized on January 23, 2014 and have perpetual existence.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231"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Our purpose under the partnership agreement is to engage in any business activities that may lawfully be engaged in by a limited partnership pursuant to the Marshall Islands Act.</w:t>
      </w:r>
    </w:p>
    <w:p>
      <w:pPr>
        <w:spacing w:after="0" w:line="186" w:lineRule="exact"/>
        <w:rPr>
          <w:sz w:val="20"/>
          <w:szCs w:val="20"/>
          <w:color w:val="auto"/>
        </w:rPr>
      </w:pPr>
    </w:p>
    <w:p>
      <w:pPr>
        <w:ind w:right="240" w:firstLine="341"/>
        <w:spacing w:after="0" w:line="298" w:lineRule="auto"/>
        <w:rPr>
          <w:sz w:val="20"/>
          <w:szCs w:val="20"/>
          <w:color w:val="auto"/>
        </w:rPr>
      </w:pPr>
      <w:r>
        <w:rPr>
          <w:rFonts w:ascii="Arial" w:cs="Arial" w:eastAsia="Arial" w:hAnsi="Arial"/>
          <w:sz w:val="16"/>
          <w:szCs w:val="16"/>
          <w:color w:val="auto"/>
        </w:rPr>
        <w:t>Although our board of directors has the ability to cause us or our subsidiaries to engage in activities other than the provision of marine transportation services, it has no current plans to do so and may decline to do so free of any fiduciary duty or obligation whatsoever to us or the limited partners, including any duty to act in good faith or in the best interests of us or the limited partners. Our general partner has delegated to our board of directors the authority to oversee and direct our operations, management and policies on an exclusive basis.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Distributions</w:t>
      </w:r>
    </w:p>
    <w:p>
      <w:pPr>
        <w:spacing w:after="0" w:line="231"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Our partnership agreement specifies the manner in which we will make cash distributions to holders of our Common Units and other partnership interests, including to the holders of Preference Units, as well as to our general partner in respect of its general partner interest. Please see "Our Cash Distribution Policy and Restrictions on Distributions" on page 43 of this prospectus for further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Contributions</w:t>
      </w:r>
    </w:p>
    <w:p>
      <w:pPr>
        <w:spacing w:after="0" w:line="231" w:lineRule="exact"/>
        <w:rPr>
          <w:sz w:val="20"/>
          <w:szCs w:val="20"/>
          <w:color w:val="auto"/>
        </w:rPr>
      </w:pPr>
    </w:p>
    <w:p>
      <w:pPr>
        <w:jc w:val="both"/>
        <w:ind w:right="20" w:firstLine="351"/>
        <w:spacing w:after="0" w:line="268" w:lineRule="auto"/>
        <w:rPr>
          <w:sz w:val="20"/>
          <w:szCs w:val="20"/>
          <w:color w:val="auto"/>
        </w:rPr>
      </w:pPr>
      <w:r>
        <w:rPr>
          <w:rFonts w:ascii="Arial" w:cs="Arial" w:eastAsia="Arial" w:hAnsi="Arial"/>
          <w:sz w:val="18"/>
          <w:szCs w:val="18"/>
          <w:color w:val="auto"/>
        </w:rPr>
        <w:t>No holder of Common Units, Class B Units or Preference Units is obligated to make additional capital contributions, except as described below under "— Limited Liability".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31" w:lineRule="exact"/>
        <w:rPr>
          <w:sz w:val="20"/>
          <w:szCs w:val="20"/>
          <w:color w:val="auto"/>
        </w:rPr>
      </w:pPr>
    </w:p>
    <w:p>
      <w:pPr>
        <w:ind w:right="200" w:firstLine="348"/>
        <w:spacing w:after="0" w:line="298" w:lineRule="auto"/>
        <w:rPr>
          <w:sz w:val="20"/>
          <w:szCs w:val="20"/>
          <w:color w:val="auto"/>
        </w:rPr>
      </w:pPr>
      <w:r>
        <w:rPr>
          <w:rFonts w:ascii="Arial" w:cs="Arial" w:eastAsia="Arial" w:hAnsi="Arial"/>
          <w:sz w:val="16"/>
          <w:szCs w:val="16"/>
          <w:color w:val="auto"/>
        </w:rPr>
        <w:t>The following is a summary of the unitholder vote required for approval of the matters specified below. Matters that require the approval of a "Unit Majority" require the approval of a majority of the Common Units voting as a single class (excluding Class B Units prior to their conversion into Common Units). In voting their Common Units, our general partner and its affiliates will have no fiduciary duty or obligation whatsoever to us or the limited partners, including any duty to act in good faith or in the best interests of us or the limited partners.</w:t>
      </w:r>
    </w:p>
    <w:p>
      <w:pPr>
        <w:spacing w:after="0" w:line="166"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Each outstanding Common Unit is entitled to one vote on matters subject to a vote of the holders of Common Units ("Common Unitholders"). However, to preserve our ability to claim an exemption from U.S. federal income tax under Section 883 of the Code, if at any time any person or group owns beneficially more than 4.9% of any class or series of units then outstanding, any units beneficially owned by that person or group in excess of 4.9% may not be voted on any matter and will not be considered to be outstanding when sending notices of a meeting of limited partners, calculating required votes (except for purposes of nominating a person for election to our board of directors),</w:t>
      </w: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determining the presence of a quorum or for other similar purposes under our partnership agreement, unless otherwise required by law. Effectively, this means that the voting rights of any such unitholders in excess of 4.9% will be redistributed pro rata among the other unitholders holding less than 4.9% of the voting power of all classes of units entitled to vote. Our general partner, its affiliates and persons who acquired Common Units with the prior approval of our board of directors will not be subject to this 4.9% limitation except with respect to voting their Common Units in the election of the elected directors. This loss of voting rights does not apply to the Preference Units.</w:t>
      </w:r>
    </w:p>
    <w:p>
      <w:pPr>
        <w:spacing w:after="0" w:line="201"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Holders of Class B Units and Preference Units generally have no voting rights. However, the consent of the holders of at least two-thirds of the outstanding Series A Preference Units, Series B Preference Units or Series C Preference Units (as applicable), voting as a separate class, is required prior to any amendment to the partnership agreement that would have a material adverse effect on the existing terms of the Series A Preference Units, Series B Preference Units or Series C Preference Units, as applicable. In addition, unless we receive the affirmative vote or consent of the holders of at least two-thirds of the outstanding Preference Units, voting as a class together with holders of any other Parity Securities, we may not (i) issue any Parity Securities if the cumulative distributions on Preference Units are in arrears or (ii) create or issue any Senior Securities (as defined in the partnership agreement). Distributions payable on the Preference Units will be considered to be in arrears for any quarterly period for which full cumulative distributions through the most recent distribution payment date have not been paid on all outstanding Preference Units. In addition, in certain limited instances, the holders of Preference Units will be entitled to elect one director to our board of directors, at which point our general partner would similarly be entitled, at its election, to appoint one additional director to serve for only as long a period of time as the director elected by the holders of Preference Units.</w:t>
      </w:r>
    </w:p>
    <w:p>
      <w:pPr>
        <w:spacing w:after="0" w:line="176" w:lineRule="exact"/>
        <w:rPr>
          <w:sz w:val="20"/>
          <w:szCs w:val="20"/>
          <w:color w:val="auto"/>
        </w:rPr>
      </w:pPr>
    </w:p>
    <w:p>
      <w:pPr>
        <w:ind w:right="140" w:firstLine="348"/>
        <w:spacing w:after="0" w:line="254" w:lineRule="auto"/>
        <w:rPr>
          <w:sz w:val="20"/>
          <w:szCs w:val="20"/>
          <w:color w:val="auto"/>
        </w:rPr>
      </w:pPr>
      <w:r>
        <w:rPr>
          <w:rFonts w:ascii="Arial" w:cs="Arial" w:eastAsia="Arial" w:hAnsi="Arial"/>
          <w:sz w:val="18"/>
          <w:szCs w:val="18"/>
          <w:color w:val="auto"/>
        </w:rPr>
        <w:t>We hold a meeting of the limited partners every year to elect one or more members of our board of directors and to vote on any other matters that are properly brought before the meeting. Our general partner has appointed three of our five directors and the Common Unitholders elected the remaining two directors. Four of our directors meet the independence standards of the NYSE, two of which also qualify as independent of GasLog under our partnership agreement, so as to be eligible for membership on our conflicts committee. If our general partner exercises its right to transfer the power to elect a majority of our directors to the Common Unitholders, an additional director will thereafter be elected by our Common Unitholders. Our general partner may exercise this right in order to permit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us to claim, or continue to claim, an exemption from U.S. federal income tax under Section 883 of the U.S. Internal Revenue Code of 1986, as amended, or the "Code".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88"/>
              </w:rPr>
              <w:t>Action</w:t>
            </w:r>
          </w:p>
        </w:tc>
        <w:tc>
          <w:tcPr>
            <w:tcW w:w="980" w:type="dxa"/>
            <w:vAlign w:val="bottom"/>
          </w:tcPr>
          <w:p>
            <w:pPr>
              <w:spacing w:after="0"/>
              <w:rPr>
                <w:sz w:val="14"/>
                <w:szCs w:val="14"/>
                <w:color w:val="auto"/>
              </w:rPr>
            </w:pPr>
          </w:p>
        </w:tc>
        <w:tc>
          <w:tcPr>
            <w:tcW w:w="7600" w:type="dxa"/>
            <w:vAlign w:val="bottom"/>
            <w:tcBorders>
              <w:bottom w:val="single" w:sz="8" w:color="auto"/>
            </w:tcBorders>
          </w:tcPr>
          <w:p>
            <w:pPr>
              <w:ind w:left="2380"/>
              <w:spacing w:after="0"/>
              <w:rPr>
                <w:sz w:val="20"/>
                <w:szCs w:val="20"/>
                <w:color w:val="auto"/>
              </w:rPr>
            </w:pPr>
            <w:r>
              <w:rPr>
                <w:rFonts w:ascii="Arial" w:cs="Arial" w:eastAsia="Arial" w:hAnsi="Arial"/>
                <w:sz w:val="13"/>
                <w:szCs w:val="13"/>
                <w:b w:val="1"/>
                <w:bCs w:val="1"/>
                <w:color w:val="auto"/>
              </w:rPr>
              <w:t>Unitholder Approval Required and Voting Rights</w:t>
            </w:r>
          </w:p>
        </w:tc>
        <w:tc>
          <w:tcPr>
            <w:tcW w:w="1140" w:type="dxa"/>
            <w:vAlign w:val="bottom"/>
          </w:tcPr>
          <w:p>
            <w:pPr>
              <w:spacing w:after="0"/>
              <w:rPr>
                <w:sz w:val="14"/>
                <w:szCs w:val="14"/>
                <w:color w:val="auto"/>
              </w:rPr>
            </w:pPr>
          </w:p>
        </w:tc>
      </w:tr>
      <w:tr>
        <w:trPr>
          <w:trHeight w:val="201"/>
        </w:trPr>
        <w:tc>
          <w:tcPr>
            <w:tcW w:w="1120" w:type="dxa"/>
            <w:vAlign w:val="bottom"/>
          </w:tcPr>
          <w:p>
            <w:pPr>
              <w:spacing w:after="0"/>
              <w:rPr>
                <w:sz w:val="17"/>
                <w:szCs w:val="17"/>
                <w:color w:val="auto"/>
              </w:rPr>
            </w:pPr>
          </w:p>
        </w:tc>
        <w:tc>
          <w:tcPr>
            <w:tcW w:w="138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Issuance of</w:t>
            </w:r>
          </w:p>
        </w:tc>
        <w:tc>
          <w:tcPr>
            <w:tcW w:w="7600" w:type="dxa"/>
            <w:vAlign w:val="bottom"/>
          </w:tcPr>
          <w:p>
            <w:pPr>
              <w:ind w:left="20"/>
              <w:spacing w:after="0" w:line="201" w:lineRule="exact"/>
              <w:rPr>
                <w:sz w:val="20"/>
                <w:szCs w:val="20"/>
                <w:color w:val="auto"/>
              </w:rPr>
            </w:pPr>
            <w:r>
              <w:rPr>
                <w:rFonts w:ascii="Arial" w:cs="Arial" w:eastAsia="Arial" w:hAnsi="Arial"/>
                <w:sz w:val="18"/>
                <w:szCs w:val="18"/>
                <w:color w:val="auto"/>
                <w:w w:val="94"/>
              </w:rPr>
              <w:t>No approval rights; general partner approval required for all issuances not reasonably expected to be</w:t>
            </w:r>
          </w:p>
        </w:tc>
        <w:tc>
          <w:tcPr>
            <w:tcW w:w="1140" w:type="dxa"/>
            <w:vAlign w:val="bottom"/>
          </w:tcPr>
          <w:p>
            <w:pPr>
              <w:spacing w:after="0"/>
              <w:rPr>
                <w:sz w:val="17"/>
                <w:szCs w:val="17"/>
                <w:color w:val="auto"/>
              </w:rPr>
            </w:pPr>
          </w:p>
        </w:tc>
      </w:tr>
      <w:tr>
        <w:trPr>
          <w:trHeight w:val="216"/>
        </w:trPr>
        <w:tc>
          <w:tcPr>
            <w:tcW w:w="1120" w:type="dxa"/>
            <w:vAlign w:val="bottom"/>
          </w:tcPr>
          <w:p>
            <w:pPr>
              <w:spacing w:after="0"/>
              <w:rPr>
                <w:sz w:val="18"/>
                <w:szCs w:val="18"/>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color w:val="auto"/>
              </w:rPr>
              <w:t>additional</w:t>
            </w:r>
          </w:p>
        </w:tc>
        <w:tc>
          <w:tcPr>
            <w:tcW w:w="8740" w:type="dxa"/>
            <w:vAlign w:val="bottom"/>
            <w:gridSpan w:val="2"/>
          </w:tcPr>
          <w:p>
            <w:pPr>
              <w:ind w:left="20"/>
              <w:spacing w:after="0"/>
              <w:rPr>
                <w:sz w:val="20"/>
                <w:szCs w:val="20"/>
                <w:color w:val="auto"/>
              </w:rPr>
            </w:pPr>
            <w:r>
              <w:rPr>
                <w:rFonts w:ascii="Arial" w:cs="Arial" w:eastAsia="Arial" w:hAnsi="Arial"/>
                <w:sz w:val="18"/>
                <w:szCs w:val="18"/>
                <w:color w:val="auto"/>
              </w:rPr>
              <w:t>accretive within twelve months of issuance or which would otherwise have a material adverse impact on the</w:t>
            </w:r>
          </w:p>
        </w:tc>
      </w:tr>
      <w:tr>
        <w:trPr>
          <w:trHeight w:val="216"/>
        </w:trPr>
        <w:tc>
          <w:tcPr>
            <w:tcW w:w="1120" w:type="dxa"/>
            <w:vAlign w:val="bottom"/>
          </w:tcPr>
          <w:p>
            <w:pPr>
              <w:spacing w:after="0"/>
              <w:rPr>
                <w:sz w:val="18"/>
                <w:szCs w:val="18"/>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color w:val="auto"/>
              </w:rPr>
              <w:t>Common</w:t>
            </w:r>
          </w:p>
        </w:tc>
        <w:tc>
          <w:tcPr>
            <w:tcW w:w="8740" w:type="dxa"/>
            <w:vAlign w:val="bottom"/>
            <w:gridSpan w:val="2"/>
          </w:tcPr>
          <w:p>
            <w:pPr>
              <w:ind w:left="20"/>
              <w:spacing w:after="0"/>
              <w:rPr>
                <w:sz w:val="20"/>
                <w:szCs w:val="20"/>
                <w:color w:val="auto"/>
              </w:rPr>
            </w:pPr>
            <w:r>
              <w:rPr>
                <w:rFonts w:ascii="Arial" w:cs="Arial" w:eastAsia="Arial" w:hAnsi="Arial"/>
                <w:sz w:val="18"/>
                <w:szCs w:val="18"/>
                <w:color w:val="auto"/>
              </w:rPr>
              <w:t>general partner or its interest in our partnership.</w:t>
            </w:r>
          </w:p>
        </w:tc>
      </w:tr>
      <w:tr>
        <w:trPr>
          <w:trHeight w:val="216"/>
        </w:trPr>
        <w:tc>
          <w:tcPr>
            <w:tcW w:w="1120" w:type="dxa"/>
            <w:vAlign w:val="bottom"/>
          </w:tcPr>
          <w:p>
            <w:pPr>
              <w:spacing w:after="0"/>
              <w:rPr>
                <w:sz w:val="18"/>
                <w:szCs w:val="18"/>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color w:val="auto"/>
              </w:rPr>
              <w:t>Units or other</w:t>
            </w:r>
          </w:p>
        </w:tc>
        <w:tc>
          <w:tcPr>
            <w:tcW w:w="76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color w:val="auto"/>
              </w:rPr>
              <w:t>limited</w:t>
            </w:r>
          </w:p>
        </w:tc>
        <w:tc>
          <w:tcPr>
            <w:tcW w:w="76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color w:val="auto"/>
              </w:rPr>
              <w:t>partner</w:t>
            </w:r>
          </w:p>
        </w:tc>
        <w:tc>
          <w:tcPr>
            <w:tcW w:w="76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2"/>
        </w:trPr>
        <w:tc>
          <w:tcPr>
            <w:tcW w:w="1120" w:type="dxa"/>
            <w:vAlign w:val="bottom"/>
          </w:tcPr>
          <w:p>
            <w:pPr>
              <w:spacing w:after="0"/>
              <w:rPr>
                <w:sz w:val="19"/>
                <w:szCs w:val="19"/>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color w:val="auto"/>
              </w:rPr>
              <w:t>interests</w:t>
            </w:r>
          </w:p>
        </w:tc>
        <w:tc>
          <w:tcPr>
            <w:tcW w:w="76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26"/>
        </w:trPr>
        <w:tc>
          <w:tcPr>
            <w:tcW w:w="112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Arial" w:cs="Arial" w:eastAsia="Arial" w:hAnsi="Arial"/>
                <w:sz w:val="18"/>
                <w:szCs w:val="18"/>
                <w:color w:val="auto"/>
              </w:rPr>
              <w:t>Amendment of</w:t>
            </w:r>
          </w:p>
        </w:tc>
        <w:tc>
          <w:tcPr>
            <w:tcW w:w="8740" w:type="dxa"/>
            <w:vAlign w:val="bottom"/>
            <w:gridSpan w:val="2"/>
          </w:tcPr>
          <w:p>
            <w:pPr>
              <w:ind w:left="20"/>
              <w:spacing w:after="0"/>
              <w:rPr>
                <w:sz w:val="20"/>
                <w:szCs w:val="20"/>
                <w:color w:val="auto"/>
              </w:rPr>
            </w:pPr>
            <w:r>
              <w:rPr>
                <w:rFonts w:ascii="Arial" w:cs="Arial" w:eastAsia="Arial" w:hAnsi="Arial"/>
                <w:sz w:val="18"/>
                <w:szCs w:val="18"/>
                <w:color w:val="auto"/>
              </w:rPr>
              <w:t>Certain amendments may be made by our board of directors without the approval of the unitholders. Other</w:t>
            </w:r>
          </w:p>
        </w:tc>
      </w:tr>
      <w:tr>
        <w:trPr>
          <w:trHeight w:val="216"/>
        </w:trPr>
        <w:tc>
          <w:tcPr>
            <w:tcW w:w="1120" w:type="dxa"/>
            <w:vAlign w:val="bottom"/>
          </w:tcPr>
          <w:p>
            <w:pPr>
              <w:spacing w:after="0"/>
              <w:rPr>
                <w:sz w:val="18"/>
                <w:szCs w:val="18"/>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color w:val="auto"/>
              </w:rPr>
              <w:t>the</w:t>
            </w:r>
          </w:p>
        </w:tc>
        <w:tc>
          <w:tcPr>
            <w:tcW w:w="8740" w:type="dxa"/>
            <w:vAlign w:val="bottom"/>
            <w:gridSpan w:val="2"/>
          </w:tcPr>
          <w:p>
            <w:pPr>
              <w:ind w:left="20"/>
              <w:spacing w:after="0"/>
              <w:rPr>
                <w:sz w:val="20"/>
                <w:szCs w:val="20"/>
                <w:color w:val="auto"/>
              </w:rPr>
            </w:pPr>
            <w:r>
              <w:rPr>
                <w:rFonts w:ascii="Arial" w:cs="Arial" w:eastAsia="Arial" w:hAnsi="Arial"/>
                <w:sz w:val="18"/>
                <w:szCs w:val="18"/>
                <w:color w:val="auto"/>
              </w:rPr>
              <w:t>amendments generally require the approval of a Unit Majority. See "—Amendment of the Partnership</w:t>
            </w:r>
          </w:p>
        </w:tc>
      </w:tr>
      <w:tr>
        <w:trPr>
          <w:trHeight w:val="216"/>
        </w:trPr>
        <w:tc>
          <w:tcPr>
            <w:tcW w:w="1120" w:type="dxa"/>
            <w:vAlign w:val="bottom"/>
          </w:tcPr>
          <w:p>
            <w:pPr>
              <w:spacing w:after="0"/>
              <w:rPr>
                <w:sz w:val="18"/>
                <w:szCs w:val="18"/>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color w:val="auto"/>
              </w:rPr>
              <w:t>partnership</w:t>
            </w:r>
          </w:p>
        </w:tc>
        <w:tc>
          <w:tcPr>
            <w:tcW w:w="8740" w:type="dxa"/>
            <w:vAlign w:val="bottom"/>
            <w:gridSpan w:val="2"/>
          </w:tcPr>
          <w:p>
            <w:pPr>
              <w:ind w:left="20"/>
              <w:spacing w:after="0"/>
              <w:rPr>
                <w:sz w:val="20"/>
                <w:szCs w:val="20"/>
                <w:color w:val="auto"/>
              </w:rPr>
            </w:pPr>
            <w:r>
              <w:rPr>
                <w:rFonts w:ascii="Arial" w:cs="Arial" w:eastAsia="Arial" w:hAnsi="Arial"/>
                <w:sz w:val="18"/>
                <w:szCs w:val="18"/>
                <w:color w:val="auto"/>
              </w:rPr>
              <w:t>Agreement".</w:t>
            </w:r>
          </w:p>
        </w:tc>
      </w:tr>
      <w:tr>
        <w:trPr>
          <w:trHeight w:val="222"/>
        </w:trPr>
        <w:tc>
          <w:tcPr>
            <w:tcW w:w="1120" w:type="dxa"/>
            <w:vAlign w:val="bottom"/>
          </w:tcPr>
          <w:p>
            <w:pPr>
              <w:spacing w:after="0"/>
              <w:rPr>
                <w:sz w:val="19"/>
                <w:szCs w:val="19"/>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color w:val="auto"/>
              </w:rPr>
              <w:t>agreement</w:t>
            </w:r>
          </w:p>
        </w:tc>
        <w:tc>
          <w:tcPr>
            <w:tcW w:w="76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26"/>
        </w:trPr>
        <w:tc>
          <w:tcPr>
            <w:tcW w:w="112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Arial" w:cs="Arial" w:eastAsia="Arial" w:hAnsi="Arial"/>
                <w:sz w:val="18"/>
                <w:szCs w:val="18"/>
                <w:color w:val="auto"/>
              </w:rPr>
              <w:t>Merger of our</w:t>
            </w:r>
          </w:p>
        </w:tc>
        <w:tc>
          <w:tcPr>
            <w:tcW w:w="8740" w:type="dxa"/>
            <w:vAlign w:val="bottom"/>
            <w:gridSpan w:val="2"/>
          </w:tcPr>
          <w:p>
            <w:pPr>
              <w:ind w:left="20"/>
              <w:spacing w:after="0"/>
              <w:rPr>
                <w:sz w:val="20"/>
                <w:szCs w:val="20"/>
                <w:color w:val="auto"/>
              </w:rPr>
            </w:pPr>
            <w:r>
              <w:rPr>
                <w:rFonts w:ascii="Arial" w:cs="Arial" w:eastAsia="Arial" w:hAnsi="Arial"/>
                <w:sz w:val="18"/>
                <w:szCs w:val="18"/>
                <w:color w:val="auto"/>
              </w:rPr>
              <w:t>Unit Majority and approval of our general partner and our board of directors. See "—Merger, Sale,</w:t>
            </w:r>
          </w:p>
        </w:tc>
      </w:tr>
      <w:tr>
        <w:trPr>
          <w:trHeight w:val="216"/>
        </w:trPr>
        <w:tc>
          <w:tcPr>
            <w:tcW w:w="1120" w:type="dxa"/>
            <w:vAlign w:val="bottom"/>
          </w:tcPr>
          <w:p>
            <w:pPr>
              <w:spacing w:after="0"/>
              <w:rPr>
                <w:sz w:val="18"/>
                <w:szCs w:val="18"/>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color w:val="auto"/>
              </w:rPr>
              <w:t>partnership or</w:t>
            </w:r>
          </w:p>
        </w:tc>
        <w:tc>
          <w:tcPr>
            <w:tcW w:w="8740" w:type="dxa"/>
            <w:vAlign w:val="bottom"/>
            <w:gridSpan w:val="2"/>
          </w:tcPr>
          <w:p>
            <w:pPr>
              <w:ind w:left="20"/>
              <w:spacing w:after="0"/>
              <w:rPr>
                <w:sz w:val="20"/>
                <w:szCs w:val="20"/>
                <w:color w:val="auto"/>
              </w:rPr>
            </w:pPr>
            <w:r>
              <w:rPr>
                <w:rFonts w:ascii="Arial" w:cs="Arial" w:eastAsia="Arial" w:hAnsi="Arial"/>
                <w:sz w:val="18"/>
                <w:szCs w:val="18"/>
                <w:color w:val="auto"/>
              </w:rPr>
              <w:t>Conversion or Other Disposition of Assets".</w:t>
            </w:r>
          </w:p>
        </w:tc>
      </w:tr>
      <w:tr>
        <w:trPr>
          <w:trHeight w:val="216"/>
        </w:trPr>
        <w:tc>
          <w:tcPr>
            <w:tcW w:w="1120" w:type="dxa"/>
            <w:vAlign w:val="bottom"/>
          </w:tcPr>
          <w:p>
            <w:pPr>
              <w:spacing w:after="0"/>
              <w:rPr>
                <w:sz w:val="18"/>
                <w:szCs w:val="18"/>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color w:val="auto"/>
              </w:rPr>
              <w:t>the sale of all</w:t>
            </w:r>
          </w:p>
        </w:tc>
        <w:tc>
          <w:tcPr>
            <w:tcW w:w="76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color w:val="auto"/>
              </w:rPr>
              <w:t>or</w:t>
            </w:r>
          </w:p>
        </w:tc>
        <w:tc>
          <w:tcPr>
            <w:tcW w:w="76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color w:val="auto"/>
              </w:rPr>
              <w:t>substantially</w:t>
            </w:r>
          </w:p>
        </w:tc>
        <w:tc>
          <w:tcPr>
            <w:tcW w:w="76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color w:val="auto"/>
              </w:rPr>
              <w:t>all of our</w:t>
            </w:r>
          </w:p>
        </w:tc>
        <w:tc>
          <w:tcPr>
            <w:tcW w:w="76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2"/>
        </w:trPr>
        <w:tc>
          <w:tcPr>
            <w:tcW w:w="1120" w:type="dxa"/>
            <w:vAlign w:val="bottom"/>
          </w:tcPr>
          <w:p>
            <w:pPr>
              <w:spacing w:after="0"/>
              <w:rPr>
                <w:sz w:val="19"/>
                <w:szCs w:val="19"/>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color w:val="auto"/>
              </w:rPr>
              <w:t>assets</w:t>
            </w:r>
          </w:p>
        </w:tc>
        <w:tc>
          <w:tcPr>
            <w:tcW w:w="76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26"/>
        </w:trPr>
        <w:tc>
          <w:tcPr>
            <w:tcW w:w="112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Arial" w:cs="Arial" w:eastAsia="Arial" w:hAnsi="Arial"/>
                <w:sz w:val="18"/>
                <w:szCs w:val="18"/>
                <w:color w:val="auto"/>
              </w:rPr>
              <w:t>Dissolution of</w:t>
            </w:r>
          </w:p>
        </w:tc>
        <w:tc>
          <w:tcPr>
            <w:tcW w:w="8740" w:type="dxa"/>
            <w:vAlign w:val="bottom"/>
            <w:gridSpan w:val="2"/>
          </w:tcPr>
          <w:p>
            <w:pPr>
              <w:ind w:left="20"/>
              <w:spacing w:after="0"/>
              <w:rPr>
                <w:sz w:val="20"/>
                <w:szCs w:val="20"/>
                <w:color w:val="auto"/>
              </w:rPr>
            </w:pPr>
            <w:r>
              <w:rPr>
                <w:rFonts w:ascii="Arial" w:cs="Arial" w:eastAsia="Arial" w:hAnsi="Arial"/>
                <w:sz w:val="18"/>
                <w:szCs w:val="18"/>
                <w:color w:val="auto"/>
              </w:rPr>
              <w:t>Unit Majority and approval of our general partner and our board of directors. See "—Termination and</w:t>
            </w:r>
          </w:p>
        </w:tc>
      </w:tr>
      <w:tr>
        <w:trPr>
          <w:trHeight w:val="216"/>
        </w:trPr>
        <w:tc>
          <w:tcPr>
            <w:tcW w:w="1120" w:type="dxa"/>
            <w:vAlign w:val="bottom"/>
          </w:tcPr>
          <w:p>
            <w:pPr>
              <w:spacing w:after="0"/>
              <w:rPr>
                <w:sz w:val="18"/>
                <w:szCs w:val="18"/>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color w:val="auto"/>
              </w:rPr>
              <w:t>our</w:t>
            </w:r>
          </w:p>
        </w:tc>
        <w:tc>
          <w:tcPr>
            <w:tcW w:w="8740" w:type="dxa"/>
            <w:vAlign w:val="bottom"/>
            <w:gridSpan w:val="2"/>
          </w:tcPr>
          <w:p>
            <w:pPr>
              <w:ind w:left="20"/>
              <w:spacing w:after="0"/>
              <w:rPr>
                <w:sz w:val="20"/>
                <w:szCs w:val="20"/>
                <w:color w:val="auto"/>
              </w:rPr>
            </w:pPr>
            <w:r>
              <w:rPr>
                <w:rFonts w:ascii="Arial" w:cs="Arial" w:eastAsia="Arial" w:hAnsi="Arial"/>
                <w:sz w:val="18"/>
                <w:szCs w:val="18"/>
                <w:color w:val="auto"/>
              </w:rPr>
              <w:t>Dissolution".</w:t>
            </w:r>
          </w:p>
        </w:tc>
      </w:tr>
      <w:tr>
        <w:trPr>
          <w:trHeight w:val="222"/>
        </w:trPr>
        <w:tc>
          <w:tcPr>
            <w:tcW w:w="1120" w:type="dxa"/>
            <w:vAlign w:val="bottom"/>
          </w:tcPr>
          <w:p>
            <w:pPr>
              <w:spacing w:after="0"/>
              <w:rPr>
                <w:sz w:val="19"/>
                <w:szCs w:val="19"/>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color w:val="auto"/>
              </w:rPr>
              <w:t>partnership</w:t>
            </w:r>
          </w:p>
        </w:tc>
        <w:tc>
          <w:tcPr>
            <w:tcW w:w="76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26"/>
        </w:trPr>
        <w:tc>
          <w:tcPr>
            <w:tcW w:w="112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Arial" w:cs="Arial" w:eastAsia="Arial" w:hAnsi="Arial"/>
                <w:sz w:val="18"/>
                <w:szCs w:val="18"/>
                <w:color w:val="auto"/>
                <w:w w:val="99"/>
              </w:rPr>
              <w:t>Reconstitution of</w:t>
            </w:r>
          </w:p>
        </w:tc>
        <w:tc>
          <w:tcPr>
            <w:tcW w:w="8740" w:type="dxa"/>
            <w:vAlign w:val="bottom"/>
            <w:gridSpan w:val="2"/>
          </w:tcPr>
          <w:p>
            <w:pPr>
              <w:ind w:left="20"/>
              <w:spacing w:after="0"/>
              <w:rPr>
                <w:sz w:val="20"/>
                <w:szCs w:val="20"/>
                <w:color w:val="auto"/>
              </w:rPr>
            </w:pPr>
            <w:r>
              <w:rPr>
                <w:rFonts w:ascii="Arial" w:cs="Arial" w:eastAsia="Arial" w:hAnsi="Arial"/>
                <w:sz w:val="18"/>
                <w:szCs w:val="18"/>
                <w:color w:val="auto"/>
              </w:rPr>
              <w:t>Unit Majority. See "—Termination and Dissolution".</w:t>
            </w:r>
          </w:p>
        </w:tc>
      </w:tr>
      <w:tr>
        <w:trPr>
          <w:trHeight w:val="216"/>
        </w:trPr>
        <w:tc>
          <w:tcPr>
            <w:tcW w:w="1120" w:type="dxa"/>
            <w:vAlign w:val="bottom"/>
          </w:tcPr>
          <w:p>
            <w:pPr>
              <w:spacing w:after="0"/>
              <w:rPr>
                <w:sz w:val="18"/>
                <w:szCs w:val="18"/>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color w:val="auto"/>
              </w:rPr>
              <w:t>our</w:t>
            </w:r>
          </w:p>
        </w:tc>
        <w:tc>
          <w:tcPr>
            <w:tcW w:w="76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color w:val="auto"/>
              </w:rPr>
              <w:t>partnership</w:t>
            </w:r>
          </w:p>
        </w:tc>
        <w:tc>
          <w:tcPr>
            <w:tcW w:w="76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color w:val="auto"/>
              </w:rPr>
              <w:t>upon</w:t>
            </w:r>
          </w:p>
        </w:tc>
        <w:tc>
          <w:tcPr>
            <w:tcW w:w="76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2"/>
        </w:trPr>
        <w:tc>
          <w:tcPr>
            <w:tcW w:w="1120" w:type="dxa"/>
            <w:vAlign w:val="bottom"/>
          </w:tcPr>
          <w:p>
            <w:pPr>
              <w:spacing w:after="0"/>
              <w:rPr>
                <w:sz w:val="19"/>
                <w:szCs w:val="19"/>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color w:val="auto"/>
              </w:rPr>
              <w:t>dissolution</w:t>
            </w:r>
          </w:p>
        </w:tc>
        <w:tc>
          <w:tcPr>
            <w:tcW w:w="76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26"/>
        </w:trPr>
        <w:tc>
          <w:tcPr>
            <w:tcW w:w="112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Arial" w:cs="Arial" w:eastAsia="Arial" w:hAnsi="Arial"/>
                <w:sz w:val="18"/>
                <w:szCs w:val="18"/>
                <w:color w:val="auto"/>
              </w:rPr>
              <w:t>Withdrawal of</w:t>
            </w:r>
          </w:p>
        </w:tc>
        <w:tc>
          <w:tcPr>
            <w:tcW w:w="8740" w:type="dxa"/>
            <w:vAlign w:val="bottom"/>
            <w:gridSpan w:val="2"/>
          </w:tcPr>
          <w:p>
            <w:pPr>
              <w:ind w:left="20"/>
              <w:spacing w:after="0"/>
              <w:rPr>
                <w:sz w:val="20"/>
                <w:szCs w:val="20"/>
                <w:color w:val="auto"/>
              </w:rPr>
            </w:pPr>
            <w:r>
              <w:rPr>
                <w:rFonts w:ascii="Arial" w:cs="Arial" w:eastAsia="Arial" w:hAnsi="Arial"/>
                <w:sz w:val="18"/>
                <w:szCs w:val="18"/>
                <w:color w:val="auto"/>
              </w:rPr>
              <w:t>Under most circumstances, the approval of a majority of the Common Units, excluding Common Units held</w:t>
            </w:r>
          </w:p>
        </w:tc>
      </w:tr>
      <w:tr>
        <w:trPr>
          <w:trHeight w:val="216"/>
        </w:trPr>
        <w:tc>
          <w:tcPr>
            <w:tcW w:w="1120" w:type="dxa"/>
            <w:vAlign w:val="bottom"/>
          </w:tcPr>
          <w:p>
            <w:pPr>
              <w:spacing w:after="0"/>
              <w:rPr>
                <w:sz w:val="18"/>
                <w:szCs w:val="18"/>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color w:val="auto"/>
              </w:rPr>
              <w:t>our general</w:t>
            </w:r>
          </w:p>
        </w:tc>
        <w:tc>
          <w:tcPr>
            <w:tcW w:w="8740" w:type="dxa"/>
            <w:vAlign w:val="bottom"/>
            <w:gridSpan w:val="2"/>
          </w:tcPr>
          <w:p>
            <w:pPr>
              <w:ind w:left="20"/>
              <w:spacing w:after="0"/>
              <w:rPr>
                <w:sz w:val="20"/>
                <w:szCs w:val="20"/>
                <w:color w:val="auto"/>
              </w:rPr>
            </w:pPr>
            <w:r>
              <w:rPr>
                <w:rFonts w:ascii="Arial" w:cs="Arial" w:eastAsia="Arial" w:hAnsi="Arial"/>
                <w:sz w:val="18"/>
                <w:szCs w:val="18"/>
                <w:color w:val="auto"/>
              </w:rPr>
              <w:t>by our general partner and its affiliates, is required for the withdrawal of our general partner prior to</w:t>
            </w:r>
          </w:p>
        </w:tc>
      </w:tr>
      <w:tr>
        <w:trPr>
          <w:trHeight w:val="216"/>
        </w:trPr>
        <w:tc>
          <w:tcPr>
            <w:tcW w:w="1120" w:type="dxa"/>
            <w:vAlign w:val="bottom"/>
          </w:tcPr>
          <w:p>
            <w:pPr>
              <w:spacing w:after="0"/>
              <w:rPr>
                <w:sz w:val="18"/>
                <w:szCs w:val="18"/>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color w:val="auto"/>
              </w:rPr>
              <w:t>partner</w:t>
            </w:r>
          </w:p>
        </w:tc>
        <w:tc>
          <w:tcPr>
            <w:tcW w:w="8740" w:type="dxa"/>
            <w:vAlign w:val="bottom"/>
            <w:gridSpan w:val="2"/>
          </w:tcPr>
          <w:p>
            <w:pPr>
              <w:ind w:left="20"/>
              <w:spacing w:after="0"/>
              <w:rPr>
                <w:sz w:val="20"/>
                <w:szCs w:val="20"/>
                <w:color w:val="auto"/>
              </w:rPr>
            </w:pPr>
            <w:r>
              <w:rPr>
                <w:rFonts w:ascii="Arial" w:cs="Arial" w:eastAsia="Arial" w:hAnsi="Arial"/>
                <w:sz w:val="18"/>
                <w:szCs w:val="18"/>
                <w:color w:val="auto"/>
              </w:rPr>
              <w:t>March 31, 2024 in a manner that would cause a dissolution of our partnership. See "—Withdrawal or</w:t>
            </w:r>
          </w:p>
        </w:tc>
      </w:tr>
      <w:tr>
        <w:trPr>
          <w:trHeight w:val="222"/>
        </w:trPr>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740" w:type="dxa"/>
            <w:vAlign w:val="bottom"/>
            <w:gridSpan w:val="2"/>
          </w:tcPr>
          <w:p>
            <w:pPr>
              <w:ind w:left="20"/>
              <w:spacing w:after="0"/>
              <w:rPr>
                <w:sz w:val="20"/>
                <w:szCs w:val="20"/>
                <w:color w:val="auto"/>
              </w:rPr>
            </w:pPr>
            <w:r>
              <w:rPr>
                <w:rFonts w:ascii="Arial" w:cs="Arial" w:eastAsia="Arial" w:hAnsi="Arial"/>
                <w:sz w:val="18"/>
                <w:szCs w:val="18"/>
                <w:color w:val="auto"/>
              </w:rPr>
              <w:t>Removal of our General Partner".</w:t>
            </w:r>
          </w:p>
        </w:tc>
      </w:tr>
      <w:tr>
        <w:trPr>
          <w:trHeight w:val="426"/>
        </w:trPr>
        <w:tc>
          <w:tcPr>
            <w:tcW w:w="112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Arial" w:cs="Arial" w:eastAsia="Arial" w:hAnsi="Arial"/>
                <w:sz w:val="18"/>
                <w:szCs w:val="18"/>
                <w:color w:val="auto"/>
              </w:rPr>
              <w:t>Removal of our</w:t>
            </w:r>
          </w:p>
        </w:tc>
        <w:tc>
          <w:tcPr>
            <w:tcW w:w="8740" w:type="dxa"/>
            <w:vAlign w:val="bottom"/>
            <w:gridSpan w:val="2"/>
          </w:tcPr>
          <w:p>
            <w:pPr>
              <w:ind w:left="20"/>
              <w:spacing w:after="0"/>
              <w:rPr>
                <w:sz w:val="20"/>
                <w:szCs w:val="20"/>
                <w:color w:val="auto"/>
              </w:rPr>
            </w:pPr>
            <w:r>
              <w:rPr>
                <w:rFonts w:ascii="Arial" w:cs="Arial" w:eastAsia="Arial" w:hAnsi="Arial"/>
                <w:sz w:val="18"/>
                <w:szCs w:val="18"/>
                <w:color w:val="auto"/>
              </w:rPr>
              <w:t>Not less than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outstanding Common Units, including Common Units held by our general</w:t>
            </w:r>
          </w:p>
        </w:tc>
      </w:tr>
      <w:tr>
        <w:trPr>
          <w:trHeight w:val="216"/>
        </w:trPr>
        <w:tc>
          <w:tcPr>
            <w:tcW w:w="1120" w:type="dxa"/>
            <w:vAlign w:val="bottom"/>
          </w:tcPr>
          <w:p>
            <w:pPr>
              <w:spacing w:after="0"/>
              <w:rPr>
                <w:sz w:val="18"/>
                <w:szCs w:val="18"/>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color w:val="auto"/>
              </w:rPr>
              <w:t>general</w:t>
            </w:r>
          </w:p>
        </w:tc>
        <w:tc>
          <w:tcPr>
            <w:tcW w:w="8740" w:type="dxa"/>
            <w:vAlign w:val="bottom"/>
            <w:gridSpan w:val="2"/>
          </w:tcPr>
          <w:p>
            <w:pPr>
              <w:ind w:left="20"/>
              <w:spacing w:after="0"/>
              <w:rPr>
                <w:sz w:val="20"/>
                <w:szCs w:val="20"/>
                <w:color w:val="auto"/>
              </w:rPr>
            </w:pPr>
            <w:r>
              <w:rPr>
                <w:rFonts w:ascii="Arial" w:cs="Arial" w:eastAsia="Arial" w:hAnsi="Arial"/>
                <w:sz w:val="18"/>
                <w:szCs w:val="18"/>
                <w:color w:val="auto"/>
              </w:rPr>
              <w:t>partner and its affiliates, voting together as a single class. See "—Withdrawal or Removal of our General</w:t>
            </w:r>
          </w:p>
        </w:tc>
      </w:tr>
      <w:tr>
        <w:trPr>
          <w:trHeight w:val="263"/>
        </w:trPr>
        <w:tc>
          <w:tcPr>
            <w:tcW w:w="1120" w:type="dxa"/>
            <w:vAlign w:val="bottom"/>
          </w:tcPr>
          <w:p>
            <w:pPr>
              <w:spacing w:after="0"/>
              <w:rPr>
                <w:sz w:val="22"/>
                <w:szCs w:val="22"/>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color w:val="auto"/>
              </w:rPr>
              <w:t>partner</w:t>
            </w:r>
          </w:p>
        </w:tc>
        <w:tc>
          <w:tcPr>
            <w:tcW w:w="8740" w:type="dxa"/>
            <w:vAlign w:val="bottom"/>
            <w:gridSpan w:val="2"/>
          </w:tcPr>
          <w:p>
            <w:pPr>
              <w:ind w:left="20"/>
              <w:spacing w:after="0"/>
              <w:rPr>
                <w:sz w:val="20"/>
                <w:szCs w:val="20"/>
                <w:color w:val="auto"/>
              </w:rPr>
            </w:pPr>
            <w:r>
              <w:rPr>
                <w:rFonts w:ascii="Arial" w:cs="Arial" w:eastAsia="Arial" w:hAnsi="Arial"/>
                <w:sz w:val="18"/>
                <w:szCs w:val="18"/>
                <w:color w:val="auto"/>
              </w:rPr>
              <w:t>Partner".</w:t>
            </w:r>
          </w:p>
        </w:tc>
      </w:tr>
      <w:tr>
        <w:trPr>
          <w:trHeight w:val="426"/>
        </w:trPr>
        <w:tc>
          <w:tcPr>
            <w:tcW w:w="112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Arial" w:cs="Arial" w:eastAsia="Arial" w:hAnsi="Arial"/>
                <w:sz w:val="18"/>
                <w:szCs w:val="18"/>
                <w:color w:val="auto"/>
              </w:rPr>
              <w:t>Transfer of our</w:t>
            </w:r>
          </w:p>
        </w:tc>
        <w:tc>
          <w:tcPr>
            <w:tcW w:w="8740" w:type="dxa"/>
            <w:vAlign w:val="bottom"/>
            <w:gridSpan w:val="2"/>
          </w:tcPr>
          <w:p>
            <w:pPr>
              <w:ind w:left="20"/>
              <w:spacing w:after="0"/>
              <w:rPr>
                <w:sz w:val="20"/>
                <w:szCs w:val="20"/>
                <w:color w:val="auto"/>
              </w:rPr>
            </w:pPr>
            <w:r>
              <w:rPr>
                <w:rFonts w:ascii="Arial" w:cs="Arial" w:eastAsia="Arial" w:hAnsi="Arial"/>
                <w:sz w:val="18"/>
                <w:szCs w:val="18"/>
                <w:color w:val="auto"/>
              </w:rPr>
              <w:t>Our general partner may transfer all, but not less than all, of its general partner interest in us without a vote</w:t>
            </w:r>
          </w:p>
        </w:tc>
      </w:tr>
      <w:tr>
        <w:trPr>
          <w:trHeight w:val="216"/>
        </w:trPr>
        <w:tc>
          <w:tcPr>
            <w:tcW w:w="1120" w:type="dxa"/>
            <w:vAlign w:val="bottom"/>
          </w:tcPr>
          <w:p>
            <w:pPr>
              <w:spacing w:after="0"/>
              <w:rPr>
                <w:sz w:val="18"/>
                <w:szCs w:val="18"/>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color w:val="auto"/>
              </w:rPr>
              <w:t>general</w:t>
            </w:r>
          </w:p>
        </w:tc>
        <w:tc>
          <w:tcPr>
            <w:tcW w:w="8740" w:type="dxa"/>
            <w:vAlign w:val="bottom"/>
            <w:gridSpan w:val="2"/>
          </w:tcPr>
          <w:p>
            <w:pPr>
              <w:ind w:left="20"/>
              <w:spacing w:after="0"/>
              <w:rPr>
                <w:sz w:val="20"/>
                <w:szCs w:val="20"/>
                <w:color w:val="auto"/>
              </w:rPr>
            </w:pPr>
            <w:r>
              <w:rPr>
                <w:rFonts w:ascii="Arial" w:cs="Arial" w:eastAsia="Arial" w:hAnsi="Arial"/>
                <w:sz w:val="18"/>
                <w:szCs w:val="18"/>
                <w:color w:val="auto"/>
              </w:rPr>
              <w:t>of our Common Unitholders or other limited partners to an affiliate or another person in connection with its</w:t>
            </w:r>
          </w:p>
        </w:tc>
      </w:tr>
      <w:tr>
        <w:trPr>
          <w:trHeight w:val="216"/>
        </w:trPr>
        <w:tc>
          <w:tcPr>
            <w:tcW w:w="1120" w:type="dxa"/>
            <w:vAlign w:val="bottom"/>
          </w:tcPr>
          <w:p>
            <w:pPr>
              <w:spacing w:after="0"/>
              <w:rPr>
                <w:sz w:val="18"/>
                <w:szCs w:val="18"/>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color w:val="auto"/>
              </w:rPr>
              <w:t>partner</w:t>
            </w:r>
          </w:p>
        </w:tc>
        <w:tc>
          <w:tcPr>
            <w:tcW w:w="8740" w:type="dxa"/>
            <w:vAlign w:val="bottom"/>
            <w:gridSpan w:val="2"/>
          </w:tcPr>
          <w:p>
            <w:pPr>
              <w:ind w:left="20"/>
              <w:spacing w:after="0"/>
              <w:rPr>
                <w:sz w:val="20"/>
                <w:szCs w:val="20"/>
                <w:color w:val="auto"/>
              </w:rPr>
            </w:pPr>
            <w:r>
              <w:rPr>
                <w:rFonts w:ascii="Arial" w:cs="Arial" w:eastAsia="Arial" w:hAnsi="Arial"/>
                <w:sz w:val="18"/>
                <w:szCs w:val="18"/>
                <w:color w:val="auto"/>
              </w:rPr>
              <w:t>merger or consolidation with or into, or sale of all or substantially all of its assets to, such person. The</w:t>
            </w:r>
          </w:p>
        </w:tc>
      </w:tr>
      <w:tr>
        <w:trPr>
          <w:trHeight w:val="216"/>
        </w:trPr>
        <w:tc>
          <w:tcPr>
            <w:tcW w:w="1120" w:type="dxa"/>
            <w:vAlign w:val="bottom"/>
          </w:tcPr>
          <w:p>
            <w:pPr>
              <w:spacing w:after="0"/>
              <w:rPr>
                <w:sz w:val="18"/>
                <w:szCs w:val="18"/>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color w:val="auto"/>
              </w:rPr>
              <w:t>interest in us</w:t>
            </w:r>
          </w:p>
        </w:tc>
        <w:tc>
          <w:tcPr>
            <w:tcW w:w="8740" w:type="dxa"/>
            <w:vAlign w:val="bottom"/>
            <w:gridSpan w:val="2"/>
          </w:tcPr>
          <w:p>
            <w:pPr>
              <w:ind w:left="20"/>
              <w:spacing w:after="0"/>
              <w:rPr>
                <w:sz w:val="20"/>
                <w:szCs w:val="20"/>
                <w:color w:val="auto"/>
              </w:rPr>
            </w:pPr>
            <w:r>
              <w:rPr>
                <w:rFonts w:ascii="Arial" w:cs="Arial" w:eastAsia="Arial" w:hAnsi="Arial"/>
                <w:sz w:val="18"/>
                <w:szCs w:val="18"/>
                <w:color w:val="auto"/>
              </w:rPr>
              <w:t>approval of a majority of the Common Units, excluding Common Units held by our general partner and its</w:t>
            </w:r>
          </w:p>
        </w:tc>
      </w:tr>
      <w:tr>
        <w:trPr>
          <w:trHeight w:val="216"/>
        </w:trPr>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740" w:type="dxa"/>
            <w:vAlign w:val="bottom"/>
            <w:gridSpan w:val="2"/>
          </w:tcPr>
          <w:p>
            <w:pPr>
              <w:ind w:left="20"/>
              <w:spacing w:after="0"/>
              <w:rPr>
                <w:sz w:val="20"/>
                <w:szCs w:val="20"/>
                <w:color w:val="auto"/>
              </w:rPr>
            </w:pPr>
            <w:r>
              <w:rPr>
                <w:rFonts w:ascii="Arial" w:cs="Arial" w:eastAsia="Arial" w:hAnsi="Arial"/>
                <w:sz w:val="18"/>
                <w:szCs w:val="18"/>
                <w:color w:val="auto"/>
              </w:rPr>
              <w:t>affiliates, is required in other circumstances for a transfer of the general partner interest to a third party prior</w:t>
            </w:r>
          </w:p>
        </w:tc>
      </w:tr>
      <w:tr>
        <w:trPr>
          <w:trHeight w:val="222"/>
        </w:trPr>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740" w:type="dxa"/>
            <w:vAlign w:val="bottom"/>
            <w:gridSpan w:val="2"/>
          </w:tcPr>
          <w:p>
            <w:pPr>
              <w:ind w:left="20"/>
              <w:spacing w:after="0"/>
              <w:rPr>
                <w:sz w:val="20"/>
                <w:szCs w:val="20"/>
                <w:color w:val="auto"/>
              </w:rPr>
            </w:pPr>
            <w:r>
              <w:rPr>
                <w:rFonts w:ascii="Arial" w:cs="Arial" w:eastAsia="Arial" w:hAnsi="Arial"/>
                <w:sz w:val="18"/>
                <w:szCs w:val="18"/>
                <w:color w:val="auto"/>
              </w:rPr>
              <w:t>to March 31, 2024. See "—Transfer of General Partner Interest".</w:t>
            </w:r>
          </w:p>
        </w:tc>
      </w:tr>
      <w:tr>
        <w:trPr>
          <w:trHeight w:val="426"/>
        </w:trPr>
        <w:tc>
          <w:tcPr>
            <w:tcW w:w="112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Arial" w:cs="Arial" w:eastAsia="Arial" w:hAnsi="Arial"/>
                <w:sz w:val="18"/>
                <w:szCs w:val="18"/>
                <w:color w:val="auto"/>
              </w:rPr>
              <w:t>Transfer of</w:t>
            </w:r>
          </w:p>
        </w:tc>
        <w:tc>
          <w:tcPr>
            <w:tcW w:w="8740" w:type="dxa"/>
            <w:vAlign w:val="bottom"/>
            <w:gridSpan w:val="2"/>
          </w:tcPr>
          <w:p>
            <w:pPr>
              <w:ind w:left="20"/>
              <w:spacing w:after="0"/>
              <w:rPr>
                <w:sz w:val="20"/>
                <w:szCs w:val="20"/>
                <w:color w:val="auto"/>
              </w:rPr>
            </w:pPr>
            <w:r>
              <w:rPr>
                <w:rFonts w:ascii="Arial" w:cs="Arial" w:eastAsia="Arial" w:hAnsi="Arial"/>
                <w:sz w:val="18"/>
                <w:szCs w:val="18"/>
                <w:color w:val="auto"/>
              </w:rPr>
              <w:t>No approval required at any time. See "—Transfer of Ownership Interests in General Partner".</w:t>
            </w:r>
          </w:p>
        </w:tc>
      </w:tr>
      <w:tr>
        <w:trPr>
          <w:trHeight w:val="216"/>
        </w:trPr>
        <w:tc>
          <w:tcPr>
            <w:tcW w:w="1120" w:type="dxa"/>
            <w:vAlign w:val="bottom"/>
          </w:tcPr>
          <w:p>
            <w:pPr>
              <w:spacing w:after="0"/>
              <w:rPr>
                <w:sz w:val="18"/>
                <w:szCs w:val="18"/>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color w:val="auto"/>
              </w:rPr>
              <w:t>ownership</w:t>
            </w:r>
          </w:p>
        </w:tc>
        <w:tc>
          <w:tcPr>
            <w:tcW w:w="76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color w:val="auto"/>
              </w:rPr>
              <w:t>interests in</w:t>
            </w:r>
          </w:p>
        </w:tc>
        <w:tc>
          <w:tcPr>
            <w:tcW w:w="76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color w:val="auto"/>
              </w:rPr>
              <w:t>our general</w:t>
            </w:r>
          </w:p>
        </w:tc>
        <w:tc>
          <w:tcPr>
            <w:tcW w:w="76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2"/>
        </w:trPr>
        <w:tc>
          <w:tcPr>
            <w:tcW w:w="1120" w:type="dxa"/>
            <w:vAlign w:val="bottom"/>
          </w:tcPr>
          <w:p>
            <w:pPr>
              <w:spacing w:after="0"/>
              <w:rPr>
                <w:sz w:val="19"/>
                <w:szCs w:val="19"/>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color w:val="auto"/>
              </w:rPr>
              <w:t>partner</w:t>
            </w:r>
          </w:p>
        </w:tc>
        <w:tc>
          <w:tcPr>
            <w:tcW w:w="76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32"/>
        </w:trPr>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0" w:type="dxa"/>
            <w:vAlign w:val="bottom"/>
          </w:tcPr>
          <w:p>
            <w:pPr>
              <w:ind w:left="3040"/>
              <w:spacing w:after="0"/>
              <w:rPr>
                <w:sz w:val="20"/>
                <w:szCs w:val="20"/>
                <w:color w:val="auto"/>
              </w:rPr>
            </w:pPr>
            <w:r>
              <w:rPr>
                <w:rFonts w:ascii="Arial" w:cs="Arial" w:eastAsia="Arial" w:hAnsi="Arial"/>
                <w:sz w:val="18"/>
                <w:szCs w:val="18"/>
                <w:color w:val="auto"/>
              </w:rPr>
              <w:t>29</w:t>
            </w:r>
          </w:p>
        </w:tc>
        <w:tc>
          <w:tcPr>
            <w:tcW w:w="1140" w:type="dxa"/>
            <w:vAlign w:val="bottom"/>
          </w:tcPr>
          <w:p>
            <w:pPr>
              <w:spacing w:after="0"/>
              <w:rPr>
                <w:sz w:val="24"/>
                <w:szCs w:val="24"/>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760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Applicable Law; Forum, Venue and Jurisdiction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partnership agreement is governed by Marshall Islands law. Our partnership agreement requires that any claims, suits, actions or proceedings:</w:t>
      </w:r>
    </w:p>
    <w:p>
      <w:pPr>
        <w:spacing w:after="0" w:line="262" w:lineRule="exact"/>
        <w:rPr>
          <w:sz w:val="20"/>
          <w:szCs w:val="20"/>
          <w:color w:val="auto"/>
        </w:rPr>
      </w:pPr>
    </w:p>
    <w:p>
      <w:pPr>
        <w:ind w:left="1080" w:right="120" w:hanging="532"/>
        <w:spacing w:after="0" w:line="259"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arising out of or relating in any way to the partnership agreement (including any claims, suits or actions to interpret, apply or enforce the provisions of the partnership agreement or the duties, obligations or liabilities among limited partners or of limited partners to us, or the rights or powers of, or restrictions on, the limited partners or us);</w:t>
      </w:r>
    </w:p>
    <w:p>
      <w:pPr>
        <w:spacing w:after="0" w:line="220"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brought in a derivative manner on our behalf;</w:t>
      </w:r>
    </w:p>
    <w:p>
      <w:pPr>
        <w:spacing w:after="0" w:line="238"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asserting a claim of breach of a fiduciary duty owed by any director, officer or other employee of us or our general partner, or owed by our general partner, to us or the limited partners;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asserting a claim arising pursuant to any provision of the Marshall Islands Act;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asserting a claim governed by the internal affairs doctrine;</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shall be exclusively brought in the Court of Chancery of the State of Delaware, unless otherwise provided for by Marshall Islands law, regardless of whether such claims, suits, actions or proceedings arise under laws relating to contract, tort, fraud or otherwise, are based on common law, statutory, equitable, legal or other grounds, or are derivative or direct claims. By purchasing a unit, a limited partner is irrevocably consenting to these limitations and provisions regarding claims, suits, actions or proceedings and submitting to the exclusive jurisdiction of the Court of Chancery of the State of Delaware, unless otherwise provided for by Marshall Islands law, in connection with any such claims, suits, actions or proceedings; however, a court could rule that such provisions are inapplicable or unenforceable. Any person or entity purchasing or otherwise acquiring any interest in our units shall be deemed to have notice of and to have consented to the provisions described above. This forum selection provision may limit our unitholders' ability to obtain a judicial forum that they find favorable for disputes with us or our directors, officers or other employees or unitholders.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Liability</w:t>
      </w:r>
    </w:p>
    <w:p>
      <w:pPr>
        <w:spacing w:after="0" w:line="231" w:lineRule="exact"/>
        <w:rPr>
          <w:sz w:val="20"/>
          <w:szCs w:val="20"/>
          <w:color w:val="auto"/>
        </w:rPr>
      </w:pPr>
    </w:p>
    <w:p>
      <w:pPr>
        <w:ind w:right="140" w:firstLine="341"/>
        <w:spacing w:after="0" w:line="298" w:lineRule="auto"/>
        <w:rPr>
          <w:sz w:val="20"/>
          <w:szCs w:val="20"/>
          <w:color w:val="auto"/>
        </w:rPr>
      </w:pPr>
      <w:r>
        <w:rPr>
          <w:rFonts w:ascii="Arial" w:cs="Arial" w:eastAsia="Arial" w:hAnsi="Arial"/>
          <w:sz w:val="16"/>
          <w:szCs w:val="16"/>
          <w:color w:val="auto"/>
        </w:rPr>
        <w:t>Assuming that a limited partner does not participate in the control of our business within the meaning of the Marshall Islands Act and that he or she otherwise acts in conformity with the provisions of our partnership agreement, his or her liability under the Marshall Islands Act will be limited, subject to possible exceptions, to the amount of capital he or she is obligated to contribute to us for his or her units plus his or her share of any undistributed profits and assets. If it were determined, however, that the right, or exercise of the right, by the limited partners as a group:</w:t>
      </w:r>
    </w:p>
    <w:p>
      <w:pPr>
        <w:spacing w:after="0" w:line="180"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remove or replace our general partner;</w:t>
      </w:r>
    </w:p>
    <w:p>
      <w:pPr>
        <w:spacing w:after="0" w:line="238"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elect two (or, following the general partner's exercise of its right to transfer the power to elect a majority of our directors to the Common Unitholders, three) of our five directors;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approve some amendments to our partnership agreement;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take other action under our partnership agreement;</w:t>
      </w:r>
    </w:p>
    <w:p>
      <w:pPr>
        <w:spacing w:after="0" w:line="225"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constituted "participation in the control" of our business for the purposes of the Marshall Islands Act, then the limited partners could be held personally liable for our obligations under the laws of the Marshall Islands, to the same extent as our general partner. This liability would extend to persons who transact business with us who reasonably believe that the limited partner is a general partner. Neither our partnership agreement nor the Marshall Islands Act specifically provides for legal recourse against our general partner if a limited partner were to lose limited liability through any fault of our general</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partner. While this does not mean that a limited partner could not seek legal recourse, we know of no precedent for this type of a claim in Marshall Islands case law.</w:t>
      </w:r>
    </w:p>
    <w:p>
      <w:pPr>
        <w:spacing w:after="0" w:line="186" w:lineRule="exact"/>
        <w:rPr>
          <w:sz w:val="20"/>
          <w:szCs w:val="20"/>
          <w:color w:val="auto"/>
        </w:rPr>
      </w:pPr>
    </w:p>
    <w:p>
      <w:pPr>
        <w:ind w:right="80" w:firstLine="351"/>
        <w:spacing w:after="0" w:line="287" w:lineRule="auto"/>
        <w:rPr>
          <w:sz w:val="20"/>
          <w:szCs w:val="20"/>
          <w:color w:val="auto"/>
        </w:rPr>
      </w:pPr>
      <w:r>
        <w:rPr>
          <w:rFonts w:ascii="Arial" w:cs="Arial" w:eastAsia="Arial" w:hAnsi="Arial"/>
          <w:sz w:val="16"/>
          <w:szCs w:val="16"/>
          <w:color w:val="auto"/>
        </w:rPr>
        <w:t>Under the Marshall Islands Act, a limited partnership may not make a distribution to a partner if, after the distribution, all liabilities of the limited partnership, other than liabilities to partners on account of their partnership interests and liabilities for which the recourse of creditors is limited to specific property of the partnership, would exceed the fair value of the assets of the limited partnership. For the purpose of determining the fair value of the assets of a limited partnership, the Marshall Islands Act provides that the fair value of property subject to liability for which recourse of creditors is limited shall be included in the assets of the limited partnership only to the extent that the fair value of that property exceeds the non-recourse liability. The Marshall Islands Act provides that a limited partner who receives a distribution and knew at the time of the distribution that the distribution was in violation of the Marshall Islands Act shall be liable to the limited partnership for the amount of the distribution for three years. Under the Marshall Islands Act, a purchaser of units who becomes a limited partner of a limited partnership is liable for the obligations of the transferor to make contributions to the partnership, except that the transferee is not obligated for liabilities unknown to him at the time he became a limited partner and that could not be ascertained from the partnership agreement.</w:t>
      </w:r>
    </w:p>
    <w:p>
      <w:pPr>
        <w:spacing w:after="0" w:line="176"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Maintenance of our limited liability may require compliance with legal requirements in the jurisdictions in which our subsidiaries conduct business, which may include qualifying to do business in those jurisdictions. Limitations on the liability of limited partners for the obligations of a limited partnership or limited liability company have not been clearly established in many jurisdictions. If, by virtue of our membership interest in an operating subsidiary or otherwise, it was determined that we were conducting business in any jurisdiction without compliance with the applicable limited partnership or limited liability company statute, or that the right or exercise of the right by the limited partners as a group to remove or replace the general partner, to approve some amendments to the partnership agreement or to take other action under the partnership agreement constituted "participation in the control" of our business for purposes of the statutes of any relevant jurisdiction, then the limited partners could be held personally liable for our obligations under the law of that jurisdiction to the same extent as our general partner under the circumstances. We will operate in a manner that our board of directors considers reasonable and necessary or appropriate to preserve the limited liability of the limited partners.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Additional Interests</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partnership agreement authorizes us to issue an unlimited amount of additional partnership interests and rights to buy partnership interests for the consideration and on the terms and conditions determined by our board of directors without the approval of the unitholders, other than certain limited approval rights of the holders of the Preference Units. However, our general partner will be required to approve all issuances of additional partnership interests that are not reasonably expected to be accretive within twelve months of issuance or which would otherwise have a material adverse impact on the general partner or its interest in us.</w:t>
      </w:r>
    </w:p>
    <w:p>
      <w:pPr>
        <w:spacing w:after="0" w:line="201" w:lineRule="exact"/>
        <w:rPr>
          <w:sz w:val="20"/>
          <w:szCs w:val="20"/>
          <w:color w:val="auto"/>
        </w:rPr>
      </w:pPr>
    </w:p>
    <w:p>
      <w:pPr>
        <w:ind w:right="200" w:firstLine="348"/>
        <w:spacing w:after="0" w:line="291" w:lineRule="auto"/>
        <w:rPr>
          <w:sz w:val="20"/>
          <w:szCs w:val="20"/>
          <w:color w:val="auto"/>
        </w:rPr>
      </w:pPr>
      <w:r>
        <w:rPr>
          <w:rFonts w:ascii="Arial" w:cs="Arial" w:eastAsia="Arial" w:hAnsi="Arial"/>
          <w:sz w:val="16"/>
          <w:szCs w:val="16"/>
          <w:color w:val="auto"/>
        </w:rPr>
        <w:t>We intend to fund acquisitions through borrowings and the issuance of additional Common Units or other equity securities and the issuance of debt securities. Holders of any additional Series A Preference Units we issue will be entitled to share equally with the then-existing holders of Series A Preference Units in our distributions, holders of any additional Series B Preference Units we issue will be entitled to share equally with the then-existing holders of Series B Preference Units in our distributions, holders of any additional Series C Preference Units we issue will be entitled to share equally with the then-existing holders of Series C Preference Units in our distributions and holders of any additional Common Units we issue will be entitled to share equally with the then-existing holders of Common Units in our distributions. Additionally, we may issue other equity securities that may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dilute the value of the interests of the then-existing holders of Common Units or Preference Units in our net assets and such securities may have priority over Common Units or Preference Units for receipt of distributions.</w:t>
      </w:r>
    </w:p>
    <w:p>
      <w:pPr>
        <w:spacing w:after="0" w:line="186" w:lineRule="exact"/>
        <w:rPr>
          <w:sz w:val="20"/>
          <w:szCs w:val="20"/>
          <w:color w:val="auto"/>
        </w:rPr>
      </w:pPr>
    </w:p>
    <w:p>
      <w:pPr>
        <w:ind w:right="480" w:firstLine="351"/>
        <w:spacing w:after="0" w:line="331" w:lineRule="auto"/>
        <w:rPr>
          <w:sz w:val="20"/>
          <w:szCs w:val="20"/>
          <w:color w:val="auto"/>
        </w:rPr>
      </w:pPr>
      <w:r>
        <w:rPr>
          <w:rFonts w:ascii="Arial" w:cs="Arial" w:eastAsia="Arial" w:hAnsi="Arial"/>
          <w:sz w:val="16"/>
          <w:szCs w:val="16"/>
          <w:color w:val="auto"/>
        </w:rPr>
        <w:t>In accordance with Marshall Islands law and the provisions of our partnership agreement, we may also issue additional partnership interests that, as determined by our board of directors, have special voting or other rights to which the Common Units or the Preference Units are not entitled.</w:t>
      </w:r>
    </w:p>
    <w:p>
      <w:pPr>
        <w:spacing w:after="0" w:line="14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Upon issuance of additional partnership interests (including our Common Units and Class B Units, but excluding the issuance of partnership interests upon conversion of outstanding partnership interests), our general partner will have the right, but not the obligation, to make additional capital contributions to the extent necessary to maintain its 2.0% general partner interest in us. Our general partner's interest in us will thus be reduced if we issue additional partnership interests in the future and our general partner does not elect to maintain its 2.0% general partner interest in us. Our general partner and its affiliates will have the right, which it may from time to time assign in whole or in part to any of its affiliates, to purchase Common Units, Class B Units, Preference Units or other equity securities whenever, and on the same terms that, we issue those securities to persons other than our general partner and its affiliates, to the extent necessary to maintain its and its affiliates' percentage interest, including its interest represented by the Common Units and Class B Units that existed immediately prior to each issuance. Other holders of Common Units or Class B Units will not have similar pre-emptive rights to acquire additional Common Units or other partnership interests.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Status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partnership agreement provides that the partnership will elect to be treated as a corporation for U.S. federal income tax purposes.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the Partnership Agreement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40" w:firstLine="341"/>
        <w:spacing w:after="0" w:line="253" w:lineRule="auto"/>
        <w:rPr>
          <w:sz w:val="20"/>
          <w:szCs w:val="20"/>
          <w:color w:val="auto"/>
        </w:rPr>
      </w:pPr>
      <w:r>
        <w:rPr>
          <w:rFonts w:ascii="Arial" w:cs="Arial" w:eastAsia="Arial" w:hAnsi="Arial"/>
          <w:sz w:val="18"/>
          <w:szCs w:val="18"/>
          <w:color w:val="auto"/>
        </w:rPr>
        <w:t>Amendments to our partnership agreement may be proposed only by or with the consent of our board of directors. However, our board of directors will have no duty or obligation to propose any amendment and may decline to do so free of any fiduciary duty or obligation whatsoever to us or the limited partners, including any duty to act in good faith or in the best interests of us or the limited partners. In order to adopt a proposed amendment, other than the amendments discussed below, approval of our board of directors is required, as well as written approval of the holders of the number of Common Units required to approve the amendment or call a meeting of the limited partners to consider and vote upon the proposed amendment. In addition, holders of Preference Units must approve certain amendments as described under "—Voting Rights." Except as we describe below, an amendment must be approved by a Unit Majority.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Prohibited Amendments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amendment may be made that would:</w:t>
      </w:r>
    </w:p>
    <w:p>
      <w:pPr>
        <w:spacing w:after="0" w:line="239" w:lineRule="exact"/>
        <w:rPr>
          <w:sz w:val="20"/>
          <w:szCs w:val="20"/>
          <w:color w:val="auto"/>
        </w:rPr>
      </w:pPr>
    </w:p>
    <w:p>
      <w:pPr>
        <w:ind w:left="1080" w:right="14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 the obligations of any limited partner without its consent, unless approved by at least a majority of the type or class of limited partner interests so affected;</w:t>
      </w:r>
    </w:p>
    <w:p>
      <w:pPr>
        <w:spacing w:after="0" w:line="212"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 the obligations of, restrict in any way any action by or rights of, or reduce in any way the amounts distributable, reimbursable or otherwise payable by us to our general partner or any of its affiliates without the consent of the general partner, which may be given or withheld at its option;</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 the term of our partnership;</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 that our partnership is not dissolved upon an election to dissolve our partnership by our general partner and our board of directors that is approved by the holders of a Unit Majority; or</w:t>
      </w:r>
    </w:p>
    <w:p>
      <w:pPr>
        <w:spacing w:after="0" w:line="212" w:lineRule="exact"/>
        <w:rPr>
          <w:rFonts w:ascii="Arial" w:cs="Arial" w:eastAsia="Arial" w:hAnsi="Arial"/>
          <w:sz w:val="18"/>
          <w:szCs w:val="18"/>
          <w:color w:val="auto"/>
        </w:rPr>
      </w:pPr>
    </w:p>
    <w:p>
      <w:pPr>
        <w:ind w:left="1080" w:right="58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give any person the right to dissolve our partnership other than the right of our general partner and our board of directors to dissolve our partnership with the approval of the holders of a Unit Majority.</w:t>
      </w:r>
    </w:p>
    <w:p>
      <w:pPr>
        <w:spacing w:after="0" w:line="186"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The provision of our partnership agreement preventing the amendments having the effects described in clauses (1) through (5) above can be amended upon the approval of the holders of at least 90% of the outstanding units voting together as a single class (including units owned by our general partner and its affiliates).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Unitholder Approval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board of directors may generally make amendments to our partnership agreement without the approval of any limited partner to reflect:</w:t>
      </w:r>
    </w:p>
    <w:p>
      <w:pPr>
        <w:spacing w:after="0" w:line="262"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change in our name, the location of our principal place of business, our registered agent or our registered office;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admission, substitution, withdrawal or removal of partners in accordance with our partnership agreement;</w:t>
      </w:r>
    </w:p>
    <w:p>
      <w:pPr>
        <w:spacing w:after="0" w:line="252" w:lineRule="exact"/>
        <w:rPr>
          <w:rFonts w:ascii="Arial" w:cs="Arial" w:eastAsia="Arial" w:hAnsi="Arial"/>
          <w:sz w:val="18"/>
          <w:szCs w:val="18"/>
          <w:color w:val="auto"/>
        </w:rPr>
      </w:pPr>
    </w:p>
    <w:p>
      <w:pPr>
        <w:ind w:left="1080" w:right="420" w:hanging="532"/>
        <w:spacing w:after="0" w:line="331" w:lineRule="auto"/>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 change that our board of directors determines to be necessary or appropriate for us to qualify or to continue our qualification as a limited partnership or a partnership in which the limited partners have limited liability under the Marshall Islands Act;</w:t>
      </w:r>
    </w:p>
    <w:p>
      <w:pPr>
        <w:spacing w:after="0" w:line="154" w:lineRule="exact"/>
        <w:rPr>
          <w:rFonts w:ascii="Arial" w:cs="Arial" w:eastAsia="Arial" w:hAnsi="Arial"/>
          <w:sz w:val="16"/>
          <w:szCs w:val="16"/>
          <w:color w:val="auto"/>
        </w:rPr>
      </w:pPr>
    </w:p>
    <w:p>
      <w:pPr>
        <w:ind w:left="1080" w:right="260" w:hanging="532"/>
        <w:spacing w:after="0" w:line="298" w:lineRule="auto"/>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 amendment that is necessary, upon the advice of our counsel, to prevent us or our officers or directors or our general partner or their or its agents or trustees from in any manner being subjected to the provisions of the U.S. Investment Company Act of 1940, the U.S. Investment Advisors Act of 1940, or plan asset regulations adopted under the U.S. Employee Retirement Income Security Act of 1974 whether or not substantially similar to plan asset regulations currently applied or proposed;</w:t>
      </w:r>
    </w:p>
    <w:p>
      <w:pPr>
        <w:spacing w:after="0" w:line="179" w:lineRule="exact"/>
        <w:rPr>
          <w:rFonts w:ascii="Arial" w:cs="Arial" w:eastAsia="Arial" w:hAnsi="Arial"/>
          <w:sz w:val="16"/>
          <w:szCs w:val="16"/>
          <w:color w:val="auto"/>
        </w:rPr>
      </w:pPr>
    </w:p>
    <w:p>
      <w:pPr>
        <w:ind w:left="1080" w:right="20" w:hanging="532"/>
        <w:spacing w:after="0" w:line="306" w:lineRule="auto"/>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 amendment that our board of directors determines to be necessary or appropriate for the authorization of additional partnership interests or rights to acquire partnership interests, including any amendment that our board of directors determines is necessary or appropriate in connection with any amendment expressly permitted in the partnership agreement to be made by our board of directors acting alone;</w:t>
      </w:r>
    </w:p>
    <w:p>
      <w:pPr>
        <w:spacing w:after="0" w:line="187" w:lineRule="exact"/>
        <w:rPr>
          <w:rFonts w:ascii="Arial" w:cs="Arial" w:eastAsia="Arial" w:hAnsi="Arial"/>
          <w:sz w:val="16"/>
          <w:szCs w:val="16"/>
          <w:color w:val="auto"/>
        </w:rPr>
      </w:pPr>
    </w:p>
    <w:p>
      <w:pPr>
        <w:ind w:left="1080" w:right="66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amendment effected, necessitated or contemplated by a merger agreement that has been approved under the terms of the partnership agreement;</w:t>
      </w:r>
    </w:p>
    <w:p>
      <w:pPr>
        <w:spacing w:after="0" w:line="199"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amendment that our board of directors determines to be necessary or appropriate for the formation by us of, or our investment in, any corporation, partnership or other entity, as otherwise permitted by the partnership agreement;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change in our fiscal year or taxable year and related changes;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certain mergers or conveyances as set forth in our partnership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amendment to cure any ambiguity, defect or inconsistency;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other amendments substantially similar to any of the matters described in (1) through (10) above.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In addition, our board of directors may make amendments to the partnership agreement without the approval of any limited partner or our general partner (subject to the limited approval rights of the holders of the Preference Units and the holders of other Parity Securities (if applicable)) if our board of directors determines that those amendments:</w:t>
      </w:r>
    </w:p>
    <w:p>
      <w:pPr>
        <w:spacing w:after="0" w:line="207" w:lineRule="exact"/>
        <w:rPr>
          <w:sz w:val="20"/>
          <w:szCs w:val="20"/>
          <w:color w:val="auto"/>
        </w:rPr>
      </w:pPr>
    </w:p>
    <w:p>
      <w:pPr>
        <w:ind w:left="1080" w:right="50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do not adversely affect the rights of our limited partners (or any particular class of limited partners) or our general partner in any material respect;</w:t>
      </w:r>
    </w:p>
    <w:p>
      <w:pPr>
        <w:spacing w:after="0" w:line="21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are necessary or appropriate to satisfy any requirements, conditions or guidelines contained in any opinion, directive, order, ruling or regulation of any Marshall Islands authority or statute;</w:t>
      </w:r>
    </w:p>
    <w:p>
      <w:pPr>
        <w:spacing w:after="0" w:line="199"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are necessary or appropriate to facilitate the trading of limited partner interests or to comply with any rule, regulation, guideline or requirement of any securities exchange on which the limited partner interests are or will be listed for trading;</w:t>
      </w:r>
    </w:p>
    <w:p>
      <w:pPr>
        <w:spacing w:after="0" w:line="199"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are necessary or appropriate for any action taken by our board of directors relating to splits or combinations of units under the provisions of the partnership agreement; or</w:t>
      </w:r>
    </w:p>
    <w:p>
      <w:pPr>
        <w:spacing w:after="0" w:line="212" w:lineRule="exact"/>
        <w:rPr>
          <w:rFonts w:ascii="Arial" w:cs="Arial" w:eastAsia="Arial" w:hAnsi="Arial"/>
          <w:sz w:val="18"/>
          <w:szCs w:val="18"/>
          <w:color w:val="auto"/>
        </w:rPr>
      </w:pPr>
    </w:p>
    <w:p>
      <w:pPr>
        <w:ind w:left="1080" w:right="62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are required to effect the intent expressed in this prospectus or the intent of the provisions of the partnership agreement or are otherwise contemplated by the partnership agreement.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of Counsel and Limited Partner Approval</w:t>
      </w:r>
    </w:p>
    <w:p>
      <w:pPr>
        <w:spacing w:after="0" w:line="225" w:lineRule="exact"/>
        <w:rPr>
          <w:sz w:val="20"/>
          <w:szCs w:val="20"/>
          <w:color w:val="auto"/>
        </w:rPr>
      </w:pPr>
    </w:p>
    <w:p>
      <w:pPr>
        <w:ind w:firstLine="351"/>
        <w:spacing w:after="0" w:line="323" w:lineRule="auto"/>
        <w:rPr>
          <w:sz w:val="20"/>
          <w:szCs w:val="20"/>
          <w:color w:val="auto"/>
        </w:rPr>
      </w:pPr>
      <w:r>
        <w:rPr>
          <w:rFonts w:ascii="Arial" w:cs="Arial" w:eastAsia="Arial" w:hAnsi="Arial"/>
          <w:sz w:val="15"/>
          <w:szCs w:val="15"/>
          <w:color w:val="auto"/>
        </w:rPr>
        <w:t>Our board of directors will not be required to obtain an opinion of counsel that an amendment will not result in a loss of limited liability to the limited partners if one of the amendments described above under "—Amendment of the Partnership Agreement—No Unitholder Approval" should occur. No other amendments to our partnership agreement will become effective without the approval of holders of at least 90% of the outstanding units voting as a single class unless we obtain an opinion of counsel to the effect that the amendment will not affect the limited liability under applicable law of any of our limited partners.</w:t>
      </w:r>
    </w:p>
    <w:p>
      <w:pPr>
        <w:spacing w:after="0" w:line="15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addition to the above restrictions, any amendment that would have a material adverse effect on the rights or privileges of any type or class or series of outstanding limited partner interests (other than Preference Units) in relation to other classes or series of limited partner interests will require the approval of at least a majority of the type or class or series of units so affected; provided, however, that any amendment that would have a material adverse effect on the existing terms of the Preference Units will require the approval of at least two-thirds of the outstanding Preference Units. Any amendment that reduces the voting percentage required to take any action must be approved by the affirmative vote of limited partners whose aggregate outstanding units constitute not less than the voting requirement sought to be reduced.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Sale, Conversion or Other Disposition of Assets</w:t>
      </w:r>
    </w:p>
    <w:p>
      <w:pPr>
        <w:spacing w:after="0" w:line="231" w:lineRule="exact"/>
        <w:rPr>
          <w:sz w:val="20"/>
          <w:szCs w:val="20"/>
          <w:color w:val="auto"/>
        </w:rPr>
      </w:pPr>
    </w:p>
    <w:p>
      <w:pPr>
        <w:ind w:right="80" w:firstLine="341"/>
        <w:spacing w:after="0" w:line="288" w:lineRule="auto"/>
        <w:rPr>
          <w:sz w:val="20"/>
          <w:szCs w:val="20"/>
          <w:color w:val="auto"/>
        </w:rPr>
      </w:pPr>
      <w:r>
        <w:rPr>
          <w:rFonts w:ascii="Arial" w:cs="Arial" w:eastAsia="Arial" w:hAnsi="Arial"/>
          <w:sz w:val="16"/>
          <w:szCs w:val="16"/>
          <w:color w:val="auto"/>
        </w:rPr>
        <w:t>A merger or consolidation of us requires the approval of our board of directors and the prior consent of our general partner and a Unit Majority. However, to the fullest extent permitted by law, our board of directors and our general partner will have no duty or obligation to consent to any merger or consolidation and may decline to do so free of any fiduciary duty or obligation whatsoever to us or the limited partners, including any duty to act in good faith or in the best interests of us or the limited partners. In addition, our partnership agreement generally prohibits our board of directors, without the prior approval of our general partner and the holders of units representing a Unit Majority, from causing us to, among other things, sell, exchange or otherwise dispose of all or substantially all of our assets in a single transaction or a series of related transactions, including by way of merger, consolidation or other combination, or approving on our behalf the sale, exchange or other disposition of all or substantially all of the assets of our subsidiaries taken as a whole. Our board of directors may, however, mortgage, pledge, hypothecate or grant a security interest in all or substantially all of our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assets without the prior approval of the holders of units representing a Unit Majority. Our general partner and our board of directors may also determine to sell all or substantially all of our assets under a foreclosure or other realization upon those encumbrances without the approval of the holders of units representing a Unit Majority.</w:t>
      </w:r>
    </w:p>
    <w:p>
      <w:pPr>
        <w:spacing w:after="0" w:line="194"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If conditions specified in our partnership agreement are satisfied, our board of directors, with the consent of our general partner, may convert us or any of our subsidiaries into a new limited liability entity or merge us or any of our subsidiaries into, or convey some or all of our assets to, a newly formed entity if the sole purpose of that merger or conveyance is to effect a mere change in our legal form into another limited liability entity. The unitholders are not entitled to dissenters' rights of appraisal under our partnership agreement or applicable law in the event of a conversion, merger or consolidation, sale of substantially all of our assets or any other transaction or event.</w:t>
      </w:r>
    </w:p>
    <w:p>
      <w:pPr>
        <w:spacing w:after="0" w:line="201" w:lineRule="exact"/>
        <w:rPr>
          <w:sz w:val="20"/>
          <w:szCs w:val="20"/>
          <w:color w:val="auto"/>
        </w:rPr>
      </w:pPr>
    </w:p>
    <w:p>
      <w:pPr>
        <w:ind w:right="60" w:firstLine="351"/>
        <w:spacing w:after="0" w:line="331" w:lineRule="auto"/>
        <w:rPr>
          <w:sz w:val="20"/>
          <w:szCs w:val="20"/>
          <w:color w:val="auto"/>
        </w:rPr>
      </w:pPr>
      <w:r>
        <w:rPr>
          <w:rFonts w:ascii="Arial" w:cs="Arial" w:eastAsia="Arial" w:hAnsi="Arial"/>
          <w:sz w:val="16"/>
          <w:szCs w:val="16"/>
          <w:color w:val="auto"/>
        </w:rPr>
        <w:t>Immediately before the consummation of a change of control (as defined in the partnership agreement) or the consummation of a merger, consolidation or conversion of the partnership, all Class B Units that have not yet converted will automatically convert into Common Units on a one-for-one basis.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and Dissolution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continue as a limited partnership until terminated or converted under our partnership agreement. We will dissolve upon:</w:t>
      </w:r>
    </w:p>
    <w:p>
      <w:pPr>
        <w:spacing w:after="0" w:line="239"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election of our general partner and our board of directors to dissolve us, if approved by the holders of units representing a Unit Majority;</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at any time there are no limited partners, unless we continue without dissolution in accordance with the Marshall Islands Act;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entry of a decree of judicial dissolution of us; or</w:t>
      </w:r>
    </w:p>
    <w:p>
      <w:pPr>
        <w:spacing w:after="0" w:line="238" w:lineRule="exact"/>
        <w:rPr>
          <w:rFonts w:ascii="Arial" w:cs="Arial" w:eastAsia="Arial" w:hAnsi="Arial"/>
          <w:sz w:val="18"/>
          <w:szCs w:val="18"/>
          <w:color w:val="auto"/>
        </w:rPr>
      </w:pPr>
    </w:p>
    <w:p>
      <w:pPr>
        <w:jc w:val="both"/>
        <w:ind w:left="1080" w:right="40" w:hanging="532"/>
        <w:spacing w:after="0" w:line="259"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withdrawal or removal of our general partner or any other event that results in its ceasing to be our general partner other than by reason of a transfer of its general partner interest in accordance with the partnership agreement or withdrawal or removal following approval and admission of a successor.</w:t>
      </w:r>
    </w:p>
    <w:p>
      <w:pPr>
        <w:spacing w:after="0" w:line="194" w:lineRule="exact"/>
        <w:rPr>
          <w:sz w:val="20"/>
          <w:szCs w:val="20"/>
          <w:color w:val="auto"/>
        </w:rPr>
      </w:pPr>
    </w:p>
    <w:p>
      <w:pPr>
        <w:ind w:right="200" w:firstLine="351"/>
        <w:spacing w:after="0" w:line="306" w:lineRule="auto"/>
        <w:rPr>
          <w:sz w:val="20"/>
          <w:szCs w:val="20"/>
          <w:color w:val="auto"/>
        </w:rPr>
      </w:pPr>
      <w:r>
        <w:rPr>
          <w:rFonts w:ascii="Arial" w:cs="Arial" w:eastAsia="Arial" w:hAnsi="Arial"/>
          <w:sz w:val="16"/>
          <w:szCs w:val="16"/>
          <w:color w:val="auto"/>
        </w:rPr>
        <w:t>Upon a dissolution under clause (4), the holders of a Unit Majority may also elect, within specific time limitations, to continue our business on the same terms and conditions described in the partnership agreement by appointing as general partner an entity approved by the holders of units representing a Unit Majority, subject to our receipt of an opinion of counsel to the effect that the action would not result in the loss of limited liability of any limited partner.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and Distribution of Proceeds</w:t>
      </w:r>
    </w:p>
    <w:p>
      <w:pPr>
        <w:spacing w:after="0" w:line="231"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Upon our dissolution, unless we are continued as a new limited partnership, the liquidator authorized to wind up our affairs will, acting with all of the powers of our board of directors that are necessary or appropriate, liquidate our assets and apply the proceeds of the liquidation as provided in the Partnership Agreement. The liquidator may defer liquidation or distribution of our assets for a reasonable period or distribute assets to partners in kind if it determines that a sale would be impractical or would cause undue loss to our partners. A consolidation or merger of us with or into any other entity, individually or in a series of transactions, will not be deemed to be a liquidation, dissolution or winding up of our affairs.</w:t>
      </w:r>
    </w:p>
    <w:p>
      <w:pPr>
        <w:spacing w:after="0" w:line="169" w:lineRule="exact"/>
        <w:rPr>
          <w:sz w:val="20"/>
          <w:szCs w:val="20"/>
          <w:color w:val="auto"/>
        </w:rPr>
      </w:pPr>
    </w:p>
    <w:p>
      <w:pPr>
        <w:jc w:val="both"/>
        <w:ind w:right="240" w:firstLine="351"/>
        <w:spacing w:after="0" w:line="306" w:lineRule="auto"/>
        <w:rPr>
          <w:sz w:val="20"/>
          <w:szCs w:val="20"/>
          <w:color w:val="auto"/>
        </w:rPr>
      </w:pPr>
      <w:r>
        <w:rPr>
          <w:rFonts w:ascii="Arial" w:cs="Arial" w:eastAsia="Arial" w:hAnsi="Arial"/>
          <w:sz w:val="16"/>
          <w:szCs w:val="16"/>
          <w:color w:val="auto"/>
        </w:rPr>
        <w:t>In the event of any liquidation, dissolution or winding up of our affairs, whether voluntary or involuntary, holders of the Preference Units will generally have the right to receive the liquidation preference of $25.00 per unit plus an amount equal to all accumulated and unpaid distributions thereon to the date of payment, whether or not declared, before any payments are made to holders of our Common Units or general partner units.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Immediately upon the dissolution of the partnership, before any liquidation distributions are made, all Class B Units that have not yet converted will automatically convert into Common Units on a one-for-one basis.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or Removal of our General Partner</w:t>
      </w:r>
    </w:p>
    <w:p>
      <w:pPr>
        <w:spacing w:after="0" w:line="23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Except as described below, our general partner has agreed not to withdraw voluntarily as our general partner prior to March 31, 2024 without obtaining the approval of the holders of at least a majority of the outstanding Common Units, excluding Common Units held by our general partner and its affiliates, and furnishing an opinion of counsel regarding limited liability. On or after March 31, 2024, our general partner may withdraw as general partner without first obtaining approval of any unitholder by giving 90 days' written notice, and that withdrawal will not constitute a violation of the partnership agreement. Notwithstanding the above, our general partner may withdraw without unitholder approval upon 90 days' written notice to the limited partners if at least 50% of the outstanding Common Units are held or controlled by one person and its affiliates other than our general partner and its affiliates. In addition, the partnership agreement permits our general partner in some instances to sell or otherwise transfer all of its general partner interest in us without the approval of the unitholders. See "—Transfer of General Partner Interest".</w:t>
      </w:r>
    </w:p>
    <w:p>
      <w:pPr>
        <w:spacing w:after="0" w:line="178"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color w:val="auto"/>
        </w:rPr>
        <w:t>Upon withdrawal of our general partner under any circumstances, other than as a result of a transfer by our general partner of all or a part of its general partner interest in us, the holders of a majority of the outstanding Common Units, may select a successor to that withdrawing general partner. If a successor is not elected, or is elected but an opinion of counsel regarding limited liability cannot be obtained, we will be dissolved, wound up and liquidated, unless within a specified period of time after that withdrawal, the holders of a Unit Majority agree in writing to continue our business and to appoint a successor general partner. See "—Termination and Dissolution".</w:t>
      </w:r>
    </w:p>
    <w:p>
      <w:pPr>
        <w:spacing w:after="0" w:line="202" w:lineRule="exact"/>
        <w:rPr>
          <w:sz w:val="20"/>
          <w:szCs w:val="20"/>
          <w:color w:val="auto"/>
        </w:rPr>
      </w:pPr>
    </w:p>
    <w:p>
      <w:pPr>
        <w:ind w:right="240" w:firstLine="351"/>
        <w:spacing w:after="0" w:line="255" w:lineRule="auto"/>
        <w:rPr>
          <w:sz w:val="20"/>
          <w:szCs w:val="20"/>
          <w:color w:val="auto"/>
        </w:rPr>
      </w:pPr>
      <w:r>
        <w:rPr>
          <w:rFonts w:ascii="Arial" w:cs="Arial" w:eastAsia="Arial" w:hAnsi="Arial"/>
          <w:sz w:val="15"/>
          <w:szCs w:val="15"/>
          <w:color w:val="auto"/>
        </w:rPr>
        <w:t>Our general partner may not be removed unless that removal is approved by the vote of the holders of not less than 66</w:t>
      </w:r>
      <w:r>
        <w:rPr>
          <w:rFonts w:ascii="Arial" w:cs="Arial" w:eastAsia="Arial" w:hAnsi="Arial"/>
          <w:sz w:val="24"/>
          <w:szCs w:val="24"/>
          <w:color w:val="auto"/>
          <w:vertAlign w:val="superscript"/>
        </w:rPr>
        <w:t>2</w:t>
      </w:r>
      <w:r>
        <w:rPr>
          <w:rFonts w:ascii="Arial" w:cs="Arial" w:eastAsia="Arial" w:hAnsi="Arial"/>
          <w:sz w:val="15"/>
          <w:szCs w:val="15"/>
          <w:color w:val="auto"/>
        </w:rPr>
        <w:t>/</w:t>
      </w:r>
      <w:r>
        <w:rPr>
          <w:rFonts w:ascii="Arial" w:cs="Arial" w:eastAsia="Arial" w:hAnsi="Arial"/>
          <w:sz w:val="12"/>
          <w:szCs w:val="12"/>
          <w:color w:val="auto"/>
        </w:rPr>
        <w:t>3</w:t>
      </w:r>
      <w:r>
        <w:rPr>
          <w:rFonts w:ascii="Arial" w:cs="Arial" w:eastAsia="Arial" w:hAnsi="Arial"/>
          <w:sz w:val="15"/>
          <w:szCs w:val="15"/>
          <w:color w:val="auto"/>
        </w:rPr>
        <w:t>% of the outstanding Common Units, including units held by our general partner and its affiliates, voting together as a single class, and we receive an opinion of counsel regarding limited</w:t>
      </w:r>
    </w:p>
    <w:p>
      <w:pPr>
        <w:spacing w:after="0" w:line="1"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liability. The ownership of more than 33</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the outstanding units by our general partner and its affiliates or the control of our board of directors by our general partner and its affiliates would provide the practical ability to prevent our general partner's removal. Any removal of our general partner is also subject to the successor general partner being approved by the vote of the holders of a majority of the outstanding Common Units, voting as a single class.</w:t>
      </w:r>
    </w:p>
    <w:p>
      <w:pPr>
        <w:spacing w:after="0" w:line="203"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Our partnership agreement also provides that if our general partner is removed as our general partner under circumstances where cause does not exist and units held by our general partner and its affiliates are not voted in favor of that removal:</w:t>
      </w:r>
    </w:p>
    <w:p>
      <w:pPr>
        <w:spacing w:after="0" w:line="199"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Class B Units will immediately and automatically convert into Common Units on a one-for-one basis; and</w:t>
      </w:r>
    </w:p>
    <w:p>
      <w:pPr>
        <w:spacing w:after="0" w:line="25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general partner will have the right to convert its general partner interest into Common Units or to receive cash in exchange for that interest based on the fair market value of that interest at the time.</w:t>
      </w:r>
    </w:p>
    <w:p>
      <w:pPr>
        <w:spacing w:after="0" w:line="186"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In the event of removal of our general partner under circumstances where cause exists or withdrawal of our general partner where that withdrawal violates the partnership agreement, a successor general partner will have the option to purchase the general partner interest owned by the departing general partner for a cash payment equal to the fair market value of that interest. Under all other circumstances where our general partner withdraws or is removed by the limited partners, the departing general partner will have the option to require the successor general partner to purchase the general partner interest of the departing general partner for its fair market value. In each case, this fair</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market value will be determined by agreement between the departing general partner and the successor general partner. If no agreement is reached, an independent investment banking firm or other independent expert selected by the departing general partner and the successor general partner will determine the fair market value. Or, if the departing general partner and the successor general partner cannot agree upon an expert, then an expert chosen by agreement of the experts selected by each of them will determine the fair market value.</w:t>
      </w:r>
    </w:p>
    <w:p>
      <w:pPr>
        <w:spacing w:after="0" w:line="197" w:lineRule="exact"/>
        <w:rPr>
          <w:sz w:val="20"/>
          <w:szCs w:val="20"/>
          <w:color w:val="auto"/>
        </w:rPr>
      </w:pPr>
    </w:p>
    <w:p>
      <w:pPr>
        <w:ind w:right="500" w:firstLine="351"/>
        <w:spacing w:after="0" w:line="306" w:lineRule="auto"/>
        <w:rPr>
          <w:sz w:val="20"/>
          <w:szCs w:val="20"/>
          <w:color w:val="auto"/>
        </w:rPr>
      </w:pPr>
      <w:r>
        <w:rPr>
          <w:rFonts w:ascii="Arial" w:cs="Arial" w:eastAsia="Arial" w:hAnsi="Arial"/>
          <w:sz w:val="16"/>
          <w:szCs w:val="16"/>
          <w:color w:val="auto"/>
        </w:rPr>
        <w:t>If the option described above is not exercised by either the departing general partner or the successor general partner, the departing general partner's general partner interest will automatically convert into Common Units equal to the fair market value of those interests as determined by an independent investment banking firm or other independent expert selected in the manner described in the preceding paragraph.</w:t>
      </w:r>
    </w:p>
    <w:p>
      <w:pPr>
        <w:spacing w:after="0" w:line="160"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In addition, we will be required to reimburse the departing general partner for all amounts due the departing general partner, including, without limitation, any employee-related liabilities, including severance liabilities, incurred for the termination of any employees employed by the departing general partner or its affiliates for our benefit.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General Partner Interest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Except for the transfer by our general partner of all, but not less than all, of its general partner interest in us to:</w:t>
      </w:r>
    </w:p>
    <w:p>
      <w:pPr>
        <w:spacing w:after="0" w:line="239"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affiliate of our general partner (other than an individual); or</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another entity as part of the merger or consolidation of our general partner with or into another entity or the transfer by our general partner of all or substantially all of its assets to another entity,</w:t>
      </w:r>
    </w:p>
    <w:p>
      <w:pPr>
        <w:spacing w:after="0" w:line="186"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our general partner may not transfer all or any part of its general partner interest in us to another person prior to March 31, 2024, without the approval of the holders of at least a majority of the outstanding Common Units, excluding Common Units held by our general partner and its affiliates. As a condition of this transfer, the transferee must, among other things, assume the rights and duties of the general partner, agree to be bound by the provisions of the partnership agreement and furnish an opinion of counsel regarding limited liability.</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general partner and its affiliates may at any time transfer units to one or more persons, without unitholder approval.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Ownership Interests in General Partner</w:t>
      </w:r>
    </w:p>
    <w:p>
      <w:pPr>
        <w:spacing w:after="0" w:line="231" w:lineRule="exact"/>
        <w:rPr>
          <w:sz w:val="20"/>
          <w:szCs w:val="20"/>
          <w:color w:val="auto"/>
        </w:rPr>
      </w:pPr>
    </w:p>
    <w:p>
      <w:pPr>
        <w:ind w:right="580" w:firstLine="341"/>
        <w:spacing w:after="0" w:line="268" w:lineRule="auto"/>
        <w:rPr>
          <w:sz w:val="20"/>
          <w:szCs w:val="20"/>
          <w:color w:val="auto"/>
        </w:rPr>
      </w:pPr>
      <w:r>
        <w:rPr>
          <w:rFonts w:ascii="Arial" w:cs="Arial" w:eastAsia="Arial" w:hAnsi="Arial"/>
          <w:sz w:val="18"/>
          <w:szCs w:val="18"/>
          <w:color w:val="auto"/>
        </w:rPr>
        <w:t>At any time, the members of our general partner may sell or transfer all or part of their respective membership interests in our general partner to an affiliate or a third party without the approval of our unitholders.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Common Units, Class B Units and Preference Units</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By transfer of Common Units, Class B Units or Preference Units in accordance with the partnership agreement, each transferee of Common Units, Class B Units or Preference Units automatically is admitted as a limited partner with respect to the Common Units, Class B Units or Preference Units transferred when such transfer and admission is reflected in our books and records. We will cause any transfers to be recorded on our books and records no less frequently than quarterly. Each transferee automatically is deemed to:</w:t>
      </w:r>
    </w:p>
    <w:p>
      <w:pPr>
        <w:spacing w:after="0" w:line="210" w:lineRule="exact"/>
        <w:rPr>
          <w:sz w:val="20"/>
          <w:szCs w:val="20"/>
          <w:color w:val="auto"/>
        </w:rPr>
      </w:pPr>
    </w:p>
    <w:p>
      <w:pPr>
        <w:ind w:left="5540" w:right="2160" w:hanging="4992"/>
        <w:spacing w:after="0" w:line="518" w:lineRule="auto"/>
        <w:tabs>
          <w:tab w:leader="none" w:pos="1092"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 that the transferee has the capacity, power and authority to become bound by the partnership agreement;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361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agree to be bound by the terms and conditions of, and to have executed, the partnership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grants power of attorney to officers of our general partner and any liquidator of us as specified in the partnership agreement;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give the consents and approvals contained in the partnership agreement.</w:t>
      </w:r>
    </w:p>
    <w:p>
      <w:pPr>
        <w:spacing w:after="0" w:line="225" w:lineRule="exact"/>
        <w:rPr>
          <w:sz w:val="20"/>
          <w:szCs w:val="20"/>
          <w:color w:val="auto"/>
        </w:rPr>
      </w:pPr>
    </w:p>
    <w:p>
      <w:pPr>
        <w:ind w:firstLine="348"/>
        <w:spacing w:after="0" w:line="369" w:lineRule="auto"/>
        <w:rPr>
          <w:sz w:val="20"/>
          <w:szCs w:val="20"/>
          <w:color w:val="auto"/>
        </w:rPr>
      </w:pPr>
      <w:r>
        <w:rPr>
          <w:rFonts w:ascii="Arial" w:cs="Arial" w:eastAsia="Arial" w:hAnsi="Arial"/>
          <w:sz w:val="15"/>
          <w:szCs w:val="15"/>
          <w:color w:val="auto"/>
        </w:rPr>
        <w:t>We are entitled to treat the nominee holder of a Common Unit, Class B Unit or a Preference Unit as the absolute owner. In that case, the beneficial holder's rights are limited solely to those that it has against the nominee holder as a result of any agreement between the beneficial owner and the nominee holder.</w:t>
      </w:r>
    </w:p>
    <w:p>
      <w:pPr>
        <w:spacing w:after="0" w:line="118" w:lineRule="exact"/>
        <w:rPr>
          <w:sz w:val="20"/>
          <w:szCs w:val="20"/>
          <w:color w:val="auto"/>
        </w:rPr>
      </w:pPr>
    </w:p>
    <w:p>
      <w:pPr>
        <w:ind w:right="20" w:firstLine="351"/>
        <w:spacing w:after="0" w:line="331" w:lineRule="auto"/>
        <w:rPr>
          <w:sz w:val="20"/>
          <w:szCs w:val="20"/>
          <w:color w:val="auto"/>
        </w:rPr>
      </w:pPr>
      <w:r>
        <w:rPr>
          <w:rFonts w:ascii="Arial" w:cs="Arial" w:eastAsia="Arial" w:hAnsi="Arial"/>
          <w:sz w:val="16"/>
          <w:szCs w:val="16"/>
          <w:color w:val="auto"/>
        </w:rPr>
        <w:t>Common Units, Class B Units and Preference Units are securities and are transferable according to the laws governing transfer of securities. In addition to other rights acquired upon transfer, the transferor gives the transferee the right to become a limited partner in our partnership for the transferred units.</w:t>
      </w:r>
    </w:p>
    <w:p>
      <w:pPr>
        <w:spacing w:after="0" w:line="141" w:lineRule="exact"/>
        <w:rPr>
          <w:sz w:val="20"/>
          <w:szCs w:val="20"/>
          <w:color w:val="auto"/>
        </w:rPr>
      </w:pPr>
    </w:p>
    <w:p>
      <w:pPr>
        <w:ind w:right="200" w:firstLine="351"/>
        <w:spacing w:after="0" w:line="331" w:lineRule="auto"/>
        <w:rPr>
          <w:sz w:val="20"/>
          <w:szCs w:val="20"/>
          <w:color w:val="auto"/>
        </w:rPr>
      </w:pPr>
      <w:r>
        <w:rPr>
          <w:rFonts w:ascii="Arial" w:cs="Arial" w:eastAsia="Arial" w:hAnsi="Arial"/>
          <w:sz w:val="16"/>
          <w:szCs w:val="16"/>
          <w:color w:val="auto"/>
        </w:rPr>
        <w:t>Until a Common Unit, Class B Unit or a Preference Unit has been transferred on our books, we and our transfer agent may treat the record holder of the unit as the absolute owner of such unit for all purposes, except as otherwise required by law or stock exchange regulations.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Management Provisions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partnership agreement contains specific provisions that are intended to discourage a person or group from attempting to remove GasLog</w:t>
      </w:r>
    </w:p>
    <w:p>
      <w:pPr>
        <w:spacing w:after="0" w:line="38"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Partners GP LLC as our general partner or otherwise change management. If any person or group acquires beneficial ownership of more than 4.9% of any class or series of units then outstanding, that person or group loses voting rights on all of its units in excess of 4.9% of all such units. Our general partner, its affiliates and persons who acquired Common Units with the prior approval of our board of directors will not be subject to this 4.9% limitation except with respect to voting their Common Units in the election of the elected directors. This loss of voting rights does not apply to the Preference Units.</w:t>
      </w:r>
    </w:p>
    <w:p>
      <w:pPr>
        <w:spacing w:after="0" w:line="169"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The partnership agreement also provides that if our general partner is removed under circumstances where cause does not exist and units held by our general partner and its affiliates are not voted in favor of that removal:</w:t>
      </w:r>
    </w:p>
    <w:p>
      <w:pPr>
        <w:spacing w:after="0" w:line="199"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Class B Units will immediately and automatically convert into Common Units on a one-for-one basis;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our general partner will have the right to convert its general partner interest into Common Units or to receive cash in exchange for that interest.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Call Right</w:t>
      </w:r>
    </w:p>
    <w:p>
      <w:pPr>
        <w:spacing w:after="0" w:line="231"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If at any time our general partner and its affiliates hold more than 80% of the then-issued and outstanding partnership interests of any class or series, except for the Class B Units and Preference Units, our general partner will have the right, which it may assign in whole or in part to any of its affiliates or to us, to acquire all, but not less than all, of the remaining partnership interests of the class held by unaffiliated persons as of a record date to be selected by the general partner, on at least ten but not more than 60 days' written notice at a price equal to the greater of (x) the average of the daily closing prices of the partnership interests of such class over the 20 trading days preceding the date three days before the notice of exercise of the call right is first mailed and (y) the highest price paid by our general partner or any of its affiliates for partnership interests of such class during the 90-day period preceding the date such notice is first mailed. Our general partner is not obligated to obtain a fairness opinion regarding the value of the Partnership units to be repurchased by it upon the exercise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of this limited call right and has no fiduciary duty in determining whether to exercise this limited call right.</w:t>
      </w:r>
    </w:p>
    <w:p>
      <w:pPr>
        <w:spacing w:after="0" w:line="225" w:lineRule="exact"/>
        <w:rPr>
          <w:sz w:val="20"/>
          <w:szCs w:val="20"/>
          <w:color w:val="auto"/>
        </w:rPr>
      </w:pPr>
    </w:p>
    <w:p>
      <w:pPr>
        <w:ind w:right="80" w:firstLine="341"/>
        <w:spacing w:after="0" w:line="256" w:lineRule="auto"/>
        <w:rPr>
          <w:sz w:val="20"/>
          <w:szCs w:val="20"/>
          <w:color w:val="auto"/>
        </w:rPr>
      </w:pPr>
      <w:r>
        <w:rPr>
          <w:rFonts w:ascii="Arial" w:cs="Arial" w:eastAsia="Arial" w:hAnsi="Arial"/>
          <w:sz w:val="18"/>
          <w:szCs w:val="18"/>
          <w:color w:val="auto"/>
        </w:rPr>
        <w:t>As a result of the general partner's right to purchase outstanding partnership interests, a holder of partnership interests may have the holder's partnership interests (except for the Class B Units and Preference Units) purchased at an undesirable time or price. The tax consequences to a unitholder of the exercise of this call right are the same as a sale by that unitholder of units in the market. See "Material U.S. Federal Income Tax Considerations" and "Non-United States Tax Considerations."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231"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Under our partnership agreement, our general partner has delegated to our board of directors the authority to oversee and direct our operations, policies and management on an exclusive basis, and such delegation will be binding on any successor general partner of the partnership. As of October 9, 2020, our board of directors is comprised of five persons. Our general partner has appointed three of our five directors and the Common Unitholders elected the remaining two directors. Four of our directors meet the independence standards of the NYSE, two of which also qualify as independent of GasLog under our partnership agreement, so as to be eligible for membership on our conflicts committee. If our general partner exercises its right to transfer the power to elect a majority of our directors to the Common Unitholders, an additional director will thereafter be elected by our Common Unitholders.</w:t>
      </w:r>
    </w:p>
    <w:p>
      <w:pPr>
        <w:spacing w:after="0" w:line="174"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Under certain limited circumstances, holders of our Preference Units (voting together as a class with any other Parity Securities) may elect one additional director to serve on our board of directors, at which point our general partner would similarly be entitled, at its election, to appoint one additional director to serve for only as long a period of time as the director elected by the holders of Preference Units and any other Parity Securities.</w:t>
      </w:r>
    </w:p>
    <w:p>
      <w:pPr>
        <w:spacing w:after="0" w:line="160"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Our board of directors nominates individuals to stand for election as elected board members on a staggered basis at an annual meeting of our limited partners. In addition, any limited partner or group of limited partners that holds beneficially 10% or more of the outstanding Common Units is entitled to nominate one or more individuals to stand for election as elected board members at the annual meeting by providing written notice to our board of directors not more than 120 days nor less than 90 days prior to the meeting. However, if the date of the annual meeting is not publicly announced by us at least 100 days prior to the date of the meeting, the notice must be delivered to our board of directors not later than ten days following the public announcement of the meeting date. The notice must set forth:</w:t>
      </w:r>
    </w:p>
    <w:p>
      <w:pPr>
        <w:spacing w:after="0" w:line="211" w:lineRule="exact"/>
        <w:rPr>
          <w:sz w:val="20"/>
          <w:szCs w:val="20"/>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name and address of the limited partner or limited partners making the nomination or nominations;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number of Common Units beneficially owned by the limited partner or limited partners;</w:t>
      </w:r>
    </w:p>
    <w:p>
      <w:pPr>
        <w:spacing w:after="0" w:line="238" w:lineRule="exact"/>
        <w:rPr>
          <w:rFonts w:ascii="Arial" w:cs="Arial" w:eastAsia="Arial" w:hAnsi="Arial"/>
          <w:sz w:val="18"/>
          <w:szCs w:val="18"/>
          <w:color w:val="auto"/>
        </w:rPr>
      </w:pPr>
    </w:p>
    <w:p>
      <w:pPr>
        <w:ind w:left="1080" w:right="320" w:hanging="532"/>
        <w:spacing w:after="0" w:line="331" w:lineRule="auto"/>
        <w:tabs>
          <w:tab w:leader="none" w:pos="10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information regarding the nominee(s) proposed by the limited partner or limited partners as would be required to be included in a proxy statement relating to the solicitation of proxies for the election of directors filed pursuant to the proxy rules of the SEC;</w:t>
      </w:r>
    </w:p>
    <w:p>
      <w:pPr>
        <w:spacing w:after="0" w:line="154" w:lineRule="exact"/>
        <w:rPr>
          <w:rFonts w:ascii="Arial" w:cs="Arial" w:eastAsia="Arial" w:hAnsi="Arial"/>
          <w:sz w:val="16"/>
          <w:szCs w:val="16"/>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written consent of the nominee(s) to serve as a member of our board of directors if so elected;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certification that the nominee(s) qualify as elected board members.</w:t>
      </w:r>
    </w:p>
    <w:p>
      <w:pPr>
        <w:spacing w:after="0" w:line="225"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Our general partner may remove an appointed board member with or without cause at any time. "Cause" generally means a court's finding a person liable for actual fraud or willful misconduct in his or its capacity as a director. Any and all of the board members may be removed at any time for cause by the affirmative vote of a majority of the other board members. Any and all of the board members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appointed by our general partner may be removed for cause at a properly called meeting of the limited partners by a majority vote of the outstanding units, voting as a single class. If any appointed board member is removed, resigns or is otherwise unable to serve as a board member, our general partner may fill the vacancy. Any and all of the board members elected by the Common Unitholders may be removed for cause at a properly called meeting of the limited partners by a majority vote of the outstanding Common Units. If any elected board member is removed, resigns or is otherwise unable to serve as a board member, the vacancy may be filled by a majority of the other elected board members then serving.</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Voting</w:t>
      </w:r>
    </w:p>
    <w:p>
      <w:pPr>
        <w:spacing w:after="0" w:line="231"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Unlike the holders of common stock in a corporation, the holders of our Common Units have only limited voting rights on matters affecting our business. On those matters that are submitted to a vote of Common Unitholders, each record holder of a Common Unit may vote according to the holder's percentage interest in us of all holders entitled to vote on such matter, although additional limited partners interests having special voting rights could be issued. Holders of the Class B Units and Preference Units generally have no voting rights. However, holders of the Preference Units have limited voting rights as described under "—Voting Rights".</w:t>
      </w:r>
    </w:p>
    <w:p>
      <w:pPr>
        <w:spacing w:after="0" w:line="201"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Except as described below regarding a person or group owning more than 4.9% of any class or series of limited partner interests then outstanding, limited partners who are record holders of units on the record date will be entitled to notice of, and to vote at, meetings of our limited partners and to act upon matters for which approvals may be solicited.</w:t>
      </w:r>
    </w:p>
    <w:p>
      <w:pPr>
        <w:spacing w:after="0" w:line="194" w:lineRule="exact"/>
        <w:rPr>
          <w:sz w:val="20"/>
          <w:szCs w:val="20"/>
          <w:color w:val="auto"/>
        </w:rPr>
      </w:pPr>
    </w:p>
    <w:p>
      <w:pPr>
        <w:ind w:right="120" w:firstLine="348"/>
        <w:spacing w:after="0" w:line="283" w:lineRule="auto"/>
        <w:rPr>
          <w:sz w:val="20"/>
          <w:szCs w:val="20"/>
          <w:color w:val="auto"/>
        </w:rPr>
      </w:pPr>
      <w:r>
        <w:rPr>
          <w:rFonts w:ascii="Arial" w:cs="Arial" w:eastAsia="Arial" w:hAnsi="Arial"/>
          <w:sz w:val="16"/>
          <w:szCs w:val="16"/>
          <w:color w:val="auto"/>
        </w:rPr>
        <w:t>We hold a meeting of the limited partners every year to elect one or more members of our board of directors and to vote on any other matters that are properly brought before the meeting. Any action that is required or permitted to be taken by our limited partners, or any applicable class thereof, may be taken either at a meeting of the applicable limited partners or without a meeting if consents in writing describing the action so taken are signed by holders of the number of limited partner interests necessary to authorize or take that action at a meeting. Meetings of our limited partners may be called by our board of directors or by limited partners owning at least 20% of the outstanding limited partner interests of the class for which a meeting is proposed. Limited partners</w:t>
      </w:r>
    </w:p>
    <w:p>
      <w:pPr>
        <w:spacing w:after="0" w:line="2" w:lineRule="exact"/>
        <w:rPr>
          <w:sz w:val="20"/>
          <w:szCs w:val="20"/>
          <w:color w:val="auto"/>
        </w:rPr>
      </w:pPr>
    </w:p>
    <w:p>
      <w:pPr>
        <w:jc w:val="both"/>
        <w:ind w:right="80"/>
        <w:spacing w:after="0" w:line="231" w:lineRule="auto"/>
        <w:rPr>
          <w:sz w:val="20"/>
          <w:szCs w:val="20"/>
          <w:color w:val="auto"/>
        </w:rPr>
      </w:pPr>
      <w:r>
        <w:rPr>
          <w:rFonts w:ascii="Arial" w:cs="Arial" w:eastAsia="Arial" w:hAnsi="Arial"/>
          <w:sz w:val="17"/>
          <w:szCs w:val="17"/>
          <w:color w:val="auto"/>
        </w:rPr>
        <w:t>may vote either in person or by proxy at meetings. The holders of 33</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of the outstanding limited partner interests of the class, classes or series for which a meeting has been called, represented in person or by proxy, will constitute a quorum unless any action by the limited partners requires approval by holders of a greater percentage of the limited partner interests, in which case the quorum will be the greater percentage.</w:t>
      </w:r>
    </w:p>
    <w:p>
      <w:pPr>
        <w:spacing w:after="0" w:line="212"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Each record holder of a unit may vote according to the holder's percentage interest in us, although additional limited partner interests having special voting rights could be issued. See "—Issuance of Additional Interests". However, if at any time, any person or group owns beneficially more than 4.9% of any class of units then outstanding, except for Class B Units and Preference Units, any such limited partner interests owned by that person or group in excess of 4.9% may not be voted on any matter and will not be considered to be outstanding when sending notices of a meeting of limited partners, calculating required votes (except for purposes of nominating a person for election to our board of directors), determining the presence of a quorum or for other similar purposes under our partnership agreement, unless otherwise required by law. Effectively, this means that the voting rights of any such limited partners in excess of 4.9% will be redistributed pro rata among the other limited partners of such class or series holding less than 4.9% of the voting power of all classes of limited partner interests entitled to vote. Our general partner, its affiliates and persons who acquired Common Units with the prior approval of our board of directors will not be subject to this 4.9% limitation except with respect to voting their Common Units in the election of the elected directors. This limitation will help our ability to claim an exemption from U.S. federal income tax under Section 883 of the Code in the event our general partner, by virtue of its general partner interest, transfers the power to elect a majority of</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331" w:lineRule="auto"/>
        <w:rPr>
          <w:sz w:val="20"/>
          <w:szCs w:val="20"/>
          <w:color w:val="auto"/>
        </w:rPr>
      </w:pPr>
      <w:r>
        <w:rPr>
          <w:rFonts w:ascii="Arial" w:cs="Arial" w:eastAsia="Arial" w:hAnsi="Arial"/>
          <w:sz w:val="16"/>
          <w:szCs w:val="16"/>
          <w:color w:val="auto"/>
        </w:rPr>
        <w:t>our directors to the Common Unitholders. Units held in nominee or street name account will be voted by the broker or other nominee in accordance with the instruction of the beneficial owner unless the arrangement between the beneficial owner and his nominee provides otherwise.</w:t>
      </w:r>
    </w:p>
    <w:p>
      <w:pPr>
        <w:spacing w:after="0" w:line="141" w:lineRule="exact"/>
        <w:rPr>
          <w:sz w:val="20"/>
          <w:szCs w:val="20"/>
          <w:color w:val="auto"/>
        </w:rPr>
      </w:pPr>
    </w:p>
    <w:p>
      <w:pPr>
        <w:ind w:right="180" w:firstLine="341"/>
        <w:spacing w:after="0" w:line="268" w:lineRule="auto"/>
        <w:rPr>
          <w:sz w:val="20"/>
          <w:szCs w:val="20"/>
          <w:color w:val="auto"/>
        </w:rPr>
      </w:pPr>
      <w:r>
        <w:rPr>
          <w:rFonts w:ascii="Arial" w:cs="Arial" w:eastAsia="Arial" w:hAnsi="Arial"/>
          <w:sz w:val="18"/>
          <w:szCs w:val="18"/>
          <w:color w:val="auto"/>
        </w:rPr>
        <w:t>Any notice, demand, request, report or proxy material required or permitted to be given or made to record holders of Common Units or Preference Units under the partnership agreement will be delivered to the record holder by us or by the transfer agent.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as Limited Partner or Assignee</w:t>
      </w:r>
    </w:p>
    <w:p>
      <w:pPr>
        <w:spacing w:after="0" w:line="231" w:lineRule="exact"/>
        <w:rPr>
          <w:sz w:val="20"/>
          <w:szCs w:val="20"/>
          <w:color w:val="auto"/>
        </w:rPr>
      </w:pPr>
    </w:p>
    <w:p>
      <w:pPr>
        <w:jc w:val="both"/>
        <w:ind w:right="40" w:firstLine="351"/>
        <w:spacing w:after="0" w:line="306" w:lineRule="auto"/>
        <w:rPr>
          <w:sz w:val="20"/>
          <w:szCs w:val="20"/>
          <w:color w:val="auto"/>
        </w:rPr>
      </w:pPr>
      <w:r>
        <w:rPr>
          <w:rFonts w:ascii="Arial" w:cs="Arial" w:eastAsia="Arial" w:hAnsi="Arial"/>
          <w:sz w:val="16"/>
          <w:szCs w:val="16"/>
          <w:color w:val="auto"/>
        </w:rPr>
        <w:t>Except as described above under "—Limited Liability", the Common Units and Preference Units will be fully paid, and unitholders will not be required to make additional contributions. By transfer of Common Units or Preference Units in accordance with our partnership agreement, each transferee of units will be admitted as a limited partner with respect to the units transferred when such transfer and admission is reflected in our books and records.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3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Under the partnership agreement, in most circumstances, we will indemnify the following persons, to the fullest extent permitted by law, from and against all losses, claims, damages or similar events:</w:t>
      </w:r>
    </w:p>
    <w:p>
      <w:pPr>
        <w:spacing w:after="0" w:line="199" w:lineRule="exact"/>
        <w:rPr>
          <w:sz w:val="20"/>
          <w:szCs w:val="20"/>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general partner;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departing general partner;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person who is or was an affiliate of our general partner or any departing general partner;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person who is or was an officer, director, member, fiduciary or trustee of any entity described in (1), (2) or (3) above;</w:t>
      </w:r>
    </w:p>
    <w:p>
      <w:pPr>
        <w:spacing w:after="0" w:line="252"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person who is or was serving as a director, officer, member, fiduciary or trustee of another person at the request of our board of directors, our general partner or any departing general partner;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officers;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person designated by our board of directors;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members of our board of directors.</w:t>
      </w:r>
    </w:p>
    <w:p>
      <w:pPr>
        <w:spacing w:after="0" w:line="225" w:lineRule="exact"/>
        <w:rPr>
          <w:sz w:val="20"/>
          <w:szCs w:val="20"/>
          <w:color w:val="auto"/>
        </w:rPr>
      </w:pPr>
    </w:p>
    <w:p>
      <w:pPr>
        <w:ind w:right="320" w:firstLine="341"/>
        <w:spacing w:after="0" w:line="259" w:lineRule="auto"/>
        <w:rPr>
          <w:sz w:val="20"/>
          <w:szCs w:val="20"/>
          <w:color w:val="auto"/>
        </w:rPr>
      </w:pPr>
      <w:r>
        <w:rPr>
          <w:rFonts w:ascii="Arial" w:cs="Arial" w:eastAsia="Arial" w:hAnsi="Arial"/>
          <w:sz w:val="18"/>
          <w:szCs w:val="18"/>
          <w:color w:val="auto"/>
        </w:rPr>
        <w:t>Any indemnification under these provisions will only be out of our assets. We may purchase insurance against liabilities asserted against and expenses incurred by persons for our activities, regardless of whether we would have the power to indemnify the person against liabilities under the partnership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 of Expenses</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Our partnership agreement requires us to reimburse the members of our board of directors for their out-of-pocket costs and expenses incurred in the course of their service to us. Our partnership agreement also requires us to reimburse our general partner for all expenses it incurs or payments it makes on our behalf and all other expenses allocable to us or otherwise incurred by our general partner in connection with operating our business. These expenses include salary, bonus, incentive compensation and other amounts paid to persons who perform services for us or on our behalf, and expenses allocated to us or our general partner by our board of directors.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Books and Reports</w:t>
      </w:r>
    </w:p>
    <w:p>
      <w:pPr>
        <w:spacing w:after="0" w:line="231" w:lineRule="exact"/>
        <w:rPr>
          <w:sz w:val="20"/>
          <w:szCs w:val="20"/>
          <w:color w:val="auto"/>
        </w:rPr>
      </w:pPr>
    </w:p>
    <w:p>
      <w:pPr>
        <w:ind w:right="220" w:firstLine="351"/>
        <w:spacing w:after="0" w:line="331" w:lineRule="auto"/>
        <w:rPr>
          <w:sz w:val="20"/>
          <w:szCs w:val="20"/>
          <w:color w:val="auto"/>
        </w:rPr>
      </w:pPr>
      <w:r>
        <w:rPr>
          <w:rFonts w:ascii="Arial" w:cs="Arial" w:eastAsia="Arial" w:hAnsi="Arial"/>
          <w:sz w:val="16"/>
          <w:szCs w:val="16"/>
          <w:color w:val="auto"/>
        </w:rPr>
        <w:t>Our general partner is required to keep appropriate books and records of our business at our principal offices. The books will be maintained for both tax and financial reporting purposes on an accrual basis. For tax and financial reporting purposes, our fiscal year is the calendar year.</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to Inspect Our Books and Records</w:t>
      </w:r>
    </w:p>
    <w:p>
      <w:pPr>
        <w:spacing w:after="0" w:line="231" w:lineRule="exact"/>
        <w:rPr>
          <w:sz w:val="20"/>
          <w:szCs w:val="20"/>
          <w:color w:val="auto"/>
        </w:rPr>
      </w:pPr>
    </w:p>
    <w:p>
      <w:pPr>
        <w:ind w:right="60" w:firstLine="348"/>
        <w:spacing w:after="0" w:line="331" w:lineRule="auto"/>
        <w:rPr>
          <w:sz w:val="20"/>
          <w:szCs w:val="20"/>
          <w:color w:val="auto"/>
        </w:rPr>
      </w:pPr>
      <w:r>
        <w:rPr>
          <w:rFonts w:ascii="Arial" w:cs="Arial" w:eastAsia="Arial" w:hAnsi="Arial"/>
          <w:sz w:val="16"/>
          <w:szCs w:val="16"/>
          <w:color w:val="auto"/>
        </w:rPr>
        <w:t>The partnership agreement provides that a limited partner can, for a purpose reasonably related to his interest as a limited partner, upon reasonable written demand stating the purpose of such demand and at the limited partner's own expense, have furnished to the limited partner:</w:t>
      </w:r>
    </w:p>
    <w:p>
      <w:pPr>
        <w:spacing w:after="0" w:line="154"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current list of the name and last known address of each partner;</w:t>
      </w:r>
    </w:p>
    <w:p>
      <w:pPr>
        <w:spacing w:after="0" w:line="252"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information as to the amount of cash, and a description and statement of the agreed value of any other property or services, contributed or to be contributed by each partner and the date on which each became a partner;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copies of the partnership agreement, the certificate of limited partnership of the partnership and related amendments;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information regarding the status of our business and financial position;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other information regarding our affairs as is just and reasonable.</w:t>
      </w:r>
    </w:p>
    <w:p>
      <w:pPr>
        <w:spacing w:after="0" w:line="225" w:lineRule="exact"/>
        <w:rPr>
          <w:sz w:val="20"/>
          <w:szCs w:val="20"/>
          <w:color w:val="auto"/>
        </w:rPr>
      </w:pPr>
    </w:p>
    <w:p>
      <w:pPr>
        <w:ind w:right="40" w:firstLine="351"/>
        <w:spacing w:after="0" w:line="331" w:lineRule="auto"/>
        <w:rPr>
          <w:sz w:val="20"/>
          <w:szCs w:val="20"/>
          <w:color w:val="auto"/>
        </w:rPr>
      </w:pPr>
      <w:r>
        <w:rPr>
          <w:rFonts w:ascii="Arial" w:cs="Arial" w:eastAsia="Arial" w:hAnsi="Arial"/>
          <w:sz w:val="16"/>
          <w:szCs w:val="16"/>
          <w:color w:val="auto"/>
        </w:rPr>
        <w:t>Our board of directors may, and intends to, keep confidential from the limited partners trade secrets or other information the disclosure of which our board of directors believes in good faith is not in our best interests or that we are required by law or by agreements with third parties to keep confidential.</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Under the partnership agreement, we have agreed to register for resale under the Securities Act and applicable state securities laws any Common Units or other partnership interests proposed to be sold by our general partner or any of its affiliates or their assignees if an exemption from the registration requirements is not otherwise available or advisable. These registration rights continue for two years following any withdrawal or removal of GasLog Partners GP LLC as our general partner. We are obligated to pay all expenses incidental to the registration, excluding underwriting discounts and commissions. In connection with these registration rights, we will not be required to pay any damages or penalties related to any delay or failure to file a registration statement or to cause a registration statement to become effective.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OUR CASH DISTRIBUTION POLICY AND RESTRICTIONS ON DISTRIBUTIONS</w:t>
      </w:r>
    </w:p>
    <w:p>
      <w:pPr>
        <w:spacing w:after="0" w:line="231" w:lineRule="exact"/>
        <w:rPr>
          <w:sz w:val="20"/>
          <w:szCs w:val="20"/>
          <w:color w:val="auto"/>
        </w:rPr>
      </w:pPr>
    </w:p>
    <w:p>
      <w:pPr>
        <w:ind w:right="500" w:firstLine="351"/>
        <w:spacing w:after="0" w:line="331" w:lineRule="auto"/>
        <w:rPr>
          <w:sz w:val="20"/>
          <w:szCs w:val="20"/>
          <w:color w:val="auto"/>
        </w:rPr>
      </w:pPr>
      <w:r>
        <w:rPr>
          <w:rFonts w:ascii="Arial" w:cs="Arial" w:eastAsia="Arial" w:hAnsi="Arial"/>
          <w:sz w:val="16"/>
          <w:szCs w:val="16"/>
          <w:color w:val="auto"/>
        </w:rPr>
        <w:t>Our partnership agreement specifies the manner in which we will make cash distributions to holders of our Common Units, Class B Units and other partnership interests, including to the holders of Preference Units as well as to our general partner in respect of its general partner interest.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Rationale for Our Cash Distribution Policy</w:t>
      </w:r>
    </w:p>
    <w:p>
      <w:pPr>
        <w:spacing w:after="0" w:line="225"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color w:val="auto"/>
        </w:rPr>
        <w:t>Our cash distribution policy reflects a judgment that our unitholders are better served by our distributing our available cash (after deducting expenses, including estimated maintenance and replacement capital expenditures and reserves) rather than retaining it, because we believe we will generally finance any expansion capital expenditures from external financing sources. Our cash distribution policy is consistent with the terms of our partnership agreement, which requires that we distribute all of our available cash quarterly (after deducting expenses, including estimated maintenance and replacement capital expenditures and reserves).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Cash Distributions and Our Ability to Change Our Cash Distribution Policy</w:t>
      </w:r>
    </w:p>
    <w:p>
      <w:pPr>
        <w:spacing w:after="0" w:line="225"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color w:val="auto"/>
        </w:rPr>
        <w:t>There is no guarantee that unitholders will receive quarterly distributions from us. Our distribution policy is subject to certain restrictions and may be changed at any time, including:</w:t>
      </w:r>
    </w:p>
    <w:p>
      <w:pPr>
        <w:spacing w:after="0" w:line="199" w:lineRule="exact"/>
        <w:rPr>
          <w:sz w:val="20"/>
          <w:szCs w:val="20"/>
          <w:color w:val="auto"/>
        </w:rPr>
      </w:pPr>
    </w:p>
    <w:p>
      <w:pPr>
        <w:ind w:left="1080" w:right="80" w:hanging="532"/>
        <w:spacing w:after="0" w:line="306" w:lineRule="auto"/>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Our unitholders have no contractual or legal right to receive distributions unless there is available cash at the end of each quarter as defined in our partnership agreement and the distributions for Preference Units have been paid. The determination of available cash is subject to the broad discretion of our board of directors to establish reserves and other limitations and to take into consideration our debt service obligations.</w:t>
      </w:r>
    </w:p>
    <w:p>
      <w:pPr>
        <w:spacing w:after="0" w:line="187" w:lineRule="exact"/>
        <w:rPr>
          <w:rFonts w:ascii="Arial" w:cs="Arial" w:eastAsia="Arial" w:hAnsi="Arial"/>
          <w:sz w:val="16"/>
          <w:szCs w:val="16"/>
          <w:color w:val="auto"/>
        </w:rPr>
      </w:pPr>
    </w:p>
    <w:p>
      <w:pPr>
        <w:ind w:left="1080" w:right="280" w:hanging="532"/>
        <w:spacing w:after="0" w:line="298" w:lineRule="auto"/>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We are subject to restrictions on distributions under our financing agreements. Our financing agreements contain material financial tests and covenants that must be satisfied in order to pay distributions. If we are unable to satisfy the restrictions included in any of our financing agreements or are otherwise in default under any of those agreements, as a result of our debt levels or otherwise, we will not be able to make cash distributions to you, notwithstanding our stated cash distribution policy.</w:t>
      </w:r>
    </w:p>
    <w:p>
      <w:pPr>
        <w:spacing w:after="0" w:line="179" w:lineRule="exact"/>
        <w:rPr>
          <w:rFonts w:ascii="Arial" w:cs="Arial" w:eastAsia="Arial" w:hAnsi="Arial"/>
          <w:sz w:val="16"/>
          <w:szCs w:val="16"/>
          <w:color w:val="auto"/>
        </w:rPr>
      </w:pPr>
    </w:p>
    <w:p>
      <w:pPr>
        <w:ind w:left="1080" w:hanging="532"/>
        <w:spacing w:after="0" w:line="291" w:lineRule="auto"/>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We are required to make substantial capital expenditures to maintain and replace our fleet. These expenditures may fluctuate significantly over time, particularly as our vessels near the end of their useful lives. In order to minimize these fluctuations, our partnership agreement requires us to deduct estimated, as opposed to actual, maintenance and replacement capital expenditures from the amount of cash that we would otherwise have available for distribution to our unitholders. In years when estimated maintenance and replacement capital expenditures are higher than actual maintenance and replacement capital expenditures, the amount of cash available for distribution to unitholders will be lower than if actual maintenance and replacement capital expenditures were deducted.</w:t>
      </w:r>
    </w:p>
    <w:p>
      <w:pPr>
        <w:spacing w:after="0" w:line="187" w:lineRule="exact"/>
        <w:rPr>
          <w:rFonts w:ascii="Arial" w:cs="Arial" w:eastAsia="Arial" w:hAnsi="Arial"/>
          <w:sz w:val="16"/>
          <w:szCs w:val="16"/>
          <w:color w:val="auto"/>
        </w:rPr>
      </w:pPr>
    </w:p>
    <w:p>
      <w:pPr>
        <w:ind w:left="1080" w:hanging="532"/>
        <w:spacing w:after="0" w:line="256"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Although our partnership agreement requires us to distribute all of our available cash, our partnership agreement, including provisions contained therein requiring us to make cash distributions, may be amended. Our partnership agreement can be amended with the approval of a majority of the outstanding Common Units. GasLog holds a 35.3% interest in the Partnership as of October 9, 2020 (including 2.0% through general partnership units).</w:t>
      </w:r>
    </w:p>
    <w:p>
      <w:pPr>
        <w:spacing w:after="0" w:line="223" w:lineRule="exact"/>
        <w:rPr>
          <w:rFonts w:ascii="Arial" w:cs="Arial" w:eastAsia="Arial" w:hAnsi="Arial"/>
          <w:sz w:val="18"/>
          <w:szCs w:val="18"/>
          <w:color w:val="auto"/>
        </w:rPr>
      </w:pPr>
    </w:p>
    <w:p>
      <w:pPr>
        <w:ind w:left="1080" w:right="260" w:hanging="532"/>
        <w:spacing w:after="0" w:line="331" w:lineRule="auto"/>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Even if our cash distribution policy is not modified or revoked, the amount of distributions we pay under our cash distribution policy and the decision to make any distribution is determined by our board of directors, taking into consideration the terms of our partnership agreement.</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Under Section 51 of the Marshall Islands Act, we may not make a distribution to you if the distribution would cause our liabilities to exceed the fair value of our assets.</w:t>
      </w:r>
    </w:p>
    <w:p>
      <w:pPr>
        <w:spacing w:after="0" w:line="212" w:lineRule="exact"/>
        <w:rPr>
          <w:rFonts w:ascii="Arial" w:cs="Arial" w:eastAsia="Arial" w:hAnsi="Arial"/>
          <w:sz w:val="18"/>
          <w:szCs w:val="18"/>
          <w:color w:val="auto"/>
        </w:rPr>
      </w:pPr>
    </w:p>
    <w:p>
      <w:pPr>
        <w:jc w:val="both"/>
        <w:ind w:left="1080" w:right="80" w:hanging="532"/>
        <w:spacing w:after="0" w:line="256"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may lack sufficient cash to pay distributions to our unitholders due to decreases in total operating revenues, decreases in hire rates, the loss of a vessel, increases in operating or general and administrative expenses, principal and interest payments on outstanding debt, taxes, working capital requirements, maintenance and replacement capital expenditures or anticipated cash needs. See "Risk Factors" for a discussion of these factors.</w:t>
      </w:r>
    </w:p>
    <w:p>
      <w:pPr>
        <w:spacing w:after="0" w:line="197"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Our ability to make distributions to our unitholders depends on the performance of our subsidiaries and their ability to distribute cash to us. The ability of our subsidiaries to make distributions to us may be restricted by, among other things, the provisions of existing and future indebtedness, applicable limited partnership and limited liability company laws in the Marshall Islands and other laws and regulations.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Preference Unit Distributions</w:t>
      </w:r>
    </w:p>
    <w:p>
      <w:pPr>
        <w:spacing w:after="0" w:line="231"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Preference Units are senior to all classes of our Common Units and general partner units. No distribution may be declared or paid or set apart for payment on any Common Units or general partner units unless full cumulative distributions have been or contemporaneously are being paid or provided for on all outstanding Preference Units through the most recent distribution payment date. Holders of the Preference Units will not be entitled to any distribution, whether payable in cash, property or units, in excess of full cumulative distributions.</w:t>
      </w:r>
    </w:p>
    <w:p>
      <w:pPr>
        <w:spacing w:after="0" w:line="197" w:lineRule="exact"/>
        <w:rPr>
          <w:sz w:val="20"/>
          <w:szCs w:val="20"/>
          <w:color w:val="auto"/>
        </w:rPr>
      </w:pPr>
    </w:p>
    <w:p>
      <w:pPr>
        <w:ind w:right="540" w:firstLine="351"/>
        <w:spacing w:after="0" w:line="268" w:lineRule="auto"/>
        <w:rPr>
          <w:sz w:val="20"/>
          <w:szCs w:val="20"/>
          <w:color w:val="auto"/>
        </w:rPr>
      </w:pPr>
      <w:r>
        <w:rPr>
          <w:rFonts w:ascii="Arial" w:cs="Arial" w:eastAsia="Arial" w:hAnsi="Arial"/>
          <w:sz w:val="18"/>
          <w:szCs w:val="18"/>
          <w:color w:val="auto"/>
        </w:rPr>
        <w:t>Distributions on our Preference Units are payable quarterly on each of March 15, June 15, September 15 and December 15, or the next succeeding business day, as and if declared by our board of directors out of legally available funds for such purpose.</w:t>
      </w:r>
    </w:p>
    <w:p>
      <w:pPr>
        <w:spacing w:after="0" w:line="186" w:lineRule="exact"/>
        <w:rPr>
          <w:sz w:val="20"/>
          <w:szCs w:val="20"/>
          <w:color w:val="auto"/>
        </w:rPr>
      </w:pPr>
    </w:p>
    <w:p>
      <w:pPr>
        <w:jc w:val="both"/>
        <w:ind w:right="420" w:firstLine="351"/>
        <w:spacing w:after="0" w:line="256" w:lineRule="auto"/>
        <w:rPr>
          <w:sz w:val="20"/>
          <w:szCs w:val="20"/>
          <w:color w:val="auto"/>
        </w:rPr>
      </w:pPr>
      <w:r>
        <w:rPr>
          <w:rFonts w:ascii="Arial" w:cs="Arial" w:eastAsia="Arial" w:hAnsi="Arial"/>
          <w:sz w:val="18"/>
          <w:szCs w:val="18"/>
          <w:color w:val="auto"/>
        </w:rPr>
        <w:t>For the Series A Preference Units, from and including May 15, 2017 to, but excluding, June 15, 2027, the distribution rate is 8.625% per annum per $25.00 of liquidation preference per unit (equal to $2.15625 per annum per unit). From and including June 15, 2027, the distribution rate for the Series A Preference Units will be a floating rate equal to three-month LIBOR plus a spread of 6.31% per annum per $25.00 of liquidation preference per unit. The distribution rates are not subject to adjustment.</w:t>
      </w:r>
    </w:p>
    <w:p>
      <w:pPr>
        <w:spacing w:after="0" w:line="197"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For the Series B Preference Units, from and including January 17, 2018 to, but excluding, March 15, 2023, the distribution rate is 8.200% per annum per $25.00 of liquidation preference per unit (equal to $2.05 per annum per unit). From and including March 15, 2023, the distribution rate for the Series B Preference Units will be a floating rate equal to three-month LIBOR plus a spread of 5.839% per annum per $25.00 of liquidation preference per unit. The distribution rates are not subject to adjustment.</w:t>
      </w:r>
    </w:p>
    <w:p>
      <w:pPr>
        <w:spacing w:after="0" w:line="197"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For the Series C Preference Units, from and including November 15, 2018 to, but excluding, March 15, 2024, the distribution rate is 8.500% per annum per $25.00 of liquidation preference per unit (equal to $2.05 per annum per unit). From and including March 15, 2024, the distribution rate for the Series C Preference Units will be a floating rate equal to three-month LIBOR plus a spread of 5.317% per annum per $25.00 of liquidation preference per unit. The distribution rates are not subject to adjustment.</w:t>
      </w:r>
    </w:p>
    <w:p>
      <w:pPr>
        <w:spacing w:after="0" w:line="197"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Our Preference Unit distribution payment obligations impact our future liquidity needs. If we do not pay our Preference Unit distributions, we will not be able to pay distributions to our Common Unitholders.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of Available Cash</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Within 45 days after the end of each quarter we will distribute all of our available cash (defined below) to unitholders of record on the applicable record date, excluding the holders of the Class B Units, subject to distributions with respect to Preference Units as described under "—Preference Unit Distributions" and to the general partner as described under "—General Partner Interest", in the following manner:</w:t>
      </w:r>
    </w:p>
    <w:p>
      <w:pPr>
        <w:spacing w:after="0" w:line="207" w:lineRule="exact"/>
        <w:rPr>
          <w:sz w:val="20"/>
          <w:szCs w:val="20"/>
          <w:color w:val="auto"/>
        </w:rPr>
      </w:pPr>
    </w:p>
    <w:p>
      <w:pPr>
        <w:ind w:left="1080" w:hanging="532"/>
        <w:spacing w:after="0"/>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first</w:t>
      </w:r>
      <w:r>
        <w:rPr>
          <w:rFonts w:ascii="Arial" w:cs="Arial" w:eastAsia="Arial" w:hAnsi="Arial"/>
          <w:sz w:val="16"/>
          <w:szCs w:val="16"/>
          <w:color w:val="auto"/>
        </w:rPr>
        <w:t>, to our general partner, in accordance with its percentage interest in the manner described in "—General Partner Interest" below; and</w:t>
      </w:r>
    </w:p>
    <w:p>
      <w:pPr>
        <w:spacing w:after="0" w:line="275" w:lineRule="exact"/>
        <w:rPr>
          <w:rFonts w:ascii="Arial" w:cs="Arial" w:eastAsia="Arial" w:hAnsi="Arial"/>
          <w:sz w:val="16"/>
          <w:szCs w:val="16"/>
          <w:color w:val="auto"/>
        </w:rPr>
      </w:pPr>
    </w:p>
    <w:p>
      <w:pPr>
        <w:ind w:left="1080" w:right="2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thereafter</w:t>
      </w:r>
      <w:r>
        <w:rPr>
          <w:rFonts w:ascii="Arial" w:cs="Arial" w:eastAsia="Arial" w:hAnsi="Arial"/>
          <w:sz w:val="18"/>
          <w:szCs w:val="18"/>
          <w:color w:val="auto"/>
        </w:rPr>
        <w:t>, to all Common Unitholders pro rata, a percentage equal to 100% less the general partner percentage interest, in the manner described</w:t>
      </w:r>
      <w:r>
        <w:rPr>
          <w:rFonts w:ascii="Arial" w:cs="Arial" w:eastAsia="Arial" w:hAnsi="Arial"/>
          <w:sz w:val="18"/>
          <w:szCs w:val="18"/>
          <w:i w:val="1"/>
          <w:iCs w:val="1"/>
          <w:color w:val="auto"/>
        </w:rPr>
        <w:t xml:space="preserve"> </w:t>
      </w:r>
      <w:r>
        <w:rPr>
          <w:rFonts w:ascii="Arial" w:cs="Arial" w:eastAsia="Arial" w:hAnsi="Arial"/>
          <w:sz w:val="18"/>
          <w:szCs w:val="18"/>
          <w:color w:val="auto"/>
        </w:rPr>
        <w:t>in "—General Partner Interest" below.</w:t>
      </w:r>
    </w:p>
    <w:p>
      <w:pPr>
        <w:spacing w:after="0" w:line="186"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preceding paragraph is based on the assumption that our general partner maintains its 2.0% general partner interest and that we do not issue additional classes of equity securities.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Partner Interest</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Our partnership agreement provides that our general partner initially will be entitled to 2.0% of all distributions that we make prior to our liquidation. Our general partner has the right, but not the obligation, to contribute a proportionate amount of capital to us to maintain its 2.0% general partner interest if we issue additional Common Units. Our general partner's 2.0% interest, and the percentage of our cash distributions to which it is entitled, will be proportionately reduced if we issue additional Common Units in the future and our general partner does not contribute a proportionate amount of capital to us in order to maintain its 2.0% general partner interest. Our general partner will be entitled to make a capital contribution in order to maintain its 2.0% general partner interest in the form of the contribution to us of Common Units based on the current market value of the contributed Common Units.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of Available Cash</w:t>
      </w:r>
    </w:p>
    <w:p>
      <w:pPr>
        <w:spacing w:after="0" w:line="225" w:lineRule="exact"/>
        <w:rPr>
          <w:sz w:val="20"/>
          <w:szCs w:val="20"/>
          <w:color w:val="auto"/>
        </w:rPr>
      </w:pPr>
    </w:p>
    <w:p>
      <w:pPr>
        <w:ind w:right="20" w:firstLine="341"/>
        <w:spacing w:after="0" w:line="268" w:lineRule="auto"/>
        <w:rPr>
          <w:sz w:val="20"/>
          <w:szCs w:val="20"/>
          <w:color w:val="auto"/>
        </w:rPr>
      </w:pPr>
      <w:r>
        <w:rPr>
          <w:rFonts w:ascii="Arial" w:cs="Arial" w:eastAsia="Arial" w:hAnsi="Arial"/>
          <w:sz w:val="18"/>
          <w:szCs w:val="18"/>
          <w:color w:val="auto"/>
        </w:rPr>
        <w:t>Available cash generally means, for each fiscal quarter, all cash on hand at the end of the quarter (including our proportionate share of cash on hand of any subsidiaries we do not wholly own):</w:t>
      </w:r>
    </w:p>
    <w:p>
      <w:pPr>
        <w:spacing w:after="0" w:line="199" w:lineRule="exact"/>
        <w:rPr>
          <w:sz w:val="20"/>
          <w:szCs w:val="20"/>
          <w:color w:val="auto"/>
        </w:rPr>
      </w:pPr>
    </w:p>
    <w:p>
      <w:pPr>
        <w:ind w:left="1080" w:right="140" w:hanging="532"/>
        <w:spacing w:after="0" w:line="268"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less</w:t>
      </w:r>
      <w:r>
        <w:rPr>
          <w:rFonts w:ascii="Arial" w:cs="Arial" w:eastAsia="Arial" w:hAnsi="Arial"/>
          <w:sz w:val="18"/>
          <w:szCs w:val="18"/>
          <w:color w:val="auto"/>
        </w:rPr>
        <w:t>, the amount of cash reserves (including our proportionate share of cash reserves of any subsidiaries we do not wholly own) established by</w:t>
      </w:r>
      <w:r>
        <w:rPr>
          <w:rFonts w:ascii="Arial" w:cs="Arial" w:eastAsia="Arial" w:hAnsi="Arial"/>
          <w:sz w:val="18"/>
          <w:szCs w:val="18"/>
          <w:i w:val="1"/>
          <w:iCs w:val="1"/>
          <w:color w:val="auto"/>
        </w:rPr>
        <w:t xml:space="preserve"> </w:t>
      </w:r>
      <w:r>
        <w:rPr>
          <w:rFonts w:ascii="Arial" w:cs="Arial" w:eastAsia="Arial" w:hAnsi="Arial"/>
          <w:sz w:val="18"/>
          <w:szCs w:val="18"/>
          <w:color w:val="auto"/>
        </w:rPr>
        <w:t>our board of directors and our subsidiaries to:</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620" w:hanging="532"/>
        <w:spacing w:after="0"/>
        <w:tabs>
          <w:tab w:leader="none" w:pos="1620" w:val="left"/>
        </w:tabs>
        <w:numPr>
          <w:ilvl w:val="1"/>
          <w:numId w:val="43"/>
        </w:numPr>
        <w:rPr>
          <w:rFonts w:ascii="Arial" w:cs="Arial" w:eastAsia="Arial" w:hAnsi="Arial"/>
          <w:sz w:val="16"/>
          <w:szCs w:val="16"/>
          <w:color w:val="auto"/>
        </w:rPr>
      </w:pPr>
      <w:r>
        <w:rPr>
          <w:rFonts w:ascii="Arial" w:cs="Arial" w:eastAsia="Arial" w:hAnsi="Arial"/>
          <w:sz w:val="16"/>
          <w:szCs w:val="16"/>
          <w:color w:val="auto"/>
        </w:rPr>
        <w:t>provide for the proper conduct of our business (including reserves for future capital expenditures and for our anticipated credit needs);</w:t>
      </w:r>
    </w:p>
    <w:p>
      <w:pPr>
        <w:spacing w:after="0" w:line="275" w:lineRule="exact"/>
        <w:rPr>
          <w:rFonts w:ascii="Arial" w:cs="Arial" w:eastAsia="Arial" w:hAnsi="Arial"/>
          <w:sz w:val="16"/>
          <w:szCs w:val="16"/>
          <w:color w:val="auto"/>
        </w:rPr>
      </w:pPr>
    </w:p>
    <w:p>
      <w:pPr>
        <w:ind w:left="1620" w:hanging="532"/>
        <w:spacing w:after="0"/>
        <w:tabs>
          <w:tab w:leader="none" w:pos="16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comply with applicable law, any of our debt instruments or other agreements;</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provide funds for Preference Unit distributions and Preference Unit redemption payments; and/or</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provide funds for distributions to our unitholders and to our general partner for any one or more of the next four quarters;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80" w:right="140" w:hanging="532"/>
        <w:spacing w:after="0" w:line="254"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plus</w:t>
      </w:r>
      <w:r>
        <w:rPr>
          <w:rFonts w:ascii="Arial" w:cs="Arial" w:eastAsia="Arial" w:hAnsi="Arial"/>
          <w:sz w:val="18"/>
          <w:szCs w:val="18"/>
          <w:color w:val="auto"/>
        </w:rPr>
        <w:t>, all cash on hand (including our proportionate share of cash on hand of any subsidiaries we do not wholly own) on the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determination of available cash for the quarter resulting from (1) working capital borrowings made after the end of the quarter and (2) cash distributions received after the end of the quarter from any equity interest in any person (other than a subsidiary of us), which distributions are paid by such person in respect of operations conducted by such person during such quarter. Working capital borrowings are generally borrowings that</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are made under a revolving credit facility and in all cases are used solely for working capital purposes or to pay distributions to partners.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of Cash Upon Liquidation</w:t>
      </w:r>
    </w:p>
    <w:p>
      <w:pPr>
        <w:spacing w:after="0" w:line="231"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If we dissolve in accordance with the partnership agreement, we will sell or otherwise dispose of our assets in a process called liquidation. We will apply the proceeds of liquidation in the manner set forth below, subject to distributions with respect to Preference Units and Parity Securities (if applicable) as described under "—Preference Unit Liquidation Rights".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property and all cash in excess of that required to discharge liabilities of the partnership shall be distributed:</w:t>
      </w:r>
    </w:p>
    <w:p>
      <w:pPr>
        <w:spacing w:after="0" w:line="239" w:lineRule="exact"/>
        <w:rPr>
          <w:sz w:val="20"/>
          <w:szCs w:val="20"/>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to the general partner in accordance with its percentage interest;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to all unitholders, pro rata, a percentage equal to 100% less the general partner's percentage interest.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Preference Unit Liquidation Rights</w:t>
      </w:r>
    </w:p>
    <w:p>
      <w:pPr>
        <w:spacing w:after="0" w:line="23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holders of Preference Units will be entitled, in the event of a dissolution, to receive the liquidation preference of $25.00 per unit in cash plus an amount equal to accumulated and unpaid distributions thereon to the date fixed for payment of such amount (whether or not declared), and no more, before any distribution will be made to the holders of our Common Units, Class B Units or any other Junior Securities (as defined in the partnership agreement). In the event that our assets available for distribution to holders of the outstanding Preference Units and any other Parity Securities (if applicable) are insufficient to permit payment of all required amounts, our assets then remaining will be distributed among the Preference Units and any Parity Securities, as applicable, ratably on the basis of their relative aggregate liquidation preferences. After payment of all required amounts to the holders of the outstanding Preference Units and other Parity Securities (if applicable), our remaining assets and funds will be distributed among the holders of the Common Units, Class B Units and any other Junior Securities then outstanding according to their respective rights.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31"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Our Annual Report filed on Form 20-F provides a discussion of the material U.S. federal income tax considerations that may be relevant to prospective investors in Common Units or Preference Units. The applicable prospectus supplement may also contain information about any material U.S. federal income tax considerations relating to the securities covered by such prospectus supplement.</w:t>
      </w: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NON-UNITED STATES TAX CONSIDERATIONS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Annual Report filed on Form 20-F provides a discussion of Marshall Islands tax consequences that may be relevant to prospective investors in Common Units or Preference Units. The applicable prospectus supplement may also contain information about any non-U.S. tax considerations relating to the securities covered by such prospectus supplement.</w:t>
      </w: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We may offer and sell, from time to time, the securities covered by this prospectus and the applicable prospectus supplement. We have registered the securities covered by this prospectus for offer and sale so that those securities may be freely sold to the public. Registration of the securities covered by this prospectus does not mean, however, that those securities necessarily will be offered or sold.</w:t>
      </w:r>
    </w:p>
    <w:p>
      <w:pPr>
        <w:spacing w:after="0" w:line="194"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Securities covered by this prospectus may be sold from time to time, in one or more transactions, at market prices prevailing at the time of sale, at prices related to market prices, at a fixed price or prices subject to change, at varying prices determined at the time of sale or at negotiated prices, by a variety of methods including the following:</w:t>
      </w:r>
    </w:p>
    <w:p>
      <w:pPr>
        <w:spacing w:after="0" w:line="207" w:lineRule="exact"/>
        <w:rPr>
          <w:sz w:val="20"/>
          <w:szCs w:val="20"/>
          <w:color w:val="auto"/>
        </w:rPr>
      </w:pPr>
    </w:p>
    <w:p>
      <w:pPr>
        <w:ind w:left="1080" w:right="100" w:hanging="532"/>
        <w:spacing w:after="0" w:line="268"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on the NYSE or any other national securities exchange or U.S. inter-dealer system of a registered national securities association on which our Common Units may be listed or quoted at the time of sale;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the over-the-counter market;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privately negotiated transactions;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an exchange distribution in accordance with the rules of the applicable exchange;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as settlement of short sales entered into after the date of the prospectus;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through broker-dealers, who may act as agents or principals;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through sales "at the market" to or through a market-maker;</w:t>
      </w:r>
    </w:p>
    <w:p>
      <w:pPr>
        <w:spacing w:after="0" w:line="238"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a block trade, in which a broker-dealer will attempt to sell a block as agent but may position and resell a portion of the block as principal to facilitate the transaction;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through one or more underwriters on a firm commitment or best-efforts basis;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directly to one or more purchasers;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options transactions;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over the Internet;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any combination of the above.</w:t>
      </w:r>
    </w:p>
    <w:p>
      <w:pPr>
        <w:sectPr>
          <w:pgSz w:w="11900" w:h="16838" w:orient="portrait"/>
          <w:cols w:equalWidth="0" w:num="1">
            <w:col w:w="11120"/>
          </w:cols>
          <w:pgMar w:left="320" w:top="131" w:right="459" w:bottom="1440" w:gutter="0" w:footer="0" w:header="0"/>
        </w:sectPr>
      </w:pP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1361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20"/>
          </w:cols>
          <w:pgMar w:left="320" w:top="131" w:right="459" w:bottom="1440" w:gutter="0" w:footer="0" w:header="0"/>
          <w:type w:val="continuous"/>
        </w:sectPr>
      </w:pPr>
    </w:p>
    <w:bookmarkStart w:id="51" w:name="page52"/>
    <w:bookmarkEnd w:id="5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effecting sales, brokers or dealers engaged by us may arrange for other brokers or dealers to participate. Broker-dealer transactions may include:</w:t>
      </w:r>
    </w:p>
    <w:p>
      <w:pPr>
        <w:spacing w:after="0" w:line="262" w:lineRule="exact"/>
        <w:rPr>
          <w:sz w:val="20"/>
          <w:szCs w:val="20"/>
          <w:color w:val="auto"/>
        </w:rPr>
      </w:pPr>
    </w:p>
    <w:p>
      <w:pPr>
        <w:ind w:left="1080" w:right="500" w:hanging="532"/>
        <w:spacing w:after="0" w:line="268"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purchases of the securities by a broker-dealer as principal and resales of the securities by the broker-dealer for its account pursuant to this prospectus;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ordinary brokerage transactions;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transactions in which the broker-dealer solicits purchasers.</w:t>
      </w:r>
    </w:p>
    <w:p>
      <w:pPr>
        <w:spacing w:after="0" w:line="225"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In addition, we may sell any securities covered by this prospectus in private transactions or under Rule 144 of the Securities Act of 1933, as amended, rather than pursuant to this prospectus.</w:t>
      </w:r>
    </w:p>
    <w:p>
      <w:pPr>
        <w:spacing w:after="0" w:line="186" w:lineRule="exact"/>
        <w:rPr>
          <w:sz w:val="20"/>
          <w:szCs w:val="20"/>
          <w:color w:val="auto"/>
        </w:rPr>
      </w:pPr>
    </w:p>
    <w:p>
      <w:pPr>
        <w:ind w:right="20" w:firstLine="351"/>
        <w:spacing w:after="0" w:line="309" w:lineRule="auto"/>
        <w:rPr>
          <w:sz w:val="20"/>
          <w:szCs w:val="20"/>
          <w:color w:val="auto"/>
        </w:rPr>
      </w:pPr>
      <w:r>
        <w:rPr>
          <w:rFonts w:ascii="Arial" w:cs="Arial" w:eastAsia="Arial" w:hAnsi="Arial"/>
          <w:sz w:val="15"/>
          <w:szCs w:val="15"/>
          <w:color w:val="auto"/>
        </w:rPr>
        <w:t>In connection with the sale of securities covered by this prospectus, broker-dealers may receive commissions or other compensation from us in the form of commissions, discounts or concessions. Broker-dealers may also receive compensation from purchasers of the securities for whom they act as agents or to whom they sell as principals or both. Compensation as to a particular broker-dealer may be in excess of customary commissions or in amounts to be negotiated. In connection with any underwritten offering, underwriters may receive compensation in the form of discounts, concessions or commissions from us, or from purchasers of the securities for whom they act as agents. Underwriters may sell the securities to or through dealers, and such dealers may receive compensation in the form of discounts, concessions or commissions from the underwriters and/or commissions from the purchasers for whom they may act as agents. Any underwriters, broker-dealers or agents that participate in the distribution of the securities may be deemed to be "underwriters" within the meaning of the Securities Act of 1933, as amended, and any profit on the sale of the securities by them and any discounts, commissions or concessions received by any of those underwriters, broker-dealers or agents may be deemed to be underwriting discounts and commissions under the Securities Act of 1933, as amended.</w:t>
      </w:r>
    </w:p>
    <w:p>
      <w:pPr>
        <w:spacing w:after="0" w:line="161"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In connection with the distribution of the securities covered by this prospectus or otherwise, we may enter into hedging transactions with broker-dealers or other financial institutions. In connection with such transactions, broker-dealers or other financial institutions may engage in short sales of our securities in the course of hedging the positions they assume with us. We may also sell securities short and deliver the securities offered by this prospectus to close out our short positions. We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We may also from time to time pledge securities pursuant to the margin provisions of any customer agreements with brokers. Upon default, the broker may offer and sell such pledged securities from time to time pursuant to this prospectus, as supplemented or amended to reflect such transaction.</w:t>
      </w:r>
    </w:p>
    <w:p>
      <w:pPr>
        <w:spacing w:after="0" w:line="178" w:lineRule="exact"/>
        <w:rPr>
          <w:sz w:val="20"/>
          <w:szCs w:val="20"/>
          <w:color w:val="auto"/>
        </w:rPr>
      </w:pPr>
    </w:p>
    <w:p>
      <w:pPr>
        <w:ind w:firstLine="341"/>
        <w:spacing w:after="0" w:line="288" w:lineRule="auto"/>
        <w:rPr>
          <w:sz w:val="20"/>
          <w:szCs w:val="20"/>
          <w:color w:val="auto"/>
        </w:rPr>
      </w:pPr>
      <w:r>
        <w:rPr>
          <w:rFonts w:ascii="Arial" w:cs="Arial" w:eastAsia="Arial" w:hAnsi="Arial"/>
          <w:sz w:val="16"/>
          <w:szCs w:val="16"/>
          <w:color w:val="auto"/>
        </w:rPr>
        <w:t>At any time a particular offer of the securities covered by this prospectus is made, a revised prospectus or prospectus supplement, if required, will be distributed which will set forth the aggregate amount of securities covered by this prospectus being offered and the terms of the offering, including the expected issue price or method of determining the price, the time period during which the offer will be open and whether the purchase period may be extended or shortened, the method and time limits for paying up and delivering securities, name or names of any underwriters, dealers, brokers or agents, any discounts, commissions, concessions and other items constituting compensation from us, and any discounts, commissions or concessions allowed or reallowed or paid to dealers. Such prospectus supplement, and, if necessary, a post-effective amendment to the registration statement of which this prospectus is a part, will be filed with the SEC to reflect the disclosure of additional information with respect to the distribution of the securities covered by this prospectus. In order to comply with the securities laws of certain states, if applicable, the securities sold under this prospectus may only be sold through registered or licensed broker-dealers. In addition, in some states the securities may not be sold</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unless they have been registered or qualified for sale in the applicable state or an exemption from registration or qualification requirements is available and is complied with.</w:t>
      </w:r>
    </w:p>
    <w:p>
      <w:pPr>
        <w:spacing w:after="0" w:line="186"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connection with an underwritten offering, we would execute an underwriting agreement with an underwriter or underwriters. Unless otherwise indicated in the revised prospectus or applicable prospectus supplement, such underwriting agreement would provide that the obligations of the underwriter or underwriters are subject to certain conditions precedent and that the underwriter or underwriters with respect to a sale of the covered securities will be obligated to purchase all of the covered securities if any such securities are purchased. We may grant to the underwriter or underwriters an option to purchase additional securities at the public offering price, as may be set forth in the revised prospectus or applicable prospectus supplement. If we grant any such option, the terms of the option will be set forth in the revised prospectus or applicable prospectus supplement.</w:t>
      </w:r>
    </w:p>
    <w:p>
      <w:pPr>
        <w:spacing w:after="0" w:line="174"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Pursuant to a requirement by the Financial Industry Regulatory Authority, or "FINRA", if more than five percent of the net proceeds of any offering of securities made under this prospectus will be received by any FINRA member participating in the offering or by affiliates or associated persons of such FINRA member or any participating member who otherwise would have a "conflict of interest" under FINRA Rules, the offering will be conducted in accordance with FINRA Rule 5121.</w:t>
      </w:r>
    </w:p>
    <w:p>
      <w:pPr>
        <w:spacing w:after="0" w:line="197"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Underwriters, agents, brokers or dealers may be entitled, pursuant to relevant agreements entered into with us, to indemnification by us against certain civil liabilities, including liabilities under the Securities Act of 1933, as amended, that may arise from any untrue statement or alleged untrue statement of a material fact, or any omission or alleged omission to state a material fact in this prospectus, any supplement or amendment hereto, or in the registration statement of which this prospectus forms a part, or to contribution with respect to payments which the underwriters, agents, brokers or dealers may be required to make.</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bear all costs relating to all of the securities being registered under the registration statement of which this prospectus is a part.</w:t>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EXPENSES</w:t>
      </w:r>
    </w:p>
    <w:p>
      <w:pPr>
        <w:spacing w:after="0" w:line="231"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The following are the expenses estimated to be incurred by us in connection with a possible offering of the securities registered under this registration statement.</w:t>
      </w:r>
    </w:p>
    <w:p>
      <w:pPr>
        <w:spacing w:after="0" w:line="194"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Printing</w:t>
            </w:r>
          </w:p>
        </w:tc>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Accountants' Fees and Expenses</w:t>
            </w:r>
          </w:p>
        </w:tc>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NYSE Fees</w:t>
            </w:r>
          </w:p>
        </w:tc>
        <w:tc>
          <w:tcPr>
            <w:tcW w:w="2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Miscellaneous Costs</w:t>
            </w:r>
          </w:p>
        </w:tc>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0"/>
        </w:trPr>
        <w:tc>
          <w:tcPr>
            <w:tcW w:w="20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5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0"/>
        </w:trPr>
        <w:tc>
          <w:tcPr>
            <w:tcW w:w="20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60" w:type="dxa"/>
            <w:vAlign w:val="bottom"/>
            <w:tcBorders>
              <w:bottom w:val="single" w:sz="8" w:color="auto"/>
            </w:tcBorders>
          </w:tcPr>
          <w:p>
            <w:pPr>
              <w:spacing w:after="0"/>
              <w:rPr>
                <w:sz w:val="7"/>
                <w:szCs w:val="7"/>
                <w:color w:val="auto"/>
              </w:rPr>
            </w:pPr>
          </w:p>
        </w:tc>
        <w:tc>
          <w:tcPr>
            <w:tcW w:w="2760" w:type="dxa"/>
            <w:vAlign w:val="bottom"/>
          </w:tcPr>
          <w:p>
            <w:pPr>
              <w:spacing w:after="0"/>
              <w:rPr>
                <w:sz w:val="7"/>
                <w:szCs w:val="7"/>
                <w:color w:val="auto"/>
              </w:rPr>
            </w:pPr>
          </w:p>
        </w:tc>
        <w:tc>
          <w:tcPr>
            <w:tcW w:w="2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ind w:left="2240" w:right="120" w:hanging="547"/>
        <w:spacing w:after="0" w:line="268" w:lineRule="auto"/>
        <w:tabs>
          <w:tab w:leader="none" w:pos="22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be provided by a prospectus supplement or as an exhibit to a Report on Form 6-K that is incorporated by reference into this prospectus.</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The validity of the securities and certain other legal matters, including tax matters, with respect to the laws of the Republic of the Marshall Islands will be passed upon for us by our counsel as to Marshall Islands law, Cozen O'Connor, New York, New York. Certain other legal matters, including tax matters with respect to U.S. law, will be passed upon for us by Cravath, Swaine &amp; Moore LLP, New York, New York.</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financial statements incorporated in this Prospectus by reference from the Partnership's Annual Report on Form 20-F and the effectiveness of GasLog Partners LP's internal control over financial reporting have been audited by Deloitte LLP, an independent registered public accounting firm, as stated in their reports, which are incorporated herein by reference. Such financial statements have been so incorporated in reliance upon the reports of such firm given upon their authority as experts in accounting and auditing.</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offices of Deloitte LLP are located at 2 New Street Square, London, EC4A 3BZ, United Kingdom.</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Indemnification of Directors and Officers</w:t>
      </w:r>
    </w:p>
    <w:p>
      <w:pPr>
        <w:spacing w:after="0" w:line="231"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GasLog Partners LP is a Marshall Islands limited partnership. Under the Marshall Islands Limited Partnership Act, a partnership agreement may set forth that the partnership shall indemnify and hold harmless any partner or other person from and against any and all claims and demands whatsoever. Under our partnership agreement, we generally indemnify our directors, officers and the affiliates of our general partner to the fullest extent permitted by the law against all losses, claims, damages or similar events. We have entered into indemnification agreements with our directors and officers which provide, among other things, that we will indemnify our directors and officers, under the circumstances and to the extent provided for therein, for expenses, damages, judgments, fines, settlements and fees that they may be required to pay in actions or proceedings to which they are or may be made a party by reason of such person's position as a director, officer, employee or other agent of the Partnership, subject to, and to the maximum extent permitted by, applicable law. Reference is also made to the Underwriting Agreement filed as Exhibit 1.1 to this registration statement in which GasLog Partners LP and certain of its affiliates will agree to indemnify the underwriters against certain liabilities, including liabilities under the Securities Act of 1933, as amended, and to contribute to payments that may be required to be made in respect of these liabilities.</w:t>
      </w:r>
    </w:p>
    <w:p>
      <w:pPr>
        <w:sectPr>
          <w:pgSz w:w="11900" w:h="16838" w:orient="portrait"/>
          <w:cols w:equalWidth="0" w:num="1">
            <w:col w:w="11180"/>
          </w:cols>
          <w:pgMar w:left="320" w:top="131" w:right="399" w:bottom="1440" w:gutter="0" w:footer="0" w:header="0"/>
        </w:sectPr>
      </w:pPr>
    </w:p>
    <w:p>
      <w:pPr>
        <w:spacing w:after="0" w:line="170"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Exhibits</w:t>
      </w:r>
    </w:p>
    <w:p>
      <w:pPr>
        <w:spacing w:after="0" w:line="227" w:lineRule="exact"/>
        <w:rPr>
          <w:sz w:val="20"/>
          <w:szCs w:val="20"/>
          <w:color w:val="auto"/>
        </w:rPr>
      </w:pPr>
    </w:p>
    <w:p>
      <w:pPr>
        <w:ind w:left="1220"/>
        <w:spacing w:after="0"/>
        <w:rPr>
          <w:sz w:val="20"/>
          <w:szCs w:val="20"/>
          <w:color w:val="auto"/>
        </w:rPr>
      </w:pPr>
      <w:r>
        <w:rPr>
          <w:rFonts w:ascii="Arial" w:cs="Arial" w:eastAsia="Arial" w:hAnsi="Arial"/>
          <w:sz w:val="13"/>
          <w:szCs w:val="13"/>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7620</wp:posOffset>
            </wp:positionV>
            <wp:extent cx="53149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3">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2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w:t>
      </w:r>
    </w:p>
    <w:p>
      <w:pPr>
        <w:spacing w:after="0" w:line="2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pacing w:after="0" w:line="2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w:t>
      </w:r>
    </w:p>
    <w:p>
      <w:pPr>
        <w:spacing w:after="0" w:line="2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w:t>
      </w:r>
    </w:p>
    <w:p>
      <w:pPr>
        <w:spacing w:after="0" w:line="2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w:t>
      </w:r>
    </w:p>
    <w:p>
      <w:pPr>
        <w:spacing w:after="0" w:line="2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4.7</w:t>
      </w:r>
    </w:p>
    <w:p>
      <w:pPr>
        <w:spacing w:after="0" w:line="2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4.8</w:t>
      </w:r>
    </w:p>
    <w:p>
      <w:pPr>
        <w:spacing w:after="0" w:line="2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3" w:lineRule="exact"/>
        <w:rPr>
          <w:sz w:val="20"/>
          <w:szCs w:val="20"/>
          <w:color w:val="auto"/>
        </w:rPr>
      </w:pPr>
    </w:p>
    <w:p>
      <w:pPr>
        <w:ind w:left="3640"/>
        <w:spacing w:after="0"/>
        <w:rPr>
          <w:sz w:val="20"/>
          <w:szCs w:val="20"/>
          <w:color w:val="auto"/>
        </w:rPr>
      </w:pP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7620</wp:posOffset>
            </wp:positionV>
            <wp:extent cx="506603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4">
                      <a:extLst>
                        <a:ext uri="{28A0092B-C50C-407E-A947-70E740481C1C}"/>
                      </a:extLst>
                    </a:blip>
                    <a:srcRect/>
                    <a:stretch>
                      <a:fillRect/>
                    </a:stretch>
                  </pic:blipFill>
                  <pic:spPr bwMode="auto">
                    <a:xfrm>
                      <a:off x="0" y="0"/>
                      <a:ext cx="5066030" cy="8255"/>
                    </a:xfrm>
                    <a:prstGeom prst="rect">
                      <a:avLst/>
                    </a:prstGeom>
                    <a:noFill/>
                  </pic:spPr>
                </pic:pic>
              </a:graphicData>
            </a:graphic>
          </wp:anchor>
        </w:drawing>
      </w:r>
    </w:p>
    <w:p>
      <w:pPr>
        <w:spacing w:after="0" w:line="5" w:lineRule="exact"/>
        <w:rPr>
          <w:sz w:val="20"/>
          <w:szCs w:val="20"/>
          <w:color w:val="auto"/>
        </w:rPr>
      </w:pPr>
    </w:p>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Form of Underwriting Agreement</w:t>
        </w:r>
      </w:hyperlink>
    </w:p>
    <w:p>
      <w:pPr>
        <w:spacing w:after="0" w:line="218" w:lineRule="exact"/>
        <w:rPr>
          <w:sz w:val="20"/>
          <w:szCs w:val="20"/>
          <w:color w:val="auto"/>
        </w:rPr>
      </w:pPr>
    </w:p>
    <w:p>
      <w:pPr>
        <w:spacing w:after="0"/>
        <w:rPr>
          <w:rFonts w:ascii="Arial" w:cs="Arial" w:eastAsia="Arial" w:hAnsi="Arial"/>
          <w:sz w:val="18"/>
          <w:szCs w:val="18"/>
          <w:u w:val="single" w:color="auto"/>
          <w:color w:val="0000EE"/>
        </w:rPr>
      </w:pPr>
      <w:hyperlink r:id="rId95">
        <w:r>
          <w:rPr>
            <w:rFonts w:ascii="Arial" w:cs="Arial" w:eastAsia="Arial" w:hAnsi="Arial"/>
            <w:sz w:val="18"/>
            <w:szCs w:val="18"/>
            <w:u w:val="single" w:color="auto"/>
            <w:color w:val="0000EE"/>
          </w:rPr>
          <w:t>Certificate of Limited Partnership of GasLog Partners LP</w:t>
        </w:r>
      </w:hyperlink>
      <w:r>
        <w:rPr>
          <w:rFonts w:ascii="Arial" w:cs="Arial" w:eastAsia="Arial" w:hAnsi="Arial"/>
          <w:sz w:val="29"/>
          <w:szCs w:val="29"/>
          <w:u w:val="single" w:color="auto"/>
          <w:color w:val="0000EE"/>
          <w:vertAlign w:val="superscript"/>
        </w:rPr>
        <w:t>(2)</w:t>
      </w:r>
    </w:p>
    <w:p>
      <w:pPr>
        <w:spacing w:after="0" w:line="139" w:lineRule="exact"/>
        <w:rPr>
          <w:sz w:val="20"/>
          <w:szCs w:val="20"/>
          <w:color w:val="auto"/>
        </w:rPr>
      </w:pPr>
    </w:p>
    <w:p>
      <w:pPr>
        <w:spacing w:after="0"/>
        <w:rPr>
          <w:rFonts w:ascii="Arial" w:cs="Arial" w:eastAsia="Arial" w:hAnsi="Arial"/>
          <w:sz w:val="18"/>
          <w:szCs w:val="18"/>
          <w:u w:val="single" w:color="auto"/>
          <w:color w:val="0000EE"/>
        </w:rPr>
      </w:pPr>
      <w:hyperlink r:id="rId96">
        <w:r>
          <w:rPr>
            <w:rFonts w:ascii="Arial" w:cs="Arial" w:eastAsia="Arial" w:hAnsi="Arial"/>
            <w:sz w:val="18"/>
            <w:szCs w:val="18"/>
            <w:u w:val="single" w:color="auto"/>
            <w:color w:val="0000EE"/>
          </w:rPr>
          <w:t>Seventh Amended and Restated Agreement of Limited Partnership of GasLog Partners LP</w:t>
        </w:r>
      </w:hyperlink>
      <w:r>
        <w:rPr>
          <w:rFonts w:ascii="Arial" w:cs="Arial" w:eastAsia="Arial" w:hAnsi="Arial"/>
          <w:sz w:val="29"/>
          <w:szCs w:val="29"/>
          <w:u w:val="single" w:color="auto"/>
          <w:color w:val="0000EE"/>
          <w:vertAlign w:val="superscript"/>
        </w:rPr>
        <w:t>(3)</w:t>
      </w:r>
    </w:p>
    <w:p>
      <w:pPr>
        <w:spacing w:after="0" w:line="139" w:lineRule="exact"/>
        <w:rPr>
          <w:sz w:val="20"/>
          <w:szCs w:val="20"/>
          <w:color w:val="auto"/>
        </w:rPr>
      </w:pPr>
    </w:p>
    <w:p>
      <w:pPr>
        <w:spacing w:after="0"/>
        <w:rPr>
          <w:rFonts w:ascii="Arial" w:cs="Arial" w:eastAsia="Arial" w:hAnsi="Arial"/>
          <w:sz w:val="18"/>
          <w:szCs w:val="18"/>
          <w:u w:val="single" w:color="auto"/>
          <w:color w:val="0000EE"/>
        </w:rPr>
      </w:pPr>
      <w:hyperlink r:id="rId97">
        <w:r>
          <w:rPr>
            <w:rFonts w:ascii="Arial" w:cs="Arial" w:eastAsia="Arial" w:hAnsi="Arial"/>
            <w:sz w:val="18"/>
            <w:szCs w:val="18"/>
            <w:u w:val="single" w:color="auto"/>
            <w:color w:val="0000EE"/>
          </w:rPr>
          <w:t>Certificate of Formation of GasLog Partners GP LLC</w:t>
        </w:r>
      </w:hyperlink>
      <w:r>
        <w:rPr>
          <w:rFonts w:ascii="Arial" w:cs="Arial" w:eastAsia="Arial" w:hAnsi="Arial"/>
          <w:sz w:val="29"/>
          <w:szCs w:val="29"/>
          <w:u w:val="single" w:color="auto"/>
          <w:color w:val="0000EE"/>
          <w:vertAlign w:val="superscript"/>
        </w:rPr>
        <w:t>(2)</w:t>
      </w:r>
    </w:p>
    <w:p>
      <w:pPr>
        <w:spacing w:after="0" w:line="139" w:lineRule="exact"/>
        <w:rPr>
          <w:sz w:val="20"/>
          <w:szCs w:val="20"/>
          <w:color w:val="auto"/>
        </w:rPr>
      </w:pPr>
    </w:p>
    <w:p>
      <w:pPr>
        <w:spacing w:after="0"/>
        <w:rPr>
          <w:rFonts w:ascii="Arial" w:cs="Arial" w:eastAsia="Arial" w:hAnsi="Arial"/>
          <w:sz w:val="18"/>
          <w:szCs w:val="18"/>
          <w:u w:val="single" w:color="auto"/>
          <w:color w:val="0000EE"/>
        </w:rPr>
      </w:pPr>
      <w:hyperlink r:id="rId98">
        <w:r>
          <w:rPr>
            <w:rFonts w:ascii="Arial" w:cs="Arial" w:eastAsia="Arial" w:hAnsi="Arial"/>
            <w:sz w:val="18"/>
            <w:szCs w:val="18"/>
            <w:u w:val="single" w:color="auto"/>
            <w:color w:val="0000EE"/>
          </w:rPr>
          <w:t>Limited Liability Company Agreement of GasLog Partners GP LLC</w:t>
        </w:r>
      </w:hyperlink>
      <w:r>
        <w:rPr>
          <w:rFonts w:ascii="Arial" w:cs="Arial" w:eastAsia="Arial" w:hAnsi="Arial"/>
          <w:sz w:val="29"/>
          <w:szCs w:val="29"/>
          <w:u w:val="single" w:color="auto"/>
          <w:color w:val="0000EE"/>
          <w:vertAlign w:val="superscript"/>
        </w:rPr>
        <w:t>(2)</w:t>
      </w:r>
    </w:p>
    <w:p>
      <w:pPr>
        <w:spacing w:after="0" w:line="138" w:lineRule="exact"/>
        <w:rPr>
          <w:sz w:val="20"/>
          <w:szCs w:val="20"/>
          <w:color w:val="auto"/>
        </w:rPr>
      </w:pPr>
    </w:p>
    <w:p>
      <w:pPr>
        <w:spacing w:after="0"/>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Form of Indenture</w:t>
        </w:r>
      </w:hyperlink>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Form of Debt Securities</w:t>
      </w:r>
      <w:r>
        <w:rPr>
          <w:rFonts w:ascii="Arial" w:cs="Arial" w:eastAsia="Arial" w:hAnsi="Arial"/>
          <w:sz w:val="29"/>
          <w:szCs w:val="29"/>
          <w:color w:val="auto"/>
          <w:vertAlign w:val="superscript"/>
        </w:rPr>
        <w:t>(1)</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Form of Warrant Agreement</w:t>
      </w:r>
      <w:r>
        <w:rPr>
          <w:rFonts w:ascii="Arial" w:cs="Arial" w:eastAsia="Arial" w:hAnsi="Arial"/>
          <w:sz w:val="29"/>
          <w:szCs w:val="29"/>
          <w:color w:val="auto"/>
          <w:vertAlign w:val="superscript"/>
        </w:rPr>
        <w:t>(1)</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Form of Warrant Certificate</w:t>
      </w:r>
      <w:r>
        <w:rPr>
          <w:rFonts w:ascii="Arial" w:cs="Arial" w:eastAsia="Arial" w:hAnsi="Arial"/>
          <w:sz w:val="29"/>
          <w:szCs w:val="29"/>
          <w:color w:val="auto"/>
          <w:vertAlign w:val="superscript"/>
        </w:rPr>
        <w:t>(1)</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Form of Rights Agreement</w:t>
      </w:r>
      <w:r>
        <w:rPr>
          <w:rFonts w:ascii="Arial" w:cs="Arial" w:eastAsia="Arial" w:hAnsi="Arial"/>
          <w:sz w:val="29"/>
          <w:szCs w:val="29"/>
          <w:color w:val="auto"/>
          <w:vertAlign w:val="superscript"/>
        </w:rPr>
        <w:t>(1)</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Form of Rights Certificate</w:t>
      </w:r>
      <w:r>
        <w:rPr>
          <w:rFonts w:ascii="Arial" w:cs="Arial" w:eastAsia="Arial" w:hAnsi="Arial"/>
          <w:sz w:val="29"/>
          <w:szCs w:val="29"/>
          <w:color w:val="auto"/>
          <w:vertAlign w:val="superscript"/>
        </w:rPr>
        <w:t>(1)</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Form of Unit Agreement</w:t>
      </w:r>
      <w:r>
        <w:rPr>
          <w:rFonts w:ascii="Arial" w:cs="Arial" w:eastAsia="Arial" w:hAnsi="Arial"/>
          <w:sz w:val="29"/>
          <w:szCs w:val="29"/>
          <w:color w:val="auto"/>
          <w:vertAlign w:val="superscript"/>
        </w:rPr>
        <w:t>(1)</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Form of Unit Certificate</w:t>
      </w:r>
      <w:r>
        <w:rPr>
          <w:rFonts w:ascii="Arial" w:cs="Arial" w:eastAsia="Arial" w:hAnsi="Arial"/>
          <w:sz w:val="29"/>
          <w:szCs w:val="29"/>
          <w:color w:val="auto"/>
          <w:vertAlign w:val="superscript"/>
        </w:rPr>
        <w:t>(1)</w:t>
      </w:r>
    </w:p>
    <w:p>
      <w:pPr>
        <w:spacing w:after="0" w:line="138" w:lineRule="exact"/>
        <w:rPr>
          <w:sz w:val="20"/>
          <w:szCs w:val="20"/>
          <w:color w:val="auto"/>
        </w:rPr>
      </w:pPr>
    </w:p>
    <w:p>
      <w:pPr>
        <w:spacing w:after="0"/>
        <w:rPr>
          <w:rFonts w:ascii="Arial" w:cs="Arial" w:eastAsia="Arial" w:hAnsi="Arial"/>
          <w:sz w:val="15"/>
          <w:szCs w:val="15"/>
          <w:u w:val="single" w:color="auto"/>
          <w:color w:val="0000EE"/>
        </w:rPr>
      </w:pPr>
      <w:hyperlink w:anchor="page159">
        <w:r>
          <w:rPr>
            <w:rFonts w:ascii="Arial" w:cs="Arial" w:eastAsia="Arial" w:hAnsi="Arial"/>
            <w:sz w:val="15"/>
            <w:szCs w:val="15"/>
            <w:u w:val="single" w:color="auto"/>
            <w:color w:val="0000EE"/>
          </w:rPr>
          <w:t>Opinion of Cozen O'Connor, special counsel to the Company as to the Republic of the Marshall Islands law</w:t>
        </w:r>
      </w:hyperlink>
    </w:p>
    <w:p>
      <w:pPr>
        <w:spacing w:after="0" w:line="260" w:lineRule="exact"/>
        <w:rPr>
          <w:sz w:val="20"/>
          <w:szCs w:val="20"/>
          <w:color w:val="auto"/>
        </w:rPr>
      </w:pPr>
    </w:p>
    <w:p>
      <w:pPr>
        <w:spacing w:after="0"/>
        <w:rPr>
          <w:rFonts w:ascii="Arial" w:cs="Arial" w:eastAsia="Arial" w:hAnsi="Arial"/>
          <w:sz w:val="18"/>
          <w:szCs w:val="18"/>
          <w:u w:val="single" w:color="auto"/>
          <w:color w:val="0000EE"/>
        </w:rPr>
      </w:pPr>
      <w:hyperlink w:anchor="page163">
        <w:r>
          <w:rPr>
            <w:rFonts w:ascii="Arial" w:cs="Arial" w:eastAsia="Arial" w:hAnsi="Arial"/>
            <w:sz w:val="18"/>
            <w:szCs w:val="18"/>
            <w:u w:val="single" w:color="auto"/>
            <w:color w:val="0000EE"/>
          </w:rPr>
          <w:t>Opinion of Cravath, Swaine &amp; Moore LLP, United States counsel to the Company</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167">
        <w:r>
          <w:rPr>
            <w:rFonts w:ascii="Arial" w:cs="Arial" w:eastAsia="Arial" w:hAnsi="Arial"/>
            <w:sz w:val="18"/>
            <w:szCs w:val="18"/>
            <w:u w:val="single" w:color="auto"/>
            <w:color w:val="0000EE"/>
          </w:rPr>
          <w:t>Consent of Deloitte LLP</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159">
        <w:r>
          <w:rPr>
            <w:rFonts w:ascii="Arial" w:cs="Arial" w:eastAsia="Arial" w:hAnsi="Arial"/>
            <w:sz w:val="18"/>
            <w:szCs w:val="18"/>
            <w:u w:val="single" w:color="auto"/>
            <w:color w:val="0000EE"/>
          </w:rPr>
          <w:t>Consent of Cozen O'Connor (included in Exhibit 5.1)</w:t>
        </w:r>
      </w:hyperlink>
    </w:p>
    <w:p>
      <w:pPr>
        <w:spacing w:after="0" w:line="200" w:lineRule="exact"/>
        <w:rPr>
          <w:sz w:val="20"/>
          <w:szCs w:val="20"/>
          <w:color w:val="auto"/>
        </w:rPr>
      </w:pPr>
    </w:p>
    <w:p>
      <w:pPr>
        <w:sectPr>
          <w:pgSz w:w="11900" w:h="16838" w:orient="portrait"/>
          <w:cols w:equalWidth="0" w:num="2">
            <w:col w:w="1980" w:space="160"/>
            <w:col w:w="9040"/>
          </w:cols>
          <w:pgMar w:left="320" w:top="131" w:right="399" w:bottom="1440" w:gutter="0" w:footer="0" w:header="0"/>
          <w:type w:val="continuous"/>
        </w:sect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1361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type w:val="continuous"/>
        </w:sectPr>
      </w:pPr>
    </w:p>
    <w:bookmarkStart w:id="55" w:name="page56"/>
    <w:bookmarkEnd w:id="5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220"/>
        <w:spacing w:after="0"/>
        <w:tabs>
          <w:tab w:leader="none" w:pos="5760" w:val="left"/>
        </w:tabs>
        <w:rPr>
          <w:sz w:val="20"/>
          <w:szCs w:val="20"/>
          <w:color w:val="auto"/>
        </w:rPr>
      </w:pPr>
      <w:r>
        <w:rPr>
          <w:rFonts w:ascii="Arial" w:cs="Arial" w:eastAsia="Arial" w:hAnsi="Arial"/>
          <w:sz w:val="13"/>
          <w:szCs w:val="13"/>
          <w:b w:val="1"/>
          <w:bCs w:val="1"/>
          <w:color w:val="auto"/>
        </w:rPr>
        <w:t>Exhibit No.</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7620</wp:posOffset>
            </wp:positionV>
            <wp:extent cx="570039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0">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5" w:lineRule="exact"/>
        <w:rPr>
          <w:sz w:val="20"/>
          <w:szCs w:val="20"/>
          <w:color w:val="auto"/>
        </w:rPr>
      </w:pPr>
    </w:p>
    <w:p>
      <w:pPr>
        <w:ind w:left="1660"/>
        <w:spacing w:after="0"/>
        <w:tabs>
          <w:tab w:leader="none" w:pos="2120" w:val="left"/>
        </w:tabs>
        <w:rPr>
          <w:rFonts w:ascii="Arial" w:cs="Arial" w:eastAsia="Arial" w:hAnsi="Arial"/>
          <w:sz w:val="16"/>
          <w:szCs w:val="16"/>
          <w:u w:val="single" w:color="auto"/>
          <w:color w:val="0000EE"/>
        </w:rPr>
      </w:pPr>
      <w:r>
        <w:rPr>
          <w:rFonts w:ascii="Arial" w:cs="Arial" w:eastAsia="Arial" w:hAnsi="Arial"/>
          <w:sz w:val="18"/>
          <w:szCs w:val="18"/>
          <w:color w:val="auto"/>
        </w:rPr>
        <w:t>23.3</w:t>
      </w:r>
      <w:r>
        <w:rPr>
          <w:sz w:val="20"/>
          <w:szCs w:val="20"/>
          <w:color w:val="auto"/>
        </w:rPr>
        <w:tab/>
      </w:r>
      <w:hyperlink w:anchor="page163">
        <w:r>
          <w:rPr>
            <w:rFonts w:ascii="Arial" w:cs="Arial" w:eastAsia="Arial" w:hAnsi="Arial"/>
            <w:sz w:val="16"/>
            <w:szCs w:val="16"/>
            <w:u w:val="single" w:color="auto"/>
            <w:color w:val="0000EE"/>
          </w:rPr>
          <w:t>Consent of Cravath, Swaine &amp; Moore LLP (included in Exhibit 5.2)</w:t>
        </w:r>
      </w:hyperlink>
    </w:p>
    <w:p>
      <w:pPr>
        <w:spacing w:after="0" w:line="217" w:lineRule="exact"/>
        <w:rPr>
          <w:sz w:val="20"/>
          <w:szCs w:val="20"/>
          <w:color w:val="auto"/>
        </w:rPr>
      </w:pPr>
    </w:p>
    <w:p>
      <w:pPr>
        <w:ind w:left="1660"/>
        <w:spacing w:after="0"/>
        <w:tabs>
          <w:tab w:leader="none" w:pos="2120" w:val="left"/>
        </w:tabs>
        <w:rPr>
          <w:rFonts w:ascii="Arial" w:cs="Arial" w:eastAsia="Arial" w:hAnsi="Arial"/>
          <w:sz w:val="15"/>
          <w:szCs w:val="15"/>
          <w:u w:val="single" w:color="auto"/>
          <w:color w:val="0000EE"/>
        </w:rPr>
      </w:pPr>
      <w:r>
        <w:rPr>
          <w:rFonts w:ascii="Arial" w:cs="Arial" w:eastAsia="Arial" w:hAnsi="Arial"/>
          <w:sz w:val="18"/>
          <w:szCs w:val="18"/>
          <w:color w:val="auto"/>
        </w:rPr>
        <w:t>24.1</w:t>
      </w:r>
      <w:r>
        <w:rPr>
          <w:sz w:val="20"/>
          <w:szCs w:val="20"/>
          <w:color w:val="auto"/>
        </w:rPr>
        <w:tab/>
      </w:r>
      <w:hyperlink w:anchor="page60">
        <w:r>
          <w:rPr>
            <w:rFonts w:ascii="Arial" w:cs="Arial" w:eastAsia="Arial" w:hAnsi="Arial"/>
            <w:sz w:val="15"/>
            <w:szCs w:val="15"/>
            <w:u w:val="single" w:color="auto"/>
            <w:color w:val="0000EE"/>
          </w:rPr>
          <w:t>Power of Attorney (included on the signature page hereto)</w:t>
        </w:r>
      </w:hyperlink>
    </w:p>
    <w:p>
      <w:pPr>
        <w:spacing w:after="0" w:line="225" w:lineRule="exact"/>
        <w:rPr>
          <w:sz w:val="20"/>
          <w:szCs w:val="20"/>
          <w:color w:val="auto"/>
        </w:rPr>
      </w:pPr>
    </w:p>
    <w:p>
      <w:pPr>
        <w:ind w:left="1660"/>
        <w:spacing w:after="0"/>
        <w:tabs>
          <w:tab w:leader="none" w:pos="2120" w:val="left"/>
        </w:tabs>
        <w:rPr>
          <w:sz w:val="20"/>
          <w:szCs w:val="20"/>
          <w:color w:val="auto"/>
        </w:rPr>
      </w:pPr>
      <w:r>
        <w:rPr>
          <w:rFonts w:ascii="Arial" w:cs="Arial" w:eastAsia="Arial" w:hAnsi="Arial"/>
          <w:sz w:val="35"/>
          <w:szCs w:val="35"/>
          <w:color w:val="auto"/>
          <w:vertAlign w:val="superscript"/>
        </w:rPr>
        <w:t>25.1</w:t>
      </w:r>
      <w:r>
        <w:rPr>
          <w:sz w:val="20"/>
          <w:szCs w:val="20"/>
          <w:color w:val="auto"/>
        </w:rPr>
        <w:tab/>
      </w:r>
      <w:r>
        <w:rPr>
          <w:rFonts w:ascii="Arial" w:cs="Arial" w:eastAsia="Arial" w:hAnsi="Arial"/>
          <w:sz w:val="16"/>
          <w:szCs w:val="16"/>
          <w:color w:val="auto"/>
        </w:rPr>
        <w:t>Form T-1 Statement of Eligibility for Indenture</w:t>
      </w:r>
      <w:r>
        <w:rPr>
          <w:rFonts w:ascii="Arial" w:cs="Arial" w:eastAsia="Arial" w:hAnsi="Arial"/>
          <w:sz w:val="26"/>
          <w:szCs w:val="26"/>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-18415</wp:posOffset>
            </wp:positionV>
            <wp:extent cx="14998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1">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line="60" w:lineRule="exact"/>
        <w:rPr>
          <w:sz w:val="20"/>
          <w:szCs w:val="20"/>
          <w:color w:val="auto"/>
        </w:rPr>
      </w:pPr>
    </w:p>
    <w:p>
      <w:pPr>
        <w:ind w:left="1680" w:hanging="549"/>
        <w:spacing w:after="0"/>
        <w:tabs>
          <w:tab w:leader="none" w:pos="1680" w:val="left"/>
        </w:tabs>
        <w:numPr>
          <w:ilvl w:val="0"/>
          <w:numId w:val="48"/>
        </w:numPr>
        <w:rPr>
          <w:rFonts w:ascii="Arial" w:cs="Arial" w:eastAsia="Arial" w:hAnsi="Arial"/>
          <w:sz w:val="29"/>
          <w:szCs w:val="29"/>
          <w:color w:val="auto"/>
          <w:vertAlign w:val="superscript"/>
        </w:rPr>
      </w:pPr>
      <w:r>
        <w:rPr>
          <w:rFonts w:ascii="Arial" w:cs="Arial" w:eastAsia="Arial" w:hAnsi="Arial"/>
          <w:sz w:val="18"/>
          <w:szCs w:val="18"/>
          <w:color w:val="auto"/>
        </w:rPr>
        <w:t>To be filed as an exhibit to a report on Form 6-K and incorporated herein by reference.</w:t>
      </w:r>
    </w:p>
    <w:p>
      <w:pPr>
        <w:spacing w:after="0" w:line="223" w:lineRule="exact"/>
        <w:rPr>
          <w:rFonts w:ascii="Arial" w:cs="Arial" w:eastAsia="Arial" w:hAnsi="Arial"/>
          <w:sz w:val="29"/>
          <w:szCs w:val="29"/>
          <w:color w:val="auto"/>
          <w:vertAlign w:val="superscript"/>
        </w:rPr>
      </w:pPr>
    </w:p>
    <w:p>
      <w:pPr>
        <w:ind w:left="1680" w:right="180" w:hanging="549"/>
        <w:spacing w:after="0" w:line="203" w:lineRule="auto"/>
        <w:tabs>
          <w:tab w:leader="none" w:pos="1680" w:val="left"/>
        </w:tabs>
        <w:numPr>
          <w:ilvl w:val="0"/>
          <w:numId w:val="48"/>
        </w:numPr>
        <w:rPr>
          <w:rFonts w:ascii="Arial" w:cs="Arial" w:eastAsia="Arial" w:hAnsi="Arial"/>
          <w:sz w:val="28"/>
          <w:szCs w:val="28"/>
          <w:color w:val="auto"/>
          <w:vertAlign w:val="superscript"/>
        </w:rPr>
      </w:pPr>
      <w:r>
        <w:rPr>
          <w:rFonts w:ascii="Arial" w:cs="Arial" w:eastAsia="Arial" w:hAnsi="Arial"/>
          <w:sz w:val="17"/>
          <w:szCs w:val="17"/>
          <w:color w:val="auto"/>
        </w:rPr>
        <w:t>Previously filed as an exhibit to GasLog Partners LP's Registration Statement on Form F-1 (File No. 333-195109), filed with the SEC on April 7, 2014, or an amendment thereto, and hereby incorporated by reference to such Registration Statement.</w:t>
      </w:r>
    </w:p>
    <w:p>
      <w:pPr>
        <w:spacing w:after="0" w:line="210" w:lineRule="exact"/>
        <w:rPr>
          <w:rFonts w:ascii="Arial" w:cs="Arial" w:eastAsia="Arial" w:hAnsi="Arial"/>
          <w:sz w:val="28"/>
          <w:szCs w:val="28"/>
          <w:color w:val="auto"/>
          <w:vertAlign w:val="superscript"/>
        </w:rPr>
      </w:pPr>
    </w:p>
    <w:p>
      <w:pPr>
        <w:ind w:left="1680" w:right="920" w:hanging="549"/>
        <w:spacing w:after="0" w:line="194" w:lineRule="auto"/>
        <w:tabs>
          <w:tab w:leader="none" w:pos="1680" w:val="left"/>
        </w:tabs>
        <w:numPr>
          <w:ilvl w:val="0"/>
          <w:numId w:val="48"/>
        </w:numPr>
        <w:rPr>
          <w:rFonts w:ascii="Arial" w:cs="Arial" w:eastAsia="Arial" w:hAnsi="Arial"/>
          <w:sz w:val="29"/>
          <w:szCs w:val="29"/>
          <w:color w:val="auto"/>
          <w:vertAlign w:val="superscript"/>
        </w:rPr>
      </w:pPr>
      <w:r>
        <w:rPr>
          <w:rFonts w:ascii="Arial" w:cs="Arial" w:eastAsia="Arial" w:hAnsi="Arial"/>
          <w:sz w:val="18"/>
          <w:szCs w:val="18"/>
          <w:color w:val="auto"/>
        </w:rPr>
        <w:t>Previously filed as Exhibit 3.2 to GasLog Partners LP's Report on Form 6-K, filed with the SEC on August 5, 2020, hereby incorporated by reference to such Report.</w:t>
      </w:r>
    </w:p>
    <w:p>
      <w:pPr>
        <w:spacing w:after="0" w:line="100" w:lineRule="exact"/>
        <w:rPr>
          <w:rFonts w:ascii="Arial" w:cs="Arial" w:eastAsia="Arial" w:hAnsi="Arial"/>
          <w:sz w:val="29"/>
          <w:szCs w:val="29"/>
          <w:color w:val="auto"/>
          <w:vertAlign w:val="superscript"/>
        </w:rPr>
      </w:pPr>
    </w:p>
    <w:p>
      <w:pPr>
        <w:ind w:left="1680" w:hanging="549"/>
        <w:spacing w:after="0"/>
        <w:tabs>
          <w:tab w:leader="none" w:pos="1680" w:val="left"/>
        </w:tabs>
        <w:numPr>
          <w:ilvl w:val="0"/>
          <w:numId w:val="48"/>
        </w:numPr>
        <w:rPr>
          <w:rFonts w:ascii="Arial" w:cs="Arial" w:eastAsia="Arial" w:hAnsi="Arial"/>
          <w:sz w:val="29"/>
          <w:szCs w:val="29"/>
          <w:color w:val="auto"/>
          <w:vertAlign w:val="superscript"/>
        </w:rPr>
      </w:pPr>
      <w:r>
        <w:rPr>
          <w:rFonts w:ascii="Arial" w:cs="Arial" w:eastAsia="Arial" w:hAnsi="Arial"/>
          <w:sz w:val="18"/>
          <w:szCs w:val="18"/>
          <w:color w:val="auto"/>
        </w:rPr>
        <w:t>To be filed in accordance with Section 305(b)(2) of the Trust Indenture Act of 1939, as amended.</w:t>
      </w:r>
    </w:p>
    <w:p>
      <w:pPr>
        <w:spacing w:after="0" w:line="21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i w:val="1"/>
          <w:iCs w:val="1"/>
          <w:color w:val="auto"/>
        </w:rPr>
        <w:t>Item 10.</w:t>
      </w:r>
      <w:r>
        <w:rPr>
          <w:sz w:val="20"/>
          <w:szCs w:val="20"/>
          <w:color w:val="auto"/>
        </w:rPr>
        <w:tab/>
      </w:r>
      <w:r>
        <w:rPr>
          <w:rFonts w:ascii="Arial" w:cs="Arial" w:eastAsia="Arial" w:hAnsi="Arial"/>
          <w:sz w:val="15"/>
          <w:szCs w:val="15"/>
          <w:b w:val="1"/>
          <w:bCs w:val="1"/>
          <w:i w:val="1"/>
          <w:iCs w:val="1"/>
          <w:color w:val="auto"/>
        </w:rPr>
        <w:t>Undertakings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undersigned registrant hereby undertakes: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sz w:val="20"/>
          <w:szCs w:val="20"/>
          <w:color w:val="auto"/>
        </w:rPr>
      </w:pPr>
    </w:p>
    <w:p>
      <w:pPr>
        <w:ind w:left="1240" w:hanging="253"/>
        <w:spacing w:after="0"/>
        <w:tabs>
          <w:tab w:leader="none" w:pos="12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 as amended;</w:t>
      </w:r>
    </w:p>
    <w:p>
      <w:pPr>
        <w:spacing w:after="0" w:line="225" w:lineRule="exact"/>
        <w:rPr>
          <w:rFonts w:ascii="Arial" w:cs="Arial" w:eastAsia="Arial" w:hAnsi="Arial"/>
          <w:sz w:val="18"/>
          <w:szCs w:val="18"/>
          <w:color w:val="auto"/>
        </w:rPr>
      </w:pPr>
    </w:p>
    <w:p>
      <w:pPr>
        <w:ind w:left="540" w:right="120" w:firstLine="403"/>
        <w:spacing w:after="0" w:line="290" w:lineRule="auto"/>
        <w:tabs>
          <w:tab w:leader="none" w:pos="1237" w:val="left"/>
        </w:tabs>
        <w:numPr>
          <w:ilvl w:val="0"/>
          <w:numId w:val="49"/>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of the Securities Act of 1933, as amended, if, in the aggregate, the changes in volume and price represent no more than 20 percent change in the maximum aggregate offering price set forth in the "Calculation of Registration Fee" table in the effective registration statement; and</w:t>
      </w:r>
    </w:p>
    <w:p>
      <w:pPr>
        <w:spacing w:after="0" w:line="171" w:lineRule="exact"/>
        <w:rPr>
          <w:rFonts w:ascii="Arial" w:cs="Arial" w:eastAsia="Arial" w:hAnsi="Arial"/>
          <w:sz w:val="16"/>
          <w:szCs w:val="16"/>
          <w:color w:val="auto"/>
        </w:rPr>
      </w:pPr>
    </w:p>
    <w:p>
      <w:pPr>
        <w:ind w:left="540" w:right="540" w:firstLine="359"/>
        <w:spacing w:after="0" w:line="268" w:lineRule="auto"/>
        <w:tabs>
          <w:tab w:leader="none" w:pos="1242"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86"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(i), (ii) and (iii) do not apply if the information required to be included in a post-effective amendment by those paragraphs is</w:t>
      </w:r>
      <w:r>
        <w:rPr>
          <w:rFonts w:ascii="Arial" w:cs="Arial" w:eastAsia="Arial" w:hAnsi="Arial"/>
          <w:sz w:val="18"/>
          <w:szCs w:val="18"/>
          <w:i w:val="1"/>
          <w:iCs w:val="1"/>
          <w:color w:val="auto"/>
        </w:rPr>
        <w:t xml:space="preserve"> </w:t>
      </w:r>
      <w:r>
        <w:rPr>
          <w:rFonts w:ascii="Arial" w:cs="Arial" w:eastAsia="Arial" w:hAnsi="Arial"/>
          <w:sz w:val="18"/>
          <w:szCs w:val="18"/>
          <w:color w:val="auto"/>
        </w:rPr>
        <w:t>contained in reports filed with or furnished to the SEC by the registrant pursuant to Section 13 or Section 15(d) of the Securities Exchange Act of 1934 that are incorporated by reference in the registration statement, or is contained in a form of prospectus filed pursuant to Rule 424(b) that is part of this registration statement.</w:t>
      </w:r>
    </w:p>
    <w:p>
      <w:pPr>
        <w:spacing w:after="0" w:line="197"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That, for the purpose of determining any liability under the Securities Act of 1933, as amended, each such post-effective amendment shall be deemed to be a new registration statement relating to the securities offered therein, and the offering of such securities at that time shall be deemed to be the initial bona fide offering thereof.</w:t>
      </w:r>
    </w:p>
    <w:p>
      <w:pPr>
        <w:spacing w:after="0" w:line="194"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 (3) of the Securities Act of 1933, as amended, need not be furnished, provided that the registrant includes in the prospectus, by means of a post-effective amendment, financial statements required pursuant to this paragraph and other information necessary to ensure that all other information in the prospectus is at least as current as the date of those financial statements. Notwithstanding the foregoing, with respect to registration statements on Form F-3, a post-effective amendment need not be filed to include financial statements and information required by Section 10(a)(3) of the Securities Act of 1933, as amended, or Item 8.A of Form 20-F, as amended, if such financial statements and information are contained in periodic reports filed with or furnished to the SEC by the registrant pursuant to Section 13 or Section 15(d) of the Securities Exchange Act of 1934, as amended, that are incorporated by reference in this registration statement.</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That, for the purpose of determining liability under the Securities Act of 1933, as amended, to any purchaser:</w:t>
      </w:r>
    </w:p>
    <w:p>
      <w:pPr>
        <w:spacing w:after="0" w:line="225" w:lineRule="exact"/>
        <w:rPr>
          <w:sz w:val="20"/>
          <w:szCs w:val="20"/>
          <w:color w:val="auto"/>
        </w:rPr>
      </w:pPr>
    </w:p>
    <w:p>
      <w:pPr>
        <w:ind w:left="540" w:right="220" w:firstLine="359"/>
        <w:spacing w:after="0" w:line="268" w:lineRule="auto"/>
        <w:tabs>
          <w:tab w:leader="none" w:pos="1222" w:val="left"/>
        </w:tabs>
        <w:numPr>
          <w:ilvl w:val="0"/>
          <w:numId w:val="50"/>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85" w:lineRule="exact"/>
        <w:rPr>
          <w:rFonts w:ascii="Arial" w:cs="Arial" w:eastAsia="Arial" w:hAnsi="Arial"/>
          <w:sz w:val="18"/>
          <w:szCs w:val="18"/>
          <w:color w:val="auto"/>
        </w:rPr>
      </w:pPr>
    </w:p>
    <w:p>
      <w:pPr>
        <w:ind w:left="540" w:firstLine="359"/>
        <w:spacing w:after="0" w:line="286" w:lineRule="auto"/>
        <w:tabs>
          <w:tab w:leader="none" w:pos="1213" w:val="left"/>
        </w:tabs>
        <w:numPr>
          <w:ilvl w:val="0"/>
          <w:numId w:val="50"/>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as amended,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this registration statement to which that prospectus relates, and the offering of such securities at that time shall be deemed to be the initial bona fide offering thereof; provided, however, that no statement made in a registration statement or prospectus that is part of this registration statement or made in a document incorporated or deemed incorporated by reference into this registration statement or prospectus that is part of this registration statement will, as to a purchaser with a time of contract of sale prior to such effective date, supersede or modify any statement that was made in this registration statement or prospectus that was part of this registration statement or made in any such document immediately prior to such effective date.</w:t>
      </w:r>
    </w:p>
    <w:p>
      <w:pPr>
        <w:spacing w:after="0" w:line="180" w:lineRule="exact"/>
        <w:rPr>
          <w:sz w:val="20"/>
          <w:szCs w:val="20"/>
          <w:color w:val="auto"/>
        </w:rPr>
      </w:pPr>
    </w:p>
    <w:p>
      <w:pPr>
        <w:jc w:val="both"/>
        <w:ind w:right="40" w:firstLine="348"/>
        <w:spacing w:after="0" w:line="323" w:lineRule="auto"/>
        <w:rPr>
          <w:sz w:val="20"/>
          <w:szCs w:val="20"/>
          <w:color w:val="auto"/>
        </w:rPr>
      </w:pPr>
      <w:r>
        <w:rPr>
          <w:rFonts w:ascii="Arial" w:cs="Arial" w:eastAsia="Arial" w:hAnsi="Arial"/>
          <w:sz w:val="15"/>
          <w:szCs w:val="15"/>
          <w:color w:val="auto"/>
        </w:rPr>
        <w:t>That, for the purpose of determining liability of the registrant under the Securities Act of 1933, as amended,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51" w:lineRule="exact"/>
        <w:rPr>
          <w:sz w:val="20"/>
          <w:szCs w:val="20"/>
          <w:color w:val="auto"/>
        </w:rPr>
      </w:pPr>
    </w:p>
    <w:p>
      <w:pPr>
        <w:ind w:left="1240" w:hanging="253"/>
        <w:spacing w:after="0"/>
        <w:tabs>
          <w:tab w:leader="none" w:pos="12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248" w:lineRule="exact"/>
        <w:rPr>
          <w:rFonts w:ascii="Arial" w:cs="Arial" w:eastAsia="Arial" w:hAnsi="Arial"/>
          <w:sz w:val="16"/>
          <w:szCs w:val="16"/>
          <w:color w:val="auto"/>
        </w:rPr>
      </w:pPr>
    </w:p>
    <w:p>
      <w:pPr>
        <w:ind w:left="540" w:right="560" w:firstLine="403"/>
        <w:spacing w:after="0" w:line="268" w:lineRule="auto"/>
        <w:tabs>
          <w:tab w:leader="none" w:pos="1237"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20" w:firstLine="359"/>
        <w:spacing w:after="0" w:line="268" w:lineRule="auto"/>
        <w:tabs>
          <w:tab w:leader="none" w:pos="1242"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sz w:val="20"/>
          <w:szCs w:val="20"/>
          <w:color w:val="auto"/>
        </w:rPr>
      </w:pPr>
    </w:p>
    <w:p>
      <w:pPr>
        <w:ind w:right="200" w:firstLine="348"/>
        <w:spacing w:after="0" w:line="254" w:lineRule="auto"/>
        <w:rPr>
          <w:sz w:val="20"/>
          <w:szCs w:val="20"/>
          <w:color w:val="auto"/>
        </w:rPr>
      </w:pPr>
      <w:r>
        <w:rPr>
          <w:rFonts w:ascii="Arial" w:cs="Arial" w:eastAsia="Arial" w:hAnsi="Arial"/>
          <w:sz w:val="18"/>
          <w:szCs w:val="18"/>
          <w:color w:val="auto"/>
        </w:rPr>
        <w:t>That, for purposes of determining any liability under the Securities Act of 1933, as amended, each filing of the registrant's annual report pursuant to Section 13(a) or Section 15(d) of the Securities Exchange Act of 1934, as amended (and, where applicable, each filing of an employee benefit plan's annual report pursuant to Section 15(d) of the Securities Exchange Act of 1934, as amended),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201"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To supplement the prospectus, after the expiration of the subscription period, to set forth the results of the subscription offer, the transactions by the underwriters during the subscription period, the amount of unsubscribed securities to be purchased by the underwriters, and the terms of any subsequent reoffering thereof. If any public offering by the underwriters is to be made on terms differing from those set forth on the cover page of the prospectus, a post-effective amendment will be filed to set forth the terms of such offering.</w:t>
      </w:r>
    </w:p>
    <w:p>
      <w:pPr>
        <w:spacing w:after="0" w:line="197"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Insofar as indemnification for liabilities arising under the Securities Act of 1933, as amended,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as amended,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as amended, and will be governed by the final adjudication of such issue.</w:t>
      </w:r>
    </w:p>
    <w:p>
      <w:pPr>
        <w:spacing w:after="0" w:line="178"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To file an application for the purpose of determining the eligibility of the trustee to act under subsection (a) of section 310 of the Trust Indenture Act in accordance with the rules and regulations prescribed by the SEC under section 305(b)(2) of the Trust Indenture Act.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Pursuant to the requirements of the Securities Act of 1933, the undersigned Registrant certifies that it has reasonable grounds to believe that it meets all of the requirements for filing on Form F-3 and has duly caused this Registration Statement to be signed on its behalf by the undersigned, thereunto duly authorized, in the City of New York, State of New York, on October 9, 2020.</w:t>
      </w:r>
    </w:p>
    <w:p>
      <w:pPr>
        <w:spacing w:after="0" w:line="19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GASLOG PARTNERS LP</w:t>
      </w:r>
    </w:p>
    <w:p>
      <w:pPr>
        <w:spacing w:after="0" w:line="252" w:lineRule="exact"/>
        <w:rPr>
          <w:sz w:val="20"/>
          <w:szCs w:val="20"/>
          <w:color w:val="auto"/>
        </w:rPr>
      </w:pPr>
    </w:p>
    <w:p>
      <w:pPr>
        <w:ind w:left="5540"/>
        <w:spacing w:after="0"/>
        <w:tabs>
          <w:tab w:leader="none" w:pos="5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PAUL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71120</wp:posOffset>
            </wp:positionV>
            <wp:extent cx="265747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5">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178" w:lineRule="exact"/>
        <w:rPr>
          <w:sz w:val="20"/>
          <w:szCs w:val="20"/>
          <w:color w:val="auto"/>
        </w:rPr>
      </w:pPr>
    </w:p>
    <w:p>
      <w:pPr>
        <w:ind w:left="5960"/>
        <w:spacing w:after="0"/>
        <w:tabs>
          <w:tab w:leader="none" w:pos="6600" w:val="left"/>
        </w:tabs>
        <w:rPr>
          <w:sz w:val="20"/>
          <w:szCs w:val="20"/>
          <w:color w:val="auto"/>
        </w:rPr>
      </w:pPr>
      <w:r>
        <w:rPr>
          <w:rFonts w:ascii="Arial" w:cs="Arial" w:eastAsia="Arial" w:hAnsi="Arial"/>
          <w:sz w:val="18"/>
          <w:szCs w:val="18"/>
          <w:color w:val="auto"/>
        </w:rPr>
        <w:t>Name:</w:t>
        <w:tab/>
        <w:t>Paul Wogan</w:t>
      </w:r>
    </w:p>
    <w:p>
      <w:pPr>
        <w:spacing w:after="0" w:line="15" w:lineRule="exact"/>
        <w:rPr>
          <w:sz w:val="20"/>
          <w:szCs w:val="20"/>
          <w:color w:val="auto"/>
        </w:rPr>
      </w:pPr>
    </w:p>
    <w:p>
      <w:pPr>
        <w:ind w:left="5960"/>
        <w:spacing w:after="0"/>
        <w:tabs>
          <w:tab w:leader="none" w:pos="6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Executive Officer</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each of Paul Wogan and Achilleas Tasioulas his true and lawful attorney-in-fact and agent, with full powers of substitution and re-substitution, for him or her and in his or her name, place and stead, in any and all capacities, to sign any or all amendments (including post-effective amendments) and exhibits to this Registration Statement on Form F-3, and to any registration statement filed under Rule 462(b) under the Securities Act of 1933, as amended, and to file the same, with all exhibits thereto, and other documents in connection therewith, with the SEC, granting unto said attorney-in-fact and agent full power and authority to do and perform each and every act and thing requisite and necessary to be done, as fully for all intents and purposes as he or she might or could do in person, hereby ratifying and confirming all that said attorney-in-fact and agent, or his substitute or substitutes, may lawfully do or cause to be done by virtue hereof.</w:t>
      </w:r>
    </w:p>
    <w:p>
      <w:pPr>
        <w:spacing w:after="0" w:line="172"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indicated on the 9th day of October, 2020.</w:t>
      </w:r>
    </w:p>
    <w:p>
      <w:pPr>
        <w:spacing w:after="0" w:line="181" w:lineRule="exact"/>
        <w:rPr>
          <w:sz w:val="20"/>
          <w:szCs w:val="20"/>
          <w:color w:val="auto"/>
        </w:rPr>
      </w:pPr>
    </w:p>
    <w:p>
      <w:pPr>
        <w:ind w:left="3000"/>
        <w:spacing w:after="0"/>
        <w:tabs>
          <w:tab w:leader="none" w:pos="7800" w:val="left"/>
        </w:tabs>
        <w:rPr>
          <w:sz w:val="20"/>
          <w:szCs w:val="20"/>
          <w:color w:val="auto"/>
        </w:rPr>
      </w:pPr>
      <w:r>
        <w:rPr>
          <w:rFonts w:ascii="Arial" w:cs="Arial" w:eastAsia="Arial" w:hAnsi="Arial"/>
          <w:sz w:val="13"/>
          <w:szCs w:val="13"/>
          <w:b w:val="1"/>
          <w:bCs w:val="1"/>
          <w:u w:val="single" w:color="auto"/>
          <w:color w:val="auto"/>
        </w:rPr>
        <w:t>Signature</w:t>
      </w:r>
      <w:r>
        <w:rPr>
          <w:sz w:val="20"/>
          <w:szCs w:val="20"/>
          <w:color w:val="auto"/>
        </w:rPr>
        <w:tab/>
      </w:r>
      <w:r>
        <w:rPr>
          <w:rFonts w:ascii="Arial" w:cs="Arial" w:eastAsia="Arial" w:hAnsi="Arial"/>
          <w:sz w:val="13"/>
          <w:szCs w:val="13"/>
          <w:b w:val="1"/>
          <w:bCs w:val="1"/>
          <w:u w:val="single" w:color="auto"/>
          <w:color w:val="auto"/>
        </w:rPr>
        <w:t>Title</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27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 PAUL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71120</wp:posOffset>
            </wp:positionV>
            <wp:extent cx="275145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7">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172"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Name: Paul Wogan</w:t>
      </w:r>
    </w:p>
    <w:p>
      <w:pPr>
        <w:spacing w:after="0" w:line="25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/s/ ACHILLEAS TASIOULAS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85725</wp:posOffset>
            </wp:positionV>
            <wp:extent cx="275145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8">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195"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Name: Achilleas Tasioulas</w:t>
      </w:r>
    </w:p>
    <w:p>
      <w:pPr>
        <w:spacing w:after="0" w:line="28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 CURTIS V. ANASTASIO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71120</wp:posOffset>
            </wp:positionV>
            <wp:extent cx="275145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9">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172"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Name: Curtis V. Anastasio</w:t>
      </w:r>
    </w:p>
    <w:p>
      <w:pPr>
        <w:spacing w:after="0" w:line="25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/s/ ROBERT B. ALLARDICE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85725</wp:posOffset>
            </wp:positionV>
            <wp:extent cx="275145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0">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195"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Name: Robert B. Allardice III</w:t>
      </w:r>
    </w:p>
    <w:p>
      <w:pPr>
        <w:spacing w:after="0" w:line="28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 DANIEL BRADSHAW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71120</wp:posOffset>
            </wp:positionV>
            <wp:extent cx="275145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1">
                      <a:extLst>
                        <a:ext uri="{28A0092B-C50C-407E-A947-70E740481C1C}"/>
                      </a:extLst>
                    </a:blip>
                    <a:srcRect/>
                    <a:stretch>
                      <a:fillRect/>
                    </a:stretch>
                  </pic:blipFill>
                  <pic:spPr bwMode="auto">
                    <a:xfrm>
                      <a:off x="0" y="0"/>
                      <a:ext cx="2751455" cy="8890"/>
                    </a:xfrm>
                    <a:prstGeom prst="rect">
                      <a:avLst/>
                    </a:prstGeom>
                    <a:noFill/>
                  </pic:spPr>
                </pic:pic>
              </a:graphicData>
            </a:graphic>
          </wp:anchor>
        </w:drawing>
      </w:r>
    </w:p>
    <w:p>
      <w:pPr>
        <w:spacing w:after="0" w:line="172"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Name: Daniel Bradshaw</w:t>
      </w:r>
    </w:p>
    <w:p>
      <w:pPr>
        <w:spacing w:after="0" w:line="25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 JULIAN METHERELL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71120</wp:posOffset>
            </wp:positionV>
            <wp:extent cx="275145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2">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172"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Name: Julian Metherell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Chief Executive Officer and Director</w:t>
      </w:r>
    </w:p>
    <w:p>
      <w:pPr>
        <w:spacing w:after="0" w:line="15"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3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Chief Financial Officer</w:t>
      </w:r>
    </w:p>
    <w:p>
      <w:pPr>
        <w:spacing w:after="0" w:line="15"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(Principal Financial and Accounting Officer)</w:t>
      </w:r>
    </w:p>
    <w:p>
      <w:pPr>
        <w:spacing w:after="0" w:line="200" w:lineRule="exact"/>
        <w:rPr>
          <w:sz w:val="20"/>
          <w:szCs w:val="20"/>
          <w:color w:val="auto"/>
        </w:rPr>
      </w:pPr>
    </w:p>
    <w:p>
      <w:pPr>
        <w:spacing w:after="0" w:line="36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Chairman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-3488690</wp:posOffset>
            </wp:positionH>
            <wp:positionV relativeFrom="paragraph">
              <wp:posOffset>146050</wp:posOffset>
            </wp:positionV>
            <wp:extent cx="7136130"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2">
            <w:col w:w="4780" w:space="720"/>
            <w:col w:w="5740"/>
          </w:cols>
          <w:pgMar w:left="320" w:top="131" w:right="339" w:bottom="1440" w:gutter="0" w:footer="0" w:header="0"/>
          <w:type w:val="continuous"/>
        </w:sectPr>
      </w:pPr>
    </w:p>
    <w:bookmarkStart w:id="60" w:name="page61"/>
    <w:bookmarkEnd w:id="6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AUTHORIZED UNITED STATES REPRESENTATIVE</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Pursuant to the requirement of the Securities Act of 1933, the undersigned, the duly authorized representative in the United States of the aforementioned Registrant, has signed this Registration Statement on October 9, 2020.</w:t>
      </w:r>
    </w:p>
    <w:p>
      <w:pPr>
        <w:spacing w:after="0" w:line="18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PUGLISI &amp; ASSOCIATES</w:t>
      </w:r>
    </w:p>
    <w:p>
      <w:pPr>
        <w:spacing w:after="0" w:line="252" w:lineRule="exact"/>
        <w:rPr>
          <w:sz w:val="20"/>
          <w:szCs w:val="20"/>
          <w:color w:val="auto"/>
        </w:rPr>
      </w:pPr>
    </w:p>
    <w:p>
      <w:pPr>
        <w:ind w:left="5540"/>
        <w:spacing w:after="0"/>
        <w:tabs>
          <w:tab w:leader="none" w:pos="5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DONALD J. PUGLISI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71120</wp:posOffset>
            </wp:positionV>
            <wp:extent cx="265747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4">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178" w:lineRule="exact"/>
        <w:rPr>
          <w:sz w:val="20"/>
          <w:szCs w:val="20"/>
          <w:color w:val="auto"/>
        </w:rPr>
      </w:pPr>
    </w:p>
    <w:p>
      <w:pPr>
        <w:ind w:left="5960"/>
        <w:spacing w:after="0"/>
        <w:tabs>
          <w:tab w:leader="none" w:pos="6600" w:val="left"/>
        </w:tabs>
        <w:rPr>
          <w:sz w:val="20"/>
          <w:szCs w:val="20"/>
          <w:color w:val="auto"/>
        </w:rPr>
      </w:pPr>
      <w:r>
        <w:rPr>
          <w:rFonts w:ascii="Arial" w:cs="Arial" w:eastAsia="Arial" w:hAnsi="Arial"/>
          <w:sz w:val="18"/>
          <w:szCs w:val="18"/>
          <w:color w:val="auto"/>
        </w:rPr>
        <w:t>Name:</w:t>
        <w:tab/>
        <w:t>Donald J. Puglisi</w:t>
      </w:r>
    </w:p>
    <w:p>
      <w:pPr>
        <w:spacing w:after="0" w:line="15" w:lineRule="exact"/>
        <w:rPr>
          <w:sz w:val="20"/>
          <w:szCs w:val="20"/>
          <w:color w:val="auto"/>
        </w:rPr>
      </w:pPr>
    </w:p>
    <w:p>
      <w:pPr>
        <w:ind w:left="5960"/>
        <w:spacing w:after="0"/>
        <w:tabs>
          <w:tab w:leader="none" w:pos="6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Director</w:t>
      </w:r>
    </w:p>
    <w:p>
      <w:pPr>
        <w:spacing w:after="0" w:line="2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060"/>
          </w:cols>
          <w:pgMar w:left="320" w:top="131" w:right="51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INDEX TO EXHIBITS</w:t>
      </w:r>
    </w:p>
    <w:p>
      <w:pPr>
        <w:sectPr>
          <w:pgSz w:w="11900" w:h="16838" w:orient="portrait"/>
          <w:cols w:equalWidth="0" w:num="1">
            <w:col w:w="11060"/>
          </w:cols>
          <w:pgMar w:left="320" w:top="131" w:right="519" w:bottom="1440" w:gutter="0" w:footer="0" w:header="0"/>
        </w:sectPr>
      </w:pPr>
    </w:p>
    <w:p>
      <w:pPr>
        <w:spacing w:after="0" w:line="227" w:lineRule="exact"/>
        <w:rPr>
          <w:sz w:val="20"/>
          <w:szCs w:val="20"/>
          <w:color w:val="auto"/>
        </w:rPr>
      </w:pPr>
    </w:p>
    <w:p>
      <w:pPr>
        <w:ind w:left="1220"/>
        <w:spacing w:after="0"/>
        <w:rPr>
          <w:sz w:val="20"/>
          <w:szCs w:val="20"/>
          <w:color w:val="auto"/>
        </w:rPr>
      </w:pPr>
      <w:r>
        <w:rPr>
          <w:rFonts w:ascii="Arial" w:cs="Arial" w:eastAsia="Arial" w:hAnsi="Arial"/>
          <w:sz w:val="13"/>
          <w:szCs w:val="13"/>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7620</wp:posOffset>
            </wp:positionV>
            <wp:extent cx="53149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6">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4.7</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4.8</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5.1</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5.2</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23.1</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23.2</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23.3</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24.1</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25.1</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ind w:left="3640"/>
        <w:spacing w:after="0"/>
        <w:rPr>
          <w:sz w:val="20"/>
          <w:szCs w:val="20"/>
          <w:color w:val="auto"/>
        </w:rPr>
      </w:pP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7620</wp:posOffset>
            </wp:positionV>
            <wp:extent cx="506603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7">
                      <a:extLst>
                        <a:ext uri="{28A0092B-C50C-407E-A947-70E740481C1C}"/>
                      </a:extLst>
                    </a:blip>
                    <a:srcRect/>
                    <a:stretch>
                      <a:fillRect/>
                    </a:stretch>
                  </pic:blipFill>
                  <pic:spPr bwMode="auto">
                    <a:xfrm>
                      <a:off x="0" y="0"/>
                      <a:ext cx="5066030" cy="8255"/>
                    </a:xfrm>
                    <a:prstGeom prst="rect">
                      <a:avLst/>
                    </a:prstGeom>
                    <a:noFill/>
                  </pic:spPr>
                </pic:pic>
              </a:graphicData>
            </a:graphic>
          </wp:anchor>
        </w:drawing>
      </w:r>
    </w:p>
    <w:p>
      <w:pPr>
        <w:spacing w:after="0" w:line="5" w:lineRule="exact"/>
        <w:rPr>
          <w:sz w:val="20"/>
          <w:szCs w:val="20"/>
          <w:color w:val="auto"/>
        </w:rPr>
      </w:pPr>
    </w:p>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Form of Underwriting Agreement</w:t>
        </w:r>
      </w:hyperlink>
    </w:p>
    <w:p>
      <w:pPr>
        <w:spacing w:after="0" w:line="245" w:lineRule="exact"/>
        <w:rPr>
          <w:sz w:val="20"/>
          <w:szCs w:val="20"/>
          <w:color w:val="auto"/>
        </w:rPr>
      </w:pPr>
    </w:p>
    <w:p>
      <w:pPr>
        <w:spacing w:after="0"/>
        <w:rPr>
          <w:rFonts w:ascii="Arial" w:cs="Arial" w:eastAsia="Arial" w:hAnsi="Arial"/>
          <w:sz w:val="18"/>
          <w:szCs w:val="18"/>
          <w:u w:val="single" w:color="auto"/>
          <w:color w:val="0000EE"/>
        </w:rPr>
      </w:pPr>
      <w:hyperlink r:id="rId95">
        <w:r>
          <w:rPr>
            <w:rFonts w:ascii="Arial" w:cs="Arial" w:eastAsia="Arial" w:hAnsi="Arial"/>
            <w:sz w:val="18"/>
            <w:szCs w:val="18"/>
            <w:u w:val="single" w:color="auto"/>
            <w:color w:val="0000EE"/>
          </w:rPr>
          <w:t>Certificate of Limited Partnership of GasLog Partners LP</w:t>
        </w:r>
      </w:hyperlink>
      <w:r>
        <w:rPr>
          <w:rFonts w:ascii="Arial" w:cs="Arial" w:eastAsia="Arial" w:hAnsi="Arial"/>
          <w:sz w:val="29"/>
          <w:szCs w:val="29"/>
          <w:u w:val="single" w:color="auto"/>
          <w:color w:val="0000EE"/>
          <w:vertAlign w:val="superscript"/>
        </w:rPr>
        <w:t>(2)</w:t>
      </w:r>
    </w:p>
    <w:p>
      <w:pPr>
        <w:spacing w:after="0" w:line="166" w:lineRule="exact"/>
        <w:rPr>
          <w:sz w:val="20"/>
          <w:szCs w:val="20"/>
          <w:color w:val="auto"/>
        </w:rPr>
      </w:pPr>
    </w:p>
    <w:p>
      <w:pPr>
        <w:spacing w:after="0"/>
        <w:rPr>
          <w:rFonts w:ascii="Arial" w:cs="Arial" w:eastAsia="Arial" w:hAnsi="Arial"/>
          <w:sz w:val="18"/>
          <w:szCs w:val="18"/>
          <w:u w:val="single" w:color="auto"/>
          <w:color w:val="0000EE"/>
        </w:rPr>
      </w:pPr>
      <w:hyperlink r:id="rId96">
        <w:r>
          <w:rPr>
            <w:rFonts w:ascii="Arial" w:cs="Arial" w:eastAsia="Arial" w:hAnsi="Arial"/>
            <w:sz w:val="18"/>
            <w:szCs w:val="18"/>
            <w:u w:val="single" w:color="auto"/>
            <w:color w:val="0000EE"/>
          </w:rPr>
          <w:t>Seventh Amended and Restated Agreement of Limited Partnership of GasLog Partners LP</w:t>
        </w:r>
      </w:hyperlink>
      <w:r>
        <w:rPr>
          <w:rFonts w:ascii="Arial" w:cs="Arial" w:eastAsia="Arial" w:hAnsi="Arial"/>
          <w:sz w:val="29"/>
          <w:szCs w:val="29"/>
          <w:u w:val="single" w:color="auto"/>
          <w:color w:val="0000EE"/>
          <w:vertAlign w:val="superscript"/>
        </w:rPr>
        <w:t>(3)</w:t>
      </w:r>
    </w:p>
    <w:p>
      <w:pPr>
        <w:spacing w:after="0" w:line="166" w:lineRule="exact"/>
        <w:rPr>
          <w:sz w:val="20"/>
          <w:szCs w:val="20"/>
          <w:color w:val="auto"/>
        </w:rPr>
      </w:pPr>
    </w:p>
    <w:p>
      <w:pPr>
        <w:spacing w:after="0"/>
        <w:rPr>
          <w:rFonts w:ascii="Arial" w:cs="Arial" w:eastAsia="Arial" w:hAnsi="Arial"/>
          <w:sz w:val="18"/>
          <w:szCs w:val="18"/>
          <w:u w:val="single" w:color="auto"/>
          <w:color w:val="0000EE"/>
        </w:rPr>
      </w:pPr>
      <w:hyperlink r:id="rId97">
        <w:r>
          <w:rPr>
            <w:rFonts w:ascii="Arial" w:cs="Arial" w:eastAsia="Arial" w:hAnsi="Arial"/>
            <w:sz w:val="18"/>
            <w:szCs w:val="18"/>
            <w:u w:val="single" w:color="auto"/>
            <w:color w:val="0000EE"/>
          </w:rPr>
          <w:t>Certificate of Formation of GasLog Partners GP LLC</w:t>
        </w:r>
      </w:hyperlink>
      <w:r>
        <w:rPr>
          <w:rFonts w:ascii="Arial" w:cs="Arial" w:eastAsia="Arial" w:hAnsi="Arial"/>
          <w:sz w:val="29"/>
          <w:szCs w:val="29"/>
          <w:u w:val="single" w:color="auto"/>
          <w:color w:val="0000EE"/>
          <w:vertAlign w:val="superscript"/>
        </w:rPr>
        <w:t>(2)</w:t>
      </w:r>
    </w:p>
    <w:p>
      <w:pPr>
        <w:spacing w:after="0" w:line="166" w:lineRule="exact"/>
        <w:rPr>
          <w:sz w:val="20"/>
          <w:szCs w:val="20"/>
          <w:color w:val="auto"/>
        </w:rPr>
      </w:pPr>
    </w:p>
    <w:p>
      <w:pPr>
        <w:spacing w:after="0"/>
        <w:rPr>
          <w:rFonts w:ascii="Arial" w:cs="Arial" w:eastAsia="Arial" w:hAnsi="Arial"/>
          <w:sz w:val="18"/>
          <w:szCs w:val="18"/>
          <w:u w:val="single" w:color="auto"/>
          <w:color w:val="0000EE"/>
        </w:rPr>
      </w:pPr>
      <w:hyperlink r:id="rId98">
        <w:r>
          <w:rPr>
            <w:rFonts w:ascii="Arial" w:cs="Arial" w:eastAsia="Arial" w:hAnsi="Arial"/>
            <w:sz w:val="18"/>
            <w:szCs w:val="18"/>
            <w:u w:val="single" w:color="auto"/>
            <w:color w:val="0000EE"/>
          </w:rPr>
          <w:t>Limited Liability Company Agreement of GasLog Partners GP LLC</w:t>
        </w:r>
      </w:hyperlink>
      <w:r>
        <w:rPr>
          <w:rFonts w:ascii="Arial" w:cs="Arial" w:eastAsia="Arial" w:hAnsi="Arial"/>
          <w:sz w:val="29"/>
          <w:szCs w:val="29"/>
          <w:u w:val="single" w:color="auto"/>
          <w:color w:val="0000EE"/>
          <w:vertAlign w:val="superscript"/>
        </w:rPr>
        <w:t>(2)</w:t>
      </w:r>
    </w:p>
    <w:p>
      <w:pPr>
        <w:spacing w:after="0" w:line="165" w:lineRule="exact"/>
        <w:rPr>
          <w:sz w:val="20"/>
          <w:szCs w:val="20"/>
          <w:color w:val="auto"/>
        </w:rPr>
      </w:pPr>
    </w:p>
    <w:p>
      <w:pPr>
        <w:spacing w:after="0"/>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Form of Indenture</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Form of Debt Securities</w:t>
      </w:r>
      <w:r>
        <w:rPr>
          <w:rFonts w:ascii="Arial" w:cs="Arial" w:eastAsia="Arial" w:hAnsi="Arial"/>
          <w:sz w:val="29"/>
          <w:szCs w:val="29"/>
          <w:color w:val="auto"/>
          <w:vertAlign w:val="superscript"/>
        </w:rPr>
        <w:t>(1)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Form of Warrant Agreement</w:t>
      </w:r>
      <w:r>
        <w:rPr>
          <w:rFonts w:ascii="Arial" w:cs="Arial" w:eastAsia="Arial" w:hAnsi="Arial"/>
          <w:sz w:val="29"/>
          <w:szCs w:val="29"/>
          <w:color w:val="auto"/>
          <w:vertAlign w:val="superscript"/>
        </w:rPr>
        <w:t>(1)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Form of Warrant Certificate</w:t>
      </w:r>
      <w:r>
        <w:rPr>
          <w:rFonts w:ascii="Arial" w:cs="Arial" w:eastAsia="Arial" w:hAnsi="Arial"/>
          <w:sz w:val="29"/>
          <w:szCs w:val="29"/>
          <w:color w:val="auto"/>
          <w:vertAlign w:val="superscript"/>
        </w:rPr>
        <w:t>(1)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Form of Rights Agreement</w:t>
      </w:r>
      <w:r>
        <w:rPr>
          <w:rFonts w:ascii="Arial" w:cs="Arial" w:eastAsia="Arial" w:hAnsi="Arial"/>
          <w:sz w:val="29"/>
          <w:szCs w:val="29"/>
          <w:color w:val="auto"/>
          <w:vertAlign w:val="superscript"/>
        </w:rPr>
        <w:t>(1)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Form of Rights Certificate</w:t>
      </w:r>
      <w:r>
        <w:rPr>
          <w:rFonts w:ascii="Arial" w:cs="Arial" w:eastAsia="Arial" w:hAnsi="Arial"/>
          <w:sz w:val="29"/>
          <w:szCs w:val="29"/>
          <w:color w:val="auto"/>
          <w:vertAlign w:val="superscript"/>
        </w:rPr>
        <w:t>(1)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Form of Unit Agreement</w:t>
      </w:r>
      <w:r>
        <w:rPr>
          <w:rFonts w:ascii="Arial" w:cs="Arial" w:eastAsia="Arial" w:hAnsi="Arial"/>
          <w:sz w:val="29"/>
          <w:szCs w:val="29"/>
          <w:color w:val="auto"/>
          <w:vertAlign w:val="superscript"/>
        </w:rPr>
        <w:t>(1)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Form of Unit Certificate</w:t>
      </w:r>
      <w:r>
        <w:rPr>
          <w:rFonts w:ascii="Arial" w:cs="Arial" w:eastAsia="Arial" w:hAnsi="Arial"/>
          <w:sz w:val="29"/>
          <w:szCs w:val="29"/>
          <w:color w:val="auto"/>
          <w:vertAlign w:val="superscript"/>
        </w:rPr>
        <w:t>(1)</w:t>
      </w:r>
    </w:p>
    <w:p>
      <w:pPr>
        <w:spacing w:after="0" w:line="165" w:lineRule="exact"/>
        <w:rPr>
          <w:sz w:val="20"/>
          <w:szCs w:val="20"/>
          <w:color w:val="auto"/>
        </w:rPr>
      </w:pPr>
    </w:p>
    <w:p>
      <w:pPr>
        <w:ind w:right="1360"/>
        <w:spacing w:after="0" w:line="532" w:lineRule="auto"/>
        <w:rPr>
          <w:rFonts w:ascii="Arial" w:cs="Arial" w:eastAsia="Arial" w:hAnsi="Arial"/>
          <w:sz w:val="18"/>
          <w:szCs w:val="18"/>
          <w:u w:val="single" w:color="auto"/>
          <w:color w:val="0000EE"/>
        </w:rPr>
      </w:pPr>
      <w:hyperlink w:anchor="page159">
        <w:r>
          <w:rPr>
            <w:rFonts w:ascii="Arial" w:cs="Arial" w:eastAsia="Arial" w:hAnsi="Arial"/>
            <w:sz w:val="18"/>
            <w:szCs w:val="18"/>
            <w:u w:val="single" w:color="auto"/>
            <w:color w:val="0000EE"/>
          </w:rPr>
          <w:t>Opinion of Cozen O'Connor, special counsel to the Company as to the Republic of the Marshall Islands law</w:t>
        </w:r>
      </w:hyperlink>
      <w:r>
        <w:rPr>
          <w:rFonts w:ascii="Arial" w:cs="Arial" w:eastAsia="Arial" w:hAnsi="Arial"/>
          <w:sz w:val="18"/>
          <w:szCs w:val="18"/>
          <w:u w:val="single" w:color="auto"/>
          <w:color w:val="0000EE"/>
        </w:rPr>
        <w:t xml:space="preserve"> </w:t>
      </w:r>
      <w:hyperlink w:anchor="page163">
        <w:r>
          <w:rPr>
            <w:rFonts w:ascii="Arial" w:cs="Arial" w:eastAsia="Arial" w:hAnsi="Arial"/>
            <w:sz w:val="18"/>
            <w:szCs w:val="18"/>
            <w:u w:val="single" w:color="auto"/>
            <w:color w:val="0000EE"/>
          </w:rPr>
          <w:t>Opinion of Cravath, Swaine &amp; Moore LLP, United States counsel to the Company</w:t>
        </w:r>
      </w:hyperlink>
      <w:r>
        <w:rPr>
          <w:rFonts w:ascii="Arial" w:cs="Arial" w:eastAsia="Arial" w:hAnsi="Arial"/>
          <w:sz w:val="18"/>
          <w:szCs w:val="18"/>
          <w:u w:val="single" w:color="auto"/>
          <w:color w:val="0000EE"/>
        </w:rPr>
        <w:t xml:space="preserve"> </w:t>
      </w:r>
      <w:hyperlink w:anchor="page167">
        <w:r>
          <w:rPr>
            <w:rFonts w:ascii="Arial" w:cs="Arial" w:eastAsia="Arial" w:hAnsi="Arial"/>
            <w:sz w:val="18"/>
            <w:szCs w:val="18"/>
            <w:u w:val="single" w:color="auto"/>
            <w:color w:val="0000EE"/>
          </w:rPr>
          <w:t>Consent of Deloitte LLP</w:t>
        </w:r>
      </w:hyperlink>
    </w:p>
    <w:p>
      <w:pPr>
        <w:spacing w:after="0" w:line="1"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59">
        <w:r>
          <w:rPr>
            <w:rFonts w:ascii="Arial" w:cs="Arial" w:eastAsia="Arial" w:hAnsi="Arial"/>
            <w:sz w:val="18"/>
            <w:szCs w:val="18"/>
            <w:u w:val="single" w:color="auto"/>
            <w:color w:val="0000EE"/>
          </w:rPr>
          <w:t>Consent of Cozen O'Connor (included in Exhibit 5.1)</w:t>
        </w:r>
      </w:hyperlink>
    </w:p>
    <w:p>
      <w:pPr>
        <w:spacing w:after="0" w:line="252"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63">
        <w:r>
          <w:rPr>
            <w:rFonts w:ascii="Arial" w:cs="Arial" w:eastAsia="Arial" w:hAnsi="Arial"/>
            <w:sz w:val="18"/>
            <w:szCs w:val="18"/>
            <w:u w:val="single" w:color="auto"/>
            <w:color w:val="0000EE"/>
          </w:rPr>
          <w:t>Consent of Cravath, Swaine &amp; Moore LLP (included in Exhibit 5.2)</w:t>
        </w:r>
      </w:hyperlink>
    </w:p>
    <w:p>
      <w:pPr>
        <w:spacing w:after="0" w:line="252"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Power of Attorney (included on the signature page hereto)</w:t>
        </w:r>
      </w:hyperlink>
    </w:p>
    <w:p>
      <w:pPr>
        <w:spacing w:after="0" w:line="253"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color w:val="auto"/>
        </w:rPr>
        <w:t>Form T-1 Statement of Eligibility for Indenture</w:t>
      </w:r>
      <w:r>
        <w:rPr>
          <w:rFonts w:ascii="Arial" w:cs="Arial" w:eastAsia="Arial" w:hAnsi="Arial"/>
          <w:sz w:val="29"/>
          <w:szCs w:val="29"/>
          <w:color w:val="auto"/>
          <w:vertAlign w:val="superscript"/>
        </w:rPr>
        <w:t>(4)</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-641985</wp:posOffset>
            </wp:positionH>
            <wp:positionV relativeFrom="paragraph">
              <wp:posOffset>24130</wp:posOffset>
            </wp:positionV>
            <wp:extent cx="14998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8">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line="148" w:lineRule="exact"/>
        <w:rPr>
          <w:rFonts w:ascii="Arial" w:cs="Arial" w:eastAsia="Arial" w:hAnsi="Arial"/>
          <w:sz w:val="18"/>
          <w:szCs w:val="18"/>
          <w:u w:val="single" w:color="auto"/>
          <w:color w:val="0000EE"/>
        </w:rPr>
      </w:pPr>
    </w:p>
    <w:p>
      <w:pPr>
        <w:sectPr>
          <w:pgSz w:w="11900" w:h="16838" w:orient="portrait"/>
          <w:cols w:equalWidth="0" w:num="2">
            <w:col w:w="1980" w:space="160"/>
            <w:col w:w="8920"/>
          </w:cols>
          <w:pgMar w:left="320" w:top="131" w:right="519" w:bottom="1440" w:gutter="0" w:footer="0" w:header="0"/>
          <w:type w:val="continuous"/>
        </w:sectPr>
      </w:pPr>
    </w:p>
    <w:p>
      <w:pPr>
        <w:ind w:left="1680" w:hanging="549"/>
        <w:spacing w:after="0"/>
        <w:tabs>
          <w:tab w:leader="none" w:pos="1680" w:val="left"/>
        </w:tabs>
        <w:numPr>
          <w:ilvl w:val="0"/>
          <w:numId w:val="53"/>
        </w:numPr>
        <w:rPr>
          <w:rFonts w:ascii="Arial" w:cs="Arial" w:eastAsia="Arial" w:hAnsi="Arial"/>
          <w:sz w:val="29"/>
          <w:szCs w:val="29"/>
          <w:color w:val="auto"/>
          <w:vertAlign w:val="superscript"/>
        </w:rPr>
      </w:pPr>
      <w:r>
        <w:rPr>
          <w:rFonts w:ascii="Arial" w:cs="Arial" w:eastAsia="Arial" w:hAnsi="Arial"/>
          <w:sz w:val="18"/>
          <w:szCs w:val="18"/>
          <w:color w:val="auto"/>
        </w:rPr>
        <w:t>To be filed as an exhibit to a report on Form 6-K and incorporated herein by reference.</w:t>
      </w:r>
    </w:p>
    <w:p>
      <w:pPr>
        <w:spacing w:after="0" w:line="223" w:lineRule="exact"/>
        <w:rPr>
          <w:rFonts w:ascii="Arial" w:cs="Arial" w:eastAsia="Arial" w:hAnsi="Arial"/>
          <w:sz w:val="29"/>
          <w:szCs w:val="29"/>
          <w:color w:val="auto"/>
          <w:vertAlign w:val="superscript"/>
        </w:rPr>
      </w:pPr>
    </w:p>
    <w:p>
      <w:pPr>
        <w:ind w:left="1680" w:hanging="549"/>
        <w:spacing w:after="0" w:line="203" w:lineRule="auto"/>
        <w:tabs>
          <w:tab w:leader="none" w:pos="1680" w:val="left"/>
        </w:tabs>
        <w:numPr>
          <w:ilvl w:val="0"/>
          <w:numId w:val="53"/>
        </w:numPr>
        <w:rPr>
          <w:rFonts w:ascii="Arial" w:cs="Arial" w:eastAsia="Arial" w:hAnsi="Arial"/>
          <w:sz w:val="28"/>
          <w:szCs w:val="28"/>
          <w:color w:val="auto"/>
          <w:vertAlign w:val="superscript"/>
        </w:rPr>
      </w:pPr>
      <w:r>
        <w:rPr>
          <w:rFonts w:ascii="Arial" w:cs="Arial" w:eastAsia="Arial" w:hAnsi="Arial"/>
          <w:sz w:val="17"/>
          <w:szCs w:val="17"/>
          <w:color w:val="auto"/>
        </w:rPr>
        <w:t>Previously filed as an exhibit to GasLog Partners LP's Registration Statement on Form F-1 (File No. 333-195109), filed with the SEC on April 7, 2014, or an amendment thereto, and hereby incorporated by reference to such Registration Statement.</w:t>
      </w:r>
    </w:p>
    <w:p>
      <w:pPr>
        <w:spacing w:after="0" w:line="210" w:lineRule="exact"/>
        <w:rPr>
          <w:rFonts w:ascii="Arial" w:cs="Arial" w:eastAsia="Arial" w:hAnsi="Arial"/>
          <w:sz w:val="28"/>
          <w:szCs w:val="28"/>
          <w:color w:val="auto"/>
          <w:vertAlign w:val="superscript"/>
        </w:rPr>
      </w:pPr>
    </w:p>
    <w:p>
      <w:pPr>
        <w:ind w:left="1680" w:right="740" w:hanging="549"/>
        <w:spacing w:after="0" w:line="194" w:lineRule="auto"/>
        <w:tabs>
          <w:tab w:leader="none" w:pos="1680" w:val="left"/>
        </w:tabs>
        <w:numPr>
          <w:ilvl w:val="0"/>
          <w:numId w:val="53"/>
        </w:numPr>
        <w:rPr>
          <w:rFonts w:ascii="Arial" w:cs="Arial" w:eastAsia="Arial" w:hAnsi="Arial"/>
          <w:sz w:val="29"/>
          <w:szCs w:val="29"/>
          <w:color w:val="auto"/>
          <w:vertAlign w:val="superscript"/>
        </w:rPr>
      </w:pPr>
      <w:r>
        <w:rPr>
          <w:rFonts w:ascii="Arial" w:cs="Arial" w:eastAsia="Arial" w:hAnsi="Arial"/>
          <w:sz w:val="18"/>
          <w:szCs w:val="18"/>
          <w:color w:val="auto"/>
        </w:rPr>
        <w:t>Previously filed as Exhibit 3.2 to GasLog Partners LP's Report on Form 6-K, filed with the SEC on August 5, 2020, hereby incorporated by reference to such Report.</w:t>
      </w:r>
    </w:p>
    <w:p>
      <w:pPr>
        <w:spacing w:after="0" w:line="100" w:lineRule="exact"/>
        <w:rPr>
          <w:rFonts w:ascii="Arial" w:cs="Arial" w:eastAsia="Arial" w:hAnsi="Arial"/>
          <w:sz w:val="29"/>
          <w:szCs w:val="29"/>
          <w:color w:val="auto"/>
          <w:vertAlign w:val="superscript"/>
        </w:rPr>
      </w:pPr>
    </w:p>
    <w:p>
      <w:pPr>
        <w:ind w:left="1680" w:hanging="549"/>
        <w:spacing w:after="0"/>
        <w:tabs>
          <w:tab w:leader="none" w:pos="1680" w:val="left"/>
        </w:tabs>
        <w:numPr>
          <w:ilvl w:val="0"/>
          <w:numId w:val="53"/>
        </w:numPr>
        <w:rPr>
          <w:rFonts w:ascii="Arial" w:cs="Arial" w:eastAsia="Arial" w:hAnsi="Arial"/>
          <w:sz w:val="29"/>
          <w:szCs w:val="29"/>
          <w:color w:val="auto"/>
          <w:vertAlign w:val="superscript"/>
        </w:rPr>
      </w:pPr>
      <w:r>
        <w:rPr>
          <w:rFonts w:ascii="Arial" w:cs="Arial" w:eastAsia="Arial" w:hAnsi="Arial"/>
          <w:sz w:val="18"/>
          <w:szCs w:val="18"/>
          <w:color w:val="auto"/>
        </w:rPr>
        <w:t>To be filed in accordance with Section 305(b)(2) of the Trust Indenture Act of 1939, as amended.</w:t>
      </w:r>
    </w:p>
    <w:p>
      <w:pPr>
        <w:spacing w:after="0" w:line="210" w:lineRule="exact"/>
        <w:rPr>
          <w:rFonts w:ascii="Arial" w:cs="Arial" w:eastAsia="Arial" w:hAnsi="Arial"/>
          <w:sz w:val="18"/>
          <w:szCs w:val="18"/>
          <w:u w:val="single" w:color="auto"/>
          <w:color w:val="0000EE"/>
        </w:rPr>
      </w:pPr>
    </w:p>
    <w:p>
      <w:pPr>
        <w:jc w:val="center"/>
        <w:ind w:right="-199"/>
        <w:spacing w:after="0"/>
        <w:rPr>
          <w:sz w:val="20"/>
          <w:szCs w:val="20"/>
          <w:color w:val="auto"/>
        </w:rPr>
      </w:pPr>
      <w:r>
        <w:rPr>
          <w:rFonts w:ascii="Arial" w:cs="Arial" w:eastAsia="Arial" w:hAnsi="Arial"/>
          <w:sz w:val="18"/>
          <w:szCs w:val="18"/>
          <w:color w:val="auto"/>
        </w:rPr>
        <w:t>II-8</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060"/>
          </w:cols>
          <w:pgMar w:left="320" w:top="131" w:right="519" w:bottom="1440" w:gutter="0" w:footer="0" w:header="0"/>
          <w:type w:val="continuous"/>
        </w:sectPr>
      </w:pPr>
    </w:p>
    <w:bookmarkStart w:id="62" w:name="page63"/>
    <w:bookmarkEnd w:id="6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Partners LP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Units Representing Limited Partner Interests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8.625% Series A Cumulative Redeemable Perpetual Fixed to Floating Rate Preference Units Representing Limited Partner Interests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8.200% Series B Cumulative Redeemable Perpetual Fixed to Floating Rate Preference Units Representing Limited Partner Interests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8.500% Series C Cumulative Redeemable Perpetual Fixed to Floating Rate Preference Units Representing Limited Partner Interests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Classes of Units Representing Limited Partner Interests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Combination Units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Underwriting Agreement</w:t>
      </w: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8"/>
          <w:szCs w:val="18"/>
          <w:color w:val="auto"/>
        </w:rPr>
        <w:t>[ ], 202[ ]</w:t>
      </w:r>
    </w:p>
    <w:p>
      <w:pPr>
        <w:spacing w:after="0" w:line="225" w:lineRule="exact"/>
        <w:rPr>
          <w:sz w:val="20"/>
          <w:szCs w:val="20"/>
          <w:color w:val="auto"/>
        </w:rPr>
      </w:pPr>
    </w:p>
    <w:p>
      <w:pPr>
        <w:ind w:left="160" w:hanging="152"/>
        <w:spacing w:after="0"/>
        <w:tabs>
          <w:tab w:leader="none" w:pos="1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named in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GasLog Partners LP, a limited partnership organized under the laws of the Republic of The Marshall Islands (the “</w:t>
      </w:r>
      <w:r>
        <w:rPr>
          <w:rFonts w:ascii="Arial" w:cs="Arial" w:eastAsia="Arial" w:hAnsi="Arial"/>
          <w:sz w:val="16"/>
          <w:szCs w:val="16"/>
          <w:u w:val="single" w:color="auto"/>
          <w:color w:val="auto"/>
        </w:rPr>
        <w:t>Partnership</w:t>
      </w:r>
      <w:r>
        <w:rPr>
          <w:rFonts w:ascii="Arial" w:cs="Arial" w:eastAsia="Arial" w:hAnsi="Arial"/>
          <w:sz w:val="16"/>
          <w:szCs w:val="16"/>
          <w:color w:val="auto"/>
        </w:rPr>
        <w:t>”), has filed a registration statement with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under which the Partnership may from time to time, issue and sell up to an aggregate of $[•] of the Partnership’s common units representing limited partner interests in the Partnership (the “</w:t>
      </w:r>
      <w:r>
        <w:rPr>
          <w:rFonts w:ascii="Arial" w:cs="Arial" w:eastAsia="Arial" w:hAnsi="Arial"/>
          <w:sz w:val="16"/>
          <w:szCs w:val="16"/>
          <w:u w:val="single" w:color="auto"/>
          <w:color w:val="auto"/>
        </w:rPr>
        <w:t>Common Units</w:t>
      </w:r>
      <w:r>
        <w:rPr>
          <w:rFonts w:ascii="Arial" w:cs="Arial" w:eastAsia="Arial" w:hAnsi="Arial"/>
          <w:sz w:val="16"/>
          <w:szCs w:val="16"/>
          <w:color w:val="auto"/>
        </w:rPr>
        <w:t>”), 8.625% Series A Cumulative Redeemable Perpetual Fixed to Floating Rate Preference Units representing limited partner interests (the “</w:t>
      </w:r>
      <w:r>
        <w:rPr>
          <w:rFonts w:ascii="Arial" w:cs="Arial" w:eastAsia="Arial" w:hAnsi="Arial"/>
          <w:sz w:val="16"/>
          <w:szCs w:val="16"/>
          <w:u w:val="single" w:color="auto"/>
          <w:color w:val="auto"/>
        </w:rPr>
        <w:t>Series A Preference Units</w:t>
      </w:r>
      <w:r>
        <w:rPr>
          <w:rFonts w:ascii="Arial" w:cs="Arial" w:eastAsia="Arial" w:hAnsi="Arial"/>
          <w:sz w:val="16"/>
          <w:szCs w:val="16"/>
          <w:color w:val="auto"/>
        </w:rPr>
        <w:t>”), 8.200% Series B Cumulative Redeemable Perpetual Fixed to Floating Rate Preference Units representing limited partner interests (the “</w:t>
      </w:r>
      <w:r>
        <w:rPr>
          <w:rFonts w:ascii="Arial" w:cs="Arial" w:eastAsia="Arial" w:hAnsi="Arial"/>
          <w:sz w:val="16"/>
          <w:szCs w:val="16"/>
          <w:u w:val="single" w:color="auto"/>
          <w:color w:val="auto"/>
        </w:rPr>
        <w:t>Series B Preference</w:t>
      </w:r>
      <w:r>
        <w:rPr>
          <w:rFonts w:ascii="Arial" w:cs="Arial" w:eastAsia="Arial" w:hAnsi="Arial"/>
          <w:sz w:val="16"/>
          <w:szCs w:val="16"/>
          <w:color w:val="auto"/>
        </w:rPr>
        <w:t xml:space="preserve"> </w:t>
      </w:r>
      <w:r>
        <w:rPr>
          <w:rFonts w:ascii="Arial" w:cs="Arial" w:eastAsia="Arial" w:hAnsi="Arial"/>
          <w:sz w:val="16"/>
          <w:szCs w:val="16"/>
          <w:u w:val="single" w:color="auto"/>
          <w:color w:val="auto"/>
        </w:rPr>
        <w:t>Units</w:t>
      </w:r>
      <w:r>
        <w:rPr>
          <w:rFonts w:ascii="Arial" w:cs="Arial" w:eastAsia="Arial" w:hAnsi="Arial"/>
          <w:sz w:val="16"/>
          <w:szCs w:val="16"/>
          <w:color w:val="auto"/>
        </w:rPr>
        <w:t>”), 8.500% Series C Cumulative Redeemable Perpetual Fixed to Floating Rate Preference Units representing limited partner interests (the “</w:t>
      </w:r>
      <w:r>
        <w:rPr>
          <w:rFonts w:ascii="Arial" w:cs="Arial" w:eastAsia="Arial" w:hAnsi="Arial"/>
          <w:sz w:val="16"/>
          <w:szCs w:val="16"/>
          <w:u w:val="single" w:color="auto"/>
          <w:color w:val="auto"/>
        </w:rPr>
        <w:t>Series C</w:t>
      </w:r>
      <w:r>
        <w:rPr>
          <w:rFonts w:ascii="Arial" w:cs="Arial" w:eastAsia="Arial" w:hAnsi="Arial"/>
          <w:sz w:val="16"/>
          <w:szCs w:val="16"/>
          <w:color w:val="auto"/>
        </w:rPr>
        <w:t xml:space="preserve"> </w:t>
      </w:r>
      <w:r>
        <w:rPr>
          <w:rFonts w:ascii="Arial" w:cs="Arial" w:eastAsia="Arial" w:hAnsi="Arial"/>
          <w:sz w:val="16"/>
          <w:szCs w:val="16"/>
          <w:u w:val="single" w:color="auto"/>
          <w:color w:val="auto"/>
        </w:rPr>
        <w:t>Preference Units</w:t>
      </w:r>
      <w:r>
        <w:rPr>
          <w:rFonts w:ascii="Arial" w:cs="Arial" w:eastAsia="Arial" w:hAnsi="Arial"/>
          <w:sz w:val="16"/>
          <w:szCs w:val="16"/>
          <w:color w:val="auto"/>
        </w:rPr>
        <w:t>” and, together with the Series A Preference Units and Series B Preference Units, the “</w:t>
      </w:r>
      <w:r>
        <w:rPr>
          <w:rFonts w:ascii="Arial" w:cs="Arial" w:eastAsia="Arial" w:hAnsi="Arial"/>
          <w:sz w:val="16"/>
          <w:szCs w:val="16"/>
          <w:u w:val="single" w:color="auto"/>
          <w:color w:val="auto"/>
        </w:rPr>
        <w:t>Preference Units</w:t>
      </w:r>
      <w:r>
        <w:rPr>
          <w:rFonts w:ascii="Arial" w:cs="Arial" w:eastAsia="Arial" w:hAnsi="Arial"/>
          <w:sz w:val="16"/>
          <w:szCs w:val="16"/>
          <w:color w:val="auto"/>
        </w:rPr>
        <w:t>”), other classes of units representing limited partner interests in the Partnership (the “</w:t>
      </w:r>
      <w:r>
        <w:rPr>
          <w:rFonts w:ascii="Arial" w:cs="Arial" w:eastAsia="Arial" w:hAnsi="Arial"/>
          <w:sz w:val="16"/>
          <w:szCs w:val="16"/>
          <w:u w:val="single" w:color="auto"/>
          <w:color w:val="auto"/>
        </w:rPr>
        <w:t>Other Units</w:t>
      </w:r>
      <w:r>
        <w:rPr>
          <w:rFonts w:ascii="Arial" w:cs="Arial" w:eastAsia="Arial" w:hAnsi="Arial"/>
          <w:sz w:val="16"/>
          <w:szCs w:val="16"/>
          <w:color w:val="auto"/>
        </w:rPr>
        <w:t>”), debt securities of the Partnership (the “</w:t>
      </w:r>
      <w:r>
        <w:rPr>
          <w:rFonts w:ascii="Arial" w:cs="Arial" w:eastAsia="Arial" w:hAnsi="Arial"/>
          <w:sz w:val="16"/>
          <w:szCs w:val="16"/>
          <w:u w:val="single" w:color="auto"/>
          <w:color w:val="auto"/>
        </w:rPr>
        <w:t>Debt Securities</w:t>
      </w:r>
      <w:r>
        <w:rPr>
          <w:rFonts w:ascii="Arial" w:cs="Arial" w:eastAsia="Arial" w:hAnsi="Arial"/>
          <w:sz w:val="16"/>
          <w:szCs w:val="16"/>
          <w:color w:val="auto"/>
        </w:rPr>
        <w:t>”), warrants to purchase Common Units, Other Units or other rights (“</w:t>
      </w:r>
      <w:r>
        <w:rPr>
          <w:rFonts w:ascii="Arial" w:cs="Arial" w:eastAsia="Arial" w:hAnsi="Arial"/>
          <w:sz w:val="16"/>
          <w:szCs w:val="16"/>
          <w:u w:val="single" w:color="auto"/>
          <w:color w:val="auto"/>
        </w:rPr>
        <w:t>Warrants</w:t>
      </w:r>
      <w:r>
        <w:rPr>
          <w:rFonts w:ascii="Arial" w:cs="Arial" w:eastAsia="Arial" w:hAnsi="Arial"/>
          <w:sz w:val="16"/>
          <w:szCs w:val="16"/>
          <w:color w:val="auto"/>
        </w:rPr>
        <w:t>”), rights to purchase Common Units and Other Units (the “</w:t>
      </w:r>
      <w:r>
        <w:rPr>
          <w:rFonts w:ascii="Arial" w:cs="Arial" w:eastAsia="Arial" w:hAnsi="Arial"/>
          <w:sz w:val="16"/>
          <w:szCs w:val="16"/>
          <w:u w:val="single" w:color="auto"/>
          <w:color w:val="auto"/>
        </w:rPr>
        <w:t>Rights</w:t>
      </w:r>
      <w:r>
        <w:rPr>
          <w:rFonts w:ascii="Arial" w:cs="Arial" w:eastAsia="Arial" w:hAnsi="Arial"/>
          <w:sz w:val="16"/>
          <w:szCs w:val="16"/>
          <w:color w:val="auto"/>
        </w:rPr>
        <w:t>”), and any combination of Common Units, Preference Units, Other Units, Debt Securities, Warrants and Rights (the “</w:t>
      </w:r>
      <w:r>
        <w:rPr>
          <w:rFonts w:ascii="Arial" w:cs="Arial" w:eastAsia="Arial" w:hAnsi="Arial"/>
          <w:sz w:val="16"/>
          <w:szCs w:val="16"/>
          <w:u w:val="single" w:color="auto"/>
          <w:color w:val="auto"/>
        </w:rPr>
        <w:t>Combination Units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1532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4" w:name="page65"/>
    <w:bookmarkEnd w:id="64"/>
    <w:p>
      <w:pPr>
        <w:ind w:right="220" w:firstLine="648"/>
        <w:spacing w:after="0" w:line="259" w:lineRule="auto"/>
        <w:rPr>
          <w:sz w:val="20"/>
          <w:szCs w:val="20"/>
          <w:color w:val="auto"/>
        </w:rPr>
      </w:pPr>
      <w:r>
        <w:rPr>
          <w:rFonts w:ascii="Arial" w:cs="Arial" w:eastAsia="Arial" w:hAnsi="Arial"/>
          <w:sz w:val="18"/>
          <w:szCs w:val="18"/>
          <w:color w:val="auto"/>
        </w:rPr>
        <w:t>The Partnership proposes, subject to the terms and conditions stated herein, to issue and sell [</w:t>
      </w:r>
      <w:r>
        <w:rPr>
          <w:rFonts w:ascii="Arial" w:cs="Arial" w:eastAsia="Arial" w:hAnsi="Arial"/>
          <w:sz w:val="18"/>
          <w:szCs w:val="18"/>
          <w:i w:val="1"/>
          <w:iCs w:val="1"/>
          <w:color w:val="auto"/>
        </w:rPr>
        <w:t>identify the offered securities</w:t>
      </w:r>
      <w:r>
        <w:rPr>
          <w:rFonts w:ascii="Arial" w:cs="Arial" w:eastAsia="Arial" w:hAnsi="Arial"/>
          <w:sz w:val="18"/>
          <w:szCs w:val="18"/>
          <w:color w:val="auto"/>
        </w:rPr>
        <w:t>] (the “</w:t>
      </w:r>
      <w:r>
        <w:rPr>
          <w:rFonts w:ascii="Arial" w:cs="Arial" w:eastAsia="Arial" w:hAnsi="Arial"/>
          <w:sz w:val="18"/>
          <w:szCs w:val="18"/>
          <w:u w:val="single" w:color="auto"/>
          <w:color w:val="auto"/>
        </w:rPr>
        <w:t>Offered</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Securities</w:t>
      </w:r>
      <w:r>
        <w:rPr>
          <w:rFonts w:ascii="Arial" w:cs="Arial" w:eastAsia="Arial" w:hAnsi="Arial"/>
          <w:sz w:val="18"/>
          <w:szCs w:val="18"/>
          <w:color w:val="auto"/>
        </w:rPr>
        <w:t>”) to the underwriters named in Schedule I hereto (the “</w:t>
      </w:r>
      <w:r>
        <w:rPr>
          <w:rFonts w:ascii="Arial" w:cs="Arial" w:eastAsia="Arial" w:hAnsi="Arial"/>
          <w:sz w:val="18"/>
          <w:szCs w:val="18"/>
          <w:u w:val="single" w:color="auto"/>
          <w:color w:val="auto"/>
        </w:rPr>
        <w:t>Underwriters</w:t>
      </w:r>
      <w:r>
        <w:rPr>
          <w:rFonts w:ascii="Arial" w:cs="Arial" w:eastAsia="Arial" w:hAnsi="Arial"/>
          <w:sz w:val="18"/>
          <w:szCs w:val="18"/>
          <w:color w:val="auto"/>
        </w:rPr>
        <w:t>”) for whom you are acting as representatives (the “</w:t>
      </w:r>
      <w:r>
        <w:rPr>
          <w:rFonts w:ascii="Arial" w:cs="Arial" w:eastAsia="Arial" w:hAnsi="Arial"/>
          <w:sz w:val="18"/>
          <w:szCs w:val="18"/>
          <w:u w:val="single" w:color="auto"/>
          <w:color w:val="auto"/>
        </w:rPr>
        <w:t>Representatives</w:t>
      </w:r>
      <w:r>
        <w:rPr>
          <w:rFonts w:ascii="Arial" w:cs="Arial" w:eastAsia="Arial" w:hAnsi="Arial"/>
          <w:sz w:val="18"/>
          <w:szCs w:val="18"/>
          <w:color w:val="auto"/>
        </w:rPr>
        <w:t>”). At the election of the Underwriters, the Underwriters may purchase up to an additional [•] of [</w:t>
      </w:r>
      <w:r>
        <w:rPr>
          <w:rFonts w:ascii="Arial" w:cs="Arial" w:eastAsia="Arial" w:hAnsi="Arial"/>
          <w:sz w:val="18"/>
          <w:szCs w:val="18"/>
          <w:i w:val="1"/>
          <w:iCs w:val="1"/>
          <w:color w:val="auto"/>
        </w:rPr>
        <w:t>identify Offered Securities</w:t>
      </w:r>
      <w:r>
        <w:rPr>
          <w:rFonts w:ascii="Arial" w:cs="Arial" w:eastAsia="Arial" w:hAnsi="Arial"/>
          <w:sz w:val="18"/>
          <w:szCs w:val="18"/>
          <w:color w:val="auto"/>
        </w:rPr>
        <w:t>] in the Partnership (the “</w:t>
      </w:r>
      <w:r>
        <w:rPr>
          <w:rFonts w:ascii="Arial" w:cs="Arial" w:eastAsia="Arial" w:hAnsi="Arial"/>
          <w:sz w:val="18"/>
          <w:szCs w:val="18"/>
          <w:u w:val="single" w:color="auto"/>
          <w:color w:val="auto"/>
        </w:rPr>
        <w:t>Option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Securities</w:t>
      </w:r>
      <w:r>
        <w:rPr>
          <w:rFonts w:ascii="Arial" w:cs="Arial" w:eastAsia="Arial" w:hAnsi="Arial"/>
          <w:sz w:val="18"/>
          <w:szCs w:val="18"/>
          <w:color w:val="auto"/>
        </w:rPr>
        <w:t>”, and together with the Offered Securities, the “</w:t>
      </w:r>
      <w:r>
        <w:rPr>
          <w:rFonts w:ascii="Arial" w:cs="Arial" w:eastAsia="Arial" w:hAnsi="Arial"/>
          <w:sz w:val="18"/>
          <w:szCs w:val="18"/>
          <w:u w:val="single" w:color="auto"/>
          <w:color w:val="auto"/>
        </w:rPr>
        <w:t>Securities</w:t>
      </w:r>
      <w:r>
        <w:rPr>
          <w:rFonts w:ascii="Arial" w:cs="Arial" w:eastAsia="Arial" w:hAnsi="Arial"/>
          <w:sz w:val="18"/>
          <w:szCs w:val="18"/>
          <w:color w:val="auto"/>
        </w:rPr>
        <w:t>”).</w:t>
      </w:r>
    </w:p>
    <w:p>
      <w:pPr>
        <w:spacing w:after="0" w:line="18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GasLog Partners GP LLC, a limited liability company organized under the laws of the Republic of The Marshall Islands (the “</w:t>
      </w:r>
      <w:r>
        <w:rPr>
          <w:rFonts w:ascii="Arial" w:cs="Arial" w:eastAsia="Arial" w:hAnsi="Arial"/>
          <w:sz w:val="18"/>
          <w:szCs w:val="18"/>
          <w:u w:val="single" w:color="auto"/>
          <w:color w:val="auto"/>
        </w:rPr>
        <w:t>General Partner</w:t>
      </w:r>
      <w:r>
        <w:rPr>
          <w:rFonts w:ascii="Arial" w:cs="Arial" w:eastAsia="Arial" w:hAnsi="Arial"/>
          <w:sz w:val="18"/>
          <w:szCs w:val="18"/>
          <w:color w:val="auto"/>
        </w:rPr>
        <w:t>”), serves as the sole general partner of the Partnership. GasLog Partners Holdings LLC, a limited liability company organized under the laws of the Republic of The Marshall Islands (the “</w:t>
      </w:r>
      <w:r>
        <w:rPr>
          <w:rFonts w:ascii="Arial" w:cs="Arial" w:eastAsia="Arial" w:hAnsi="Arial"/>
          <w:sz w:val="18"/>
          <w:szCs w:val="18"/>
          <w:u w:val="single" w:color="auto"/>
          <w:color w:val="auto"/>
        </w:rPr>
        <w:t>Operating Company</w:t>
      </w:r>
      <w:r>
        <w:rPr>
          <w:rFonts w:ascii="Arial" w:cs="Arial" w:eastAsia="Arial" w:hAnsi="Arial"/>
          <w:sz w:val="18"/>
          <w:szCs w:val="18"/>
          <w:color w:val="auto"/>
        </w:rPr>
        <w:t>”), is a wholly owned direct subsidiary of the Partnership. The entities set forth under the caption “Owning Entity” on Schedule IV(a) are direct subsidiaries of the Operating Company and are referred to herein collectively as the “Operating Subsidiaries”.</w:t>
      </w:r>
    </w:p>
    <w:p>
      <w:pPr>
        <w:spacing w:after="0" w:line="18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General Partner, the Partnership and the Operating Company are hereinafter referred to collectively as the “Partnership Parties” and, together with the Operating Subsidiaries, the “Partnership Entities”. GasLog Ltd. is hereinafter referred to as “GasLog”. The term “Contracted Vessels” hereinafter refers to all of the vessels named in Schedule IV(b) hereto. The agreements listed in Schedule VIII hereto are collectively referred to as the “Operative Agreements”.</w:t>
      </w:r>
    </w:p>
    <w:p>
      <w:pPr>
        <w:spacing w:after="0" w:line="18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This is to confirm the agreement between the Partnership Parties and each of the Underwriters concerning the purchase of the Securities from the Partnership by the Underwriters.</w:t>
      </w:r>
    </w:p>
    <w:p>
      <w:pPr>
        <w:spacing w:after="0" w:line="170" w:lineRule="exact"/>
        <w:rPr>
          <w:sz w:val="20"/>
          <w:szCs w:val="20"/>
          <w:color w:val="auto"/>
        </w:rPr>
      </w:pPr>
    </w:p>
    <w:p>
      <w:pPr>
        <w:ind w:left="1300" w:hanging="644"/>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Partnership Parties represent and warrant to, and agree with, each of the Underwriters that:</w:t>
      </w:r>
    </w:p>
    <w:p>
      <w:pPr>
        <w:spacing w:after="0" w:line="225" w:lineRule="exact"/>
        <w:rPr>
          <w:sz w:val="20"/>
          <w:szCs w:val="20"/>
          <w:color w:val="auto"/>
        </w:rPr>
      </w:pPr>
    </w:p>
    <w:p>
      <w:pPr>
        <w:ind w:firstLine="656"/>
        <w:spacing w:after="0" w:line="268" w:lineRule="auto"/>
        <w:tabs>
          <w:tab w:leader="none" w:pos="1293" w:val="left"/>
        </w:tabs>
        <w:numPr>
          <w:ilvl w:val="0"/>
          <w:numId w:val="56"/>
        </w:numPr>
        <w:rPr>
          <w:rFonts w:ascii="Arial" w:cs="Arial" w:eastAsia="Arial" w:hAnsi="Arial"/>
          <w:sz w:val="17"/>
          <w:szCs w:val="17"/>
          <w:color w:val="auto"/>
        </w:rPr>
      </w:pPr>
      <w:r>
        <w:rPr>
          <w:rFonts w:ascii="Arial" w:cs="Arial" w:eastAsia="Arial" w:hAnsi="Arial"/>
          <w:sz w:val="17"/>
          <w:szCs w:val="17"/>
          <w:color w:val="auto"/>
        </w:rPr>
        <w:t>A registration statement on Form F-3 (File No. 333-[ ]), including a prospectus (hereinafter referred to as the “</w:t>
      </w:r>
      <w:r>
        <w:rPr>
          <w:rFonts w:ascii="Arial" w:cs="Arial" w:eastAsia="Arial" w:hAnsi="Arial"/>
          <w:sz w:val="17"/>
          <w:szCs w:val="17"/>
          <w:u w:val="single" w:color="auto"/>
          <w:color w:val="auto"/>
        </w:rPr>
        <w:t>Base Prospectus</w:t>
      </w:r>
      <w:r>
        <w:rPr>
          <w:rFonts w:ascii="Arial" w:cs="Arial" w:eastAsia="Arial" w:hAnsi="Arial"/>
          <w:sz w:val="17"/>
          <w:szCs w:val="17"/>
          <w:color w:val="auto"/>
        </w:rPr>
        <w:t>”) in respect of the Securities has been filed with the Commission not earlier than three years prior to the date hereof; the Base Prospectus and any post-effective amendment thereto, each in the form heretofore delivered to the Representatives, have been declared effective by the Commission in such form. Such registration statement, as amended, entered into in connection with a specific offering of the Securities and including any documents incorporated by reference therein, including exhibits (other than any Form T-1) and financial statements and any prospectus supplement relating to the Securities that is filed with the Commission pursuant to Rule 424(b) (“</w:t>
      </w:r>
      <w:r>
        <w:rPr>
          <w:rFonts w:ascii="Arial" w:cs="Arial" w:eastAsia="Arial" w:hAnsi="Arial"/>
          <w:sz w:val="17"/>
          <w:szCs w:val="17"/>
          <w:u w:val="single" w:color="auto"/>
          <w:color w:val="auto"/>
        </w:rPr>
        <w:t>Rule 424(b)</w:t>
      </w:r>
      <w:r>
        <w:rPr>
          <w:rFonts w:ascii="Arial" w:cs="Arial" w:eastAsia="Arial" w:hAnsi="Arial"/>
          <w:sz w:val="17"/>
          <w:szCs w:val="17"/>
          <w:color w:val="auto"/>
        </w:rPr>
        <w:t>”) under the Act and deemed part of such registration statement pursuant to Rule 430B under the Act, is hereinafter referred to as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xml:space="preserve">”. The Partnership meets the requirements of the U.S. Securities Act of 1933, as amended, (the “Act”) for the use of the Form F-3. No stop order suspending the effectiveness of the Registration Statement, any part thereof or any post-effective amendment thereto, if any, has been issued and no proceeding for that purpose has been initiated or threatened by the Commission. The preliminary prospectus supplement which describes the Securities and the offering thereof and is used prior to filing the Final Prospectus (defined below), is hereinafter called a “Preliminary Prospectus”. The Preliminary Prospectus that was included in the Registration Statement immediately prior to the Applicable Time (as defined in Section 1(c) hereof), together with the information set forth on </w:t>
      </w:r>
      <w:r>
        <w:rPr>
          <w:rFonts w:ascii="Arial" w:cs="Arial" w:eastAsia="Arial" w:hAnsi="Arial"/>
          <w:sz w:val="17"/>
          <w:szCs w:val="17"/>
          <w:u w:val="single" w:color="auto"/>
          <w:color w:val="auto"/>
        </w:rPr>
        <w:t>Schedule II</w:t>
      </w:r>
      <w:r>
        <w:rPr>
          <w:rFonts w:ascii="Arial" w:cs="Arial" w:eastAsia="Arial" w:hAnsi="Arial"/>
          <w:sz w:val="17"/>
          <w:szCs w:val="17"/>
          <w:color w:val="auto"/>
        </w:rPr>
        <w:t xml:space="preserve"> hereto, is hereinafter called the “</w:t>
      </w:r>
      <w:r>
        <w:rPr>
          <w:rFonts w:ascii="Arial" w:cs="Arial" w:eastAsia="Arial" w:hAnsi="Arial"/>
          <w:sz w:val="17"/>
          <w:szCs w:val="17"/>
          <w:u w:val="single" w:color="auto"/>
          <w:color w:val="auto"/>
        </w:rPr>
        <w:t>Pricing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Prospectus</w:t>
      </w:r>
      <w:r>
        <w:rPr>
          <w:rFonts w:ascii="Arial" w:cs="Arial" w:eastAsia="Arial" w:hAnsi="Arial"/>
          <w:sz w:val="17"/>
          <w:szCs w:val="17"/>
          <w:color w:val="auto"/>
        </w:rPr>
        <w:t>”. Such final prospectus, in the form first filed pursuant to</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65" w:name="page66"/>
    <w:bookmarkEnd w:id="65"/>
    <w:p>
      <w:pPr>
        <w:ind w:right="20"/>
        <w:spacing w:after="0" w:line="288" w:lineRule="auto"/>
        <w:rPr>
          <w:sz w:val="20"/>
          <w:szCs w:val="20"/>
          <w:color w:val="auto"/>
        </w:rPr>
      </w:pPr>
      <w:r>
        <w:rPr>
          <w:rFonts w:ascii="Arial" w:cs="Arial" w:eastAsia="Arial" w:hAnsi="Arial"/>
          <w:sz w:val="16"/>
          <w:szCs w:val="16"/>
          <w:color w:val="auto"/>
        </w:rPr>
        <w:t>Rule 424(b) under the Act in accordance with Section 5(a) hereof is hereinafter called the “</w:t>
      </w:r>
      <w:r>
        <w:rPr>
          <w:rFonts w:ascii="Arial" w:cs="Arial" w:eastAsia="Arial" w:hAnsi="Arial"/>
          <w:sz w:val="16"/>
          <w:szCs w:val="16"/>
          <w:u w:val="single" w:color="auto"/>
          <w:color w:val="auto"/>
        </w:rPr>
        <w:t>Final Prospectus</w:t>
      </w:r>
      <w:r>
        <w:rPr>
          <w:rFonts w:ascii="Arial" w:cs="Arial" w:eastAsia="Arial" w:hAnsi="Arial"/>
          <w:sz w:val="16"/>
          <w:szCs w:val="16"/>
          <w:color w:val="auto"/>
        </w:rPr>
        <w:t>”. Any reference herein to the Base Prospectus, the Pricing Prospectus, any Preliminary Prospectus or the Final Prospectus shall be deemed to refer to and include the documents incorporated by reference therein pursuant to Item 6 of Form F-3 under the Act, as of the date of such prospectus; any reference to any amendment or supplement to the Base Prospectus, any Preliminary Prospectus or the Final Prospectus shall be deemed to refer to and include any post-effective amendment to the Registration Statement, any prospectus supplement relating to the Securities filed with the Commission pursuant to Rule 424(b) under the Act and any documents filed under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and incorporated therein, in each case after the date of the Base Prospectus, such Preliminary Prospectus, or the Final Prospectus, as the case may be; any reference to any amendment to the Registration Statement shall be deemed to refer to and include any annual report of the Company filed pursuant to Section 13(a) or 15(d) of the Exchange Act after the effective date of the Registration Statement that is incorporated by reference in the Registration Statement. Any “issuer free writing prospectus” as defined in Rule 433 under the Act relating to the Securities is hereinafter called an “</w:t>
      </w:r>
      <w:r>
        <w:rPr>
          <w:rFonts w:ascii="Arial" w:cs="Arial" w:eastAsia="Arial" w:hAnsi="Arial"/>
          <w:sz w:val="16"/>
          <w:szCs w:val="16"/>
          <w:u w:val="single" w:color="auto"/>
          <w:color w:val="auto"/>
        </w:rPr>
        <w:t>Issuer Free Writing Prospectus</w:t>
      </w:r>
      <w:r>
        <w:rPr>
          <w:rFonts w:ascii="Arial" w:cs="Arial" w:eastAsia="Arial" w:hAnsi="Arial"/>
          <w:sz w:val="16"/>
          <w:szCs w:val="16"/>
          <w:color w:val="auto"/>
        </w:rPr>
        <w:t>”)</w:t>
      </w:r>
      <w:r>
        <w:rPr>
          <w:rFonts w:ascii="Arial" w:cs="Arial" w:eastAsia="Arial" w:hAnsi="Arial"/>
          <w:sz w:val="16"/>
          <w:szCs w:val="16"/>
          <w:u w:val="single" w:color="auto"/>
          <w:color w:val="auto"/>
        </w:rPr>
        <w:t>;</w:t>
      </w:r>
    </w:p>
    <w:p>
      <w:pPr>
        <w:spacing w:after="0" w:line="168" w:lineRule="exact"/>
        <w:rPr>
          <w:sz w:val="20"/>
          <w:szCs w:val="20"/>
          <w:color w:val="auto"/>
        </w:rPr>
      </w:pPr>
    </w:p>
    <w:p>
      <w:pPr>
        <w:ind w:right="60" w:firstLine="656"/>
        <w:spacing w:after="0" w:line="273" w:lineRule="auto"/>
        <w:tabs>
          <w:tab w:leader="none" w:pos="1303" w:val="left"/>
        </w:tabs>
        <w:numPr>
          <w:ilvl w:val="0"/>
          <w:numId w:val="57"/>
        </w:numPr>
        <w:rPr>
          <w:rFonts w:ascii="Arial" w:cs="Arial" w:eastAsia="Arial" w:hAnsi="Arial"/>
          <w:sz w:val="17"/>
          <w:szCs w:val="17"/>
          <w:color w:val="auto"/>
        </w:rPr>
      </w:pPr>
      <w:r>
        <w:rPr>
          <w:rFonts w:ascii="Arial" w:cs="Arial" w:eastAsia="Arial" w:hAnsi="Arial"/>
          <w:sz w:val="17"/>
          <w:szCs w:val="17"/>
          <w:color w:val="auto"/>
        </w:rPr>
        <w:t xml:space="preserve">No order preventing or suspending the use of any Preliminary Prospectus or any Issuer Free Writing Prospectus has been issued by the Commission, and each Preliminary Prospectus, at the time of filing thereof, conformed in all material respects to the requirements of the Act and the rules and regulations of the Commission thereunder, and did not contain an untrue statement of a material fact or omit to state a material fact required to be stated therein or necessary to make the statements therein, in the light of the circumstances under which they were made, not misleading;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this representation and warranty shall not apply to any statements or omissions made in reliance upon and in conformity with information</w:t>
      </w:r>
      <w:r>
        <w:rPr>
          <w:rFonts w:ascii="Arial" w:cs="Arial" w:eastAsia="Arial" w:hAnsi="Arial"/>
          <w:sz w:val="17"/>
          <w:szCs w:val="17"/>
          <w:i w:val="1"/>
          <w:iCs w:val="1"/>
          <w:color w:val="auto"/>
        </w:rPr>
        <w:t xml:space="preserve"> </w:t>
      </w:r>
      <w:r>
        <w:rPr>
          <w:rFonts w:ascii="Arial" w:cs="Arial" w:eastAsia="Arial" w:hAnsi="Arial"/>
          <w:sz w:val="17"/>
          <w:szCs w:val="17"/>
          <w:color w:val="auto"/>
        </w:rPr>
        <w:t>furnished in writing to the Partnership by an Underwriter through the Representatives expressly for use therein;</w:t>
      </w:r>
    </w:p>
    <w:p>
      <w:pPr>
        <w:spacing w:after="0" w:line="177" w:lineRule="exact"/>
        <w:rPr>
          <w:rFonts w:ascii="Arial" w:cs="Arial" w:eastAsia="Arial" w:hAnsi="Arial"/>
          <w:sz w:val="17"/>
          <w:szCs w:val="17"/>
          <w:color w:val="auto"/>
        </w:rPr>
      </w:pPr>
    </w:p>
    <w:p>
      <w:pPr>
        <w:ind w:right="40" w:firstLine="656"/>
        <w:spacing w:after="0" w:line="270" w:lineRule="auto"/>
        <w:tabs>
          <w:tab w:leader="none" w:pos="1307" w:val="left"/>
        </w:tabs>
        <w:numPr>
          <w:ilvl w:val="0"/>
          <w:numId w:val="57"/>
        </w:numPr>
        <w:rPr>
          <w:rFonts w:ascii="Arial" w:cs="Arial" w:eastAsia="Arial" w:hAnsi="Arial"/>
          <w:sz w:val="17"/>
          <w:szCs w:val="17"/>
          <w:color w:val="auto"/>
        </w:rPr>
      </w:pPr>
      <w:r>
        <w:rPr>
          <w:rFonts w:ascii="Arial" w:cs="Arial" w:eastAsia="Arial" w:hAnsi="Arial"/>
          <w:sz w:val="17"/>
          <w:szCs w:val="17"/>
          <w:color w:val="auto"/>
        </w:rPr>
        <w:t>For the purposes of this Agreement, the “</w:t>
      </w:r>
      <w:r>
        <w:rPr>
          <w:rFonts w:ascii="Arial" w:cs="Arial" w:eastAsia="Arial" w:hAnsi="Arial"/>
          <w:sz w:val="17"/>
          <w:szCs w:val="17"/>
          <w:u w:val="single" w:color="auto"/>
          <w:color w:val="auto"/>
        </w:rPr>
        <w:t>Applicable Time</w:t>
      </w:r>
      <w:r>
        <w:rPr>
          <w:rFonts w:ascii="Arial" w:cs="Arial" w:eastAsia="Arial" w:hAnsi="Arial"/>
          <w:sz w:val="17"/>
          <w:szCs w:val="17"/>
          <w:color w:val="auto"/>
        </w:rPr>
        <w:t xml:space="preserve">” is [ ] [a.][p.]m. New York City time on the date of this Agreement. The Pricing Prospectus, as of the Applicable Time, did not include any untrue statement of a material fact or omit to state any material fact necessary in order to make the statements therein, in the light of the circumstances under which they were made, not misleading; and each Issuer Free Writing Prospectus listed on </w:t>
      </w:r>
      <w:r>
        <w:rPr>
          <w:rFonts w:ascii="Arial" w:cs="Arial" w:eastAsia="Arial" w:hAnsi="Arial"/>
          <w:sz w:val="17"/>
          <w:szCs w:val="17"/>
          <w:u w:val="single" w:color="auto"/>
          <w:color w:val="auto"/>
        </w:rPr>
        <w:t>Schedule III</w:t>
      </w:r>
      <w:r>
        <w:rPr>
          <w:rFonts w:ascii="Arial" w:cs="Arial" w:eastAsia="Arial" w:hAnsi="Arial"/>
          <w:sz w:val="17"/>
          <w:szCs w:val="17"/>
          <w:color w:val="auto"/>
        </w:rPr>
        <w:t xml:space="preserve"> hereto does not conflict with the information contained in the Registration Statement, the Pricing Prospectus or the Final Prospectus, and each such Issuer Free Writing Prospectus, as supplemented by and taken together with the Pricing Prospectus as of the Applicable Time and as of any Time of Delivery, did not include any untrue statement of a material fact or omit to state any material fact necessary in order to make the statements therein, in the light of the circumstances under which they were made, not misleading; </w:t>
      </w:r>
      <w:r>
        <w:rPr>
          <w:rFonts w:ascii="Arial" w:cs="Arial" w:eastAsia="Arial" w:hAnsi="Arial"/>
          <w:sz w:val="17"/>
          <w:szCs w:val="17"/>
          <w:i w:val="1"/>
          <w:iCs w:val="1"/>
          <w:color w:val="auto"/>
        </w:rPr>
        <w:t>provided, however</w:t>
      </w:r>
      <w:r>
        <w:rPr>
          <w:rFonts w:ascii="Arial" w:cs="Arial" w:eastAsia="Arial" w:hAnsi="Arial"/>
          <w:sz w:val="17"/>
          <w:szCs w:val="17"/>
          <w:color w:val="auto"/>
        </w:rPr>
        <w:t>, that this representation and warranty shall not apply to statements or omissions made in an Issuer Free Writing Prospectus in reliance upon and in conformity with information furnished in writing to the Partnership by an Underwriter through the Representatives expressly for use therein;</w:t>
      </w:r>
    </w:p>
    <w:p>
      <w:pPr>
        <w:spacing w:after="0" w:line="180" w:lineRule="exact"/>
        <w:rPr>
          <w:rFonts w:ascii="Arial" w:cs="Arial" w:eastAsia="Arial" w:hAnsi="Arial"/>
          <w:sz w:val="17"/>
          <w:szCs w:val="17"/>
          <w:color w:val="auto"/>
        </w:rPr>
      </w:pPr>
    </w:p>
    <w:p>
      <w:pPr>
        <w:ind w:firstLine="656"/>
        <w:spacing w:after="0" w:line="263" w:lineRule="auto"/>
        <w:tabs>
          <w:tab w:leader="none" w:pos="1303"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Registration Statement conforms, and the Final Prospectus and any further amendments or supplements to the Registration Statement and the Final Prospectus will conform, in all material respects, to the requirements of the Act and the rules and regulations of the Commission thereunder and do not and will not, as of the applicable effective date as to each</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6" w:name="page67"/>
    <w:bookmarkEnd w:id="66"/>
    <w:p>
      <w:pPr>
        <w:ind w:right="80"/>
        <w:spacing w:after="0" w:line="301" w:lineRule="auto"/>
        <w:rPr>
          <w:sz w:val="20"/>
          <w:szCs w:val="20"/>
          <w:color w:val="auto"/>
        </w:rPr>
      </w:pPr>
      <w:r>
        <w:rPr>
          <w:rFonts w:ascii="Arial" w:cs="Arial" w:eastAsia="Arial" w:hAnsi="Arial"/>
          <w:sz w:val="16"/>
          <w:szCs w:val="16"/>
          <w:color w:val="auto"/>
        </w:rPr>
        <w:t>part of the Registration Statement and as of the applicable filing date as to the Final Prospectus and any amendment or supplement thereto and as of any Time of Delivery, contain an untrue statement of a material fact or omit to state a material fact required to be stated therein or necessary to make the statements therein not misleading; provided, however, that this representation and warranty shall not apply to any statements or omissions made in reliance upon and in conformity with information furnished in writing to the Partnership by an Underwriter through the Representatives expressly for use therein;</w:t>
      </w:r>
    </w:p>
    <w:p>
      <w:pPr>
        <w:spacing w:after="0" w:line="157" w:lineRule="exact"/>
        <w:rPr>
          <w:sz w:val="20"/>
          <w:szCs w:val="20"/>
          <w:color w:val="auto"/>
        </w:rPr>
      </w:pPr>
    </w:p>
    <w:p>
      <w:pPr>
        <w:ind w:right="100" w:firstLine="656"/>
        <w:spacing w:after="0" w:line="257" w:lineRule="auto"/>
        <w:tabs>
          <w:tab w:leader="none" w:pos="1307" w:val="left"/>
        </w:tabs>
        <w:numPr>
          <w:ilvl w:val="0"/>
          <w:numId w:val="58"/>
        </w:numPr>
        <w:rPr>
          <w:rFonts w:ascii="Arial" w:cs="Arial" w:eastAsia="Arial" w:hAnsi="Arial"/>
          <w:sz w:val="18"/>
          <w:szCs w:val="18"/>
          <w:color w:val="auto"/>
        </w:rPr>
      </w:pPr>
      <w:r>
        <w:rPr>
          <w:rFonts w:ascii="Arial" w:cs="Arial" w:eastAsia="Arial" w:hAnsi="Arial"/>
          <w:sz w:val="18"/>
          <w:szCs w:val="18"/>
          <w:color w:val="auto"/>
        </w:rPr>
        <w:t>Each of the Partnership Parties (i) has not alone engaged in any Testing the Waters Communication and (ii) has not authorized anyone to engage in Testing the Waters Communications. None of the Partnership Parties have distributed or approved for distribution any Written Testing the Waters Communications. “</w:t>
      </w:r>
      <w:r>
        <w:rPr>
          <w:rFonts w:ascii="Arial" w:cs="Arial" w:eastAsia="Arial" w:hAnsi="Arial"/>
          <w:sz w:val="18"/>
          <w:szCs w:val="18"/>
          <w:u w:val="single" w:color="auto"/>
          <w:color w:val="auto"/>
        </w:rPr>
        <w:t>Testing the Waters Communication</w:t>
      </w:r>
      <w:r>
        <w:rPr>
          <w:rFonts w:ascii="Arial" w:cs="Arial" w:eastAsia="Arial" w:hAnsi="Arial"/>
          <w:sz w:val="18"/>
          <w:szCs w:val="18"/>
          <w:color w:val="auto"/>
        </w:rPr>
        <w:t>” shall mean any oral or written communication with potential investors undertaken in reliance on Section 5(d) of the Act. “</w:t>
      </w:r>
      <w:r>
        <w:rPr>
          <w:rFonts w:ascii="Arial" w:cs="Arial" w:eastAsia="Arial" w:hAnsi="Arial"/>
          <w:sz w:val="18"/>
          <w:szCs w:val="18"/>
          <w:u w:val="single" w:color="auto"/>
          <w:color w:val="auto"/>
        </w:rPr>
        <w:t>Written Testing the Waters Communication</w:t>
      </w:r>
      <w:r>
        <w:rPr>
          <w:rFonts w:ascii="Arial" w:cs="Arial" w:eastAsia="Arial" w:hAnsi="Arial"/>
          <w:sz w:val="18"/>
          <w:szCs w:val="18"/>
          <w:color w:val="auto"/>
        </w:rPr>
        <w:t>” means any Testing the Waters Communication that is a written communication within the meaning of rule 405 under the Act;</w:t>
      </w:r>
    </w:p>
    <w:p>
      <w:pPr>
        <w:spacing w:after="0" w:line="187" w:lineRule="exact"/>
        <w:rPr>
          <w:rFonts w:ascii="Arial" w:cs="Arial" w:eastAsia="Arial" w:hAnsi="Arial"/>
          <w:sz w:val="18"/>
          <w:szCs w:val="18"/>
          <w:color w:val="auto"/>
        </w:rPr>
      </w:pPr>
    </w:p>
    <w:p>
      <w:pPr>
        <w:ind w:firstLine="656"/>
        <w:spacing w:after="0" w:line="254" w:lineRule="auto"/>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None of the Partnership Entities has sustained, since the date of the latest audited financial statements included or incorporated by reference in the Pricing Prospectus, any material loss or interference with its business from fire, explosion, flood, piracy, terrorism or other calamity, whether or not covered by insurance, or from any labor dispute or court or governmental action, order or decree, otherwise than as set forth or contemplated in the Pricing Prospectus; and, since the respective dates as of which information is given in the Registration Statement and the Pricing Prospectus, there has not been any material adverse change, or any development that would reasonably be expected to involve a prospective material adverse change, in or affecting the general affairs, management, financial position, shareholders’ equity or results of operations of the Partnership Entities, taken as a whole (a “</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or any change in the share capital or long-term debt of the Partnership Entities, otherwise than as set forth or contemplated in the Pricing Prospectus;</w:t>
      </w:r>
    </w:p>
    <w:p>
      <w:pPr>
        <w:spacing w:after="0" w:line="191" w:lineRule="exact"/>
        <w:rPr>
          <w:rFonts w:ascii="Arial" w:cs="Arial" w:eastAsia="Arial" w:hAnsi="Arial"/>
          <w:sz w:val="18"/>
          <w:szCs w:val="18"/>
          <w:color w:val="auto"/>
        </w:rPr>
      </w:pPr>
    </w:p>
    <w:p>
      <w:pPr>
        <w:ind w:right="60" w:firstLine="656"/>
        <w:spacing w:after="0" w:line="254" w:lineRule="auto"/>
        <w:tabs>
          <w:tab w:leader="none" w:pos="1317"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None of the Partnership Entities owns an interest in any material real property. Each of them has good and marketable title to all personal property owned by them which is material to the business of the Partnership Entities, including the vessels listed on </w:t>
      </w:r>
      <w:r>
        <w:rPr>
          <w:rFonts w:ascii="Arial" w:cs="Arial" w:eastAsia="Arial" w:hAnsi="Arial"/>
          <w:sz w:val="18"/>
          <w:szCs w:val="18"/>
          <w:u w:val="single" w:color="auto"/>
          <w:color w:val="auto"/>
        </w:rPr>
        <w:t>Schedule IV(a)</w:t>
      </w:r>
      <w:r>
        <w:rPr>
          <w:rFonts w:ascii="Arial" w:cs="Arial" w:eastAsia="Arial" w:hAnsi="Arial"/>
          <w:sz w:val="18"/>
          <w:szCs w:val="18"/>
          <w:color w:val="auto"/>
        </w:rPr>
        <w:t xml:space="preserve"> hereto (collectively, the “</w:t>
      </w:r>
      <w:r>
        <w:rPr>
          <w:rFonts w:ascii="Arial" w:cs="Arial" w:eastAsia="Arial" w:hAnsi="Arial"/>
          <w:sz w:val="18"/>
          <w:szCs w:val="18"/>
          <w:u w:val="single" w:color="auto"/>
          <w:color w:val="auto"/>
        </w:rPr>
        <w:t>Vessels</w:t>
      </w:r>
      <w:r>
        <w:rPr>
          <w:rFonts w:ascii="Arial" w:cs="Arial" w:eastAsia="Arial" w:hAnsi="Arial"/>
          <w:sz w:val="18"/>
          <w:szCs w:val="18"/>
          <w:color w:val="auto"/>
        </w:rPr>
        <w:t>”), in each case free and clear of all liens, encumbrances and defects except such as are described in the Pricing Prospectus, including those arising under credit facilities, or such as do not materially affect the value of such property and do not materially interfere with the use made and proposed to be made of such property taken as a whole by the Partnership Entities; and any real property and buildings occupied by the Partnership Entities are occupied by them under valid, subsisting and enforceable contractual arrangements with such exceptions as are not material and do not interfere with the use made and proposed to be made of such property and buildings by the Partnership Entities, otherwise than as set forth or contemplated in the Pricing Prospectus;</w:t>
      </w:r>
    </w:p>
    <w:p>
      <w:pPr>
        <w:spacing w:after="0" w:line="191" w:lineRule="exact"/>
        <w:rPr>
          <w:rFonts w:ascii="Arial" w:cs="Arial" w:eastAsia="Arial" w:hAnsi="Arial"/>
          <w:sz w:val="18"/>
          <w:szCs w:val="18"/>
          <w:color w:val="auto"/>
        </w:rPr>
      </w:pPr>
    </w:p>
    <w:p>
      <w:pPr>
        <w:jc w:val="both"/>
        <w:ind w:right="340" w:firstLine="656"/>
        <w:spacing w:after="0" w:line="263" w:lineRule="auto"/>
        <w:tabs>
          <w:tab w:leader="none" w:pos="1303" w:val="left"/>
        </w:tabs>
        <w:numPr>
          <w:ilvl w:val="0"/>
          <w:numId w:val="58"/>
        </w:numPr>
        <w:rPr>
          <w:rFonts w:ascii="Arial" w:cs="Arial" w:eastAsia="Arial" w:hAnsi="Arial"/>
          <w:sz w:val="18"/>
          <w:szCs w:val="18"/>
          <w:color w:val="auto"/>
        </w:rPr>
      </w:pPr>
      <w:r>
        <w:rPr>
          <w:rFonts w:ascii="Arial" w:cs="Arial" w:eastAsia="Arial" w:hAnsi="Arial"/>
          <w:sz w:val="18"/>
          <w:szCs w:val="18"/>
          <w:color w:val="auto"/>
        </w:rPr>
        <w:t>Each of the Partnership Entities has been duly formed or incorporated and is validly existing as a limited partnership, limited liability company, corporation or other entity, as applicable, in good standing under the laws of its respective jurisdiction of formation or incorporation, with all limited partnership, limited liability company, corporate or other entity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7" w:name="page68"/>
    <w:bookmarkEnd w:id="67"/>
    <w:p>
      <w:pPr>
        <w:spacing w:after="0" w:line="289" w:lineRule="auto"/>
        <w:rPr>
          <w:sz w:val="20"/>
          <w:szCs w:val="20"/>
          <w:color w:val="auto"/>
        </w:rPr>
      </w:pPr>
      <w:r>
        <w:rPr>
          <w:rFonts w:ascii="Arial" w:cs="Arial" w:eastAsia="Arial" w:hAnsi="Arial"/>
          <w:sz w:val="16"/>
          <w:szCs w:val="16"/>
          <w:color w:val="auto"/>
        </w:rPr>
        <w:t>power and authority, as applicable, to enter into and perform its obligations under the Operative Agreements to which it is a party, to own or lease and to operate its properties currently owned or leased or to be owned or leased at the First Time of Delivery and any other Time of Delivery (as such terms are defined herein) and to conduct its business as currently conducted or as to be conducted at the First Time of Delivery and any other Time of Delivery, in each case as described in the Pricing Prospectus, except where the failure to be so qualified or in good standing and to have such power or authority would not, individually or in the aggregate, result in a Material Adverse Effect. Each of the Partnership Entities is, and at the First Time of Delivery and any other Time of Delivery will be (i) duly qualified to do business as a foreign limited partnership, limited liability company, corporation or other entity, as applicable, and (ii) is in good standing under the laws of each jurisdictions that requires, and at the First Time of Delivery and any other Time of Delivery will require, such qualification or registration except to the extent that a lack of such qualification would not, individually or in the aggregate, have a Material Adverse Effect or would subject the limited partners of the Partnership to any material liability or disability;</w:t>
      </w:r>
    </w:p>
    <w:p>
      <w:pPr>
        <w:spacing w:after="0" w:line="166" w:lineRule="exact"/>
        <w:rPr>
          <w:sz w:val="20"/>
          <w:szCs w:val="20"/>
          <w:color w:val="auto"/>
        </w:rPr>
      </w:pPr>
    </w:p>
    <w:p>
      <w:pPr>
        <w:ind w:right="440" w:firstLine="656"/>
        <w:spacing w:after="0" w:line="342" w:lineRule="auto"/>
        <w:tabs>
          <w:tab w:leader="none" w:pos="1317"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General Partner has, and at the First Time of Delivery and any other Time of Delivery thereafter will have, full limited liability company power and authority to act as the general partner of the Partnership in all material respects as described in the Pricing Prospectus;</w:t>
      </w:r>
    </w:p>
    <w:p>
      <w:pPr>
        <w:spacing w:after="0" w:line="123" w:lineRule="exact"/>
        <w:rPr>
          <w:rFonts w:ascii="Arial" w:cs="Arial" w:eastAsia="Arial" w:hAnsi="Arial"/>
          <w:sz w:val="16"/>
          <w:szCs w:val="16"/>
          <w:color w:val="auto"/>
        </w:rPr>
      </w:pPr>
    </w:p>
    <w:p>
      <w:pPr>
        <w:ind w:firstLine="656"/>
        <w:spacing w:after="0" w:line="254" w:lineRule="auto"/>
        <w:tabs>
          <w:tab w:leader="none" w:pos="1304" w:val="left"/>
        </w:tabs>
        <w:numPr>
          <w:ilvl w:val="0"/>
          <w:numId w:val="59"/>
        </w:numPr>
        <w:rPr>
          <w:rFonts w:ascii="Arial" w:cs="Arial" w:eastAsia="Arial" w:hAnsi="Arial"/>
          <w:sz w:val="18"/>
          <w:szCs w:val="18"/>
          <w:color w:val="auto"/>
        </w:rPr>
      </w:pPr>
      <w:r>
        <w:rPr>
          <w:rFonts w:ascii="Arial" w:cs="Arial" w:eastAsia="Arial" w:hAnsi="Arial"/>
          <w:sz w:val="18"/>
          <w:szCs w:val="18"/>
          <w:color w:val="auto"/>
        </w:rPr>
        <w:t>As of the date hereof, GasLog owns, and at the First Time of Delivery will own, the number of Common Units as set forth in the Pricing Prospectus (the “</w:t>
      </w:r>
      <w:r>
        <w:rPr>
          <w:rFonts w:ascii="Arial" w:cs="Arial" w:eastAsia="Arial" w:hAnsi="Arial"/>
          <w:sz w:val="18"/>
          <w:szCs w:val="18"/>
          <w:u w:val="single" w:color="auto"/>
          <w:color w:val="auto"/>
        </w:rPr>
        <w:t>Sponsor Units</w:t>
      </w:r>
      <w:r>
        <w:rPr>
          <w:rFonts w:ascii="Arial" w:cs="Arial" w:eastAsia="Arial" w:hAnsi="Arial"/>
          <w:sz w:val="18"/>
          <w:szCs w:val="18"/>
          <w:color w:val="auto"/>
        </w:rPr>
        <w:t>”). The Sponsor Units, and the limited partner interests represented thereby, have been duly authorized for issuance and sale and are validly issued in accordance with the limited partnership agreement of the Partnership (as the same may be amended and restated at or prior to the First Time of Delivery, the “</w:t>
      </w:r>
      <w:r>
        <w:rPr>
          <w:rFonts w:ascii="Arial" w:cs="Arial" w:eastAsia="Arial" w:hAnsi="Arial"/>
          <w:sz w:val="18"/>
          <w:szCs w:val="18"/>
          <w:u w:val="single" w:color="auto"/>
          <w:color w:val="auto"/>
        </w:rPr>
        <w:t>Partnership Agreement</w:t>
      </w:r>
      <w:r>
        <w:rPr>
          <w:rFonts w:ascii="Arial" w:cs="Arial" w:eastAsia="Arial" w:hAnsi="Arial"/>
          <w:sz w:val="18"/>
          <w:szCs w:val="18"/>
          <w:color w:val="auto"/>
        </w:rPr>
        <w:t>”) and are fully paid (to the extent required under the Partnership Agreement) and nonassessable (except as such nonassessability may be affected by Sections 30, 41, 51 and 60 of The Republic of The Marshall Islands Limited Partnership Act (the “</w:t>
      </w:r>
      <w:r>
        <w:rPr>
          <w:rFonts w:ascii="Arial" w:cs="Arial" w:eastAsia="Arial" w:hAnsi="Arial"/>
          <w:sz w:val="18"/>
          <w:szCs w:val="18"/>
          <w:u w:val="single" w:color="auto"/>
          <w:color w:val="auto"/>
        </w:rPr>
        <w:t>Marshall</w:t>
      </w:r>
      <w:r>
        <w:rPr>
          <w:rFonts w:ascii="Arial" w:cs="Arial" w:eastAsia="Arial" w:hAnsi="Arial"/>
          <w:sz w:val="18"/>
          <w:szCs w:val="18"/>
          <w:color w:val="auto"/>
        </w:rPr>
        <w:t xml:space="preserve"> </w:t>
      </w:r>
      <w:r>
        <w:rPr>
          <w:rFonts w:ascii="Arial" w:cs="Arial" w:eastAsia="Arial" w:hAnsi="Arial"/>
          <w:sz w:val="18"/>
          <w:szCs w:val="18"/>
          <w:u w:val="single" w:color="auto"/>
          <w:color w:val="auto"/>
        </w:rPr>
        <w:t>Islands LP Act</w:t>
      </w:r>
      <w:r>
        <w:rPr>
          <w:rFonts w:ascii="Arial" w:cs="Arial" w:eastAsia="Arial" w:hAnsi="Arial"/>
          <w:sz w:val="18"/>
          <w:szCs w:val="18"/>
          <w:color w:val="auto"/>
        </w:rPr>
        <w:t>”)); and GasLog owns the Sponsor Units free and clear of all liens, encumbrances, security interests, charges, equities or other claims (“</w:t>
      </w:r>
      <w:r>
        <w:rPr>
          <w:rFonts w:ascii="Arial" w:cs="Arial" w:eastAsia="Arial" w:hAnsi="Arial"/>
          <w:sz w:val="18"/>
          <w:szCs w:val="18"/>
          <w:u w:val="single" w:color="auto"/>
          <w:color w:val="auto"/>
        </w:rPr>
        <w:t>Liens</w:t>
      </w:r>
      <w:r>
        <w:rPr>
          <w:rFonts w:ascii="Arial" w:cs="Arial" w:eastAsia="Arial" w:hAnsi="Arial"/>
          <w:sz w:val="18"/>
          <w:szCs w:val="18"/>
          <w:color w:val="auto"/>
        </w:rPr>
        <w:t>”);</w:t>
      </w:r>
    </w:p>
    <w:p>
      <w:pPr>
        <w:spacing w:after="0" w:line="194" w:lineRule="exact"/>
        <w:rPr>
          <w:rFonts w:ascii="Arial" w:cs="Arial" w:eastAsia="Arial" w:hAnsi="Arial"/>
          <w:sz w:val="18"/>
          <w:szCs w:val="18"/>
          <w:color w:val="auto"/>
        </w:rPr>
      </w:pPr>
    </w:p>
    <w:p>
      <w:pPr>
        <w:jc w:val="both"/>
        <w:ind w:right="120" w:firstLine="656"/>
        <w:spacing w:after="0" w:line="257" w:lineRule="auto"/>
        <w:tabs>
          <w:tab w:leader="none" w:pos="1303" w:val="left"/>
        </w:tabs>
        <w:numPr>
          <w:ilvl w:val="0"/>
          <w:numId w:val="59"/>
        </w:numPr>
        <w:rPr>
          <w:rFonts w:ascii="Arial" w:cs="Arial" w:eastAsia="Arial" w:hAnsi="Arial"/>
          <w:sz w:val="18"/>
          <w:szCs w:val="18"/>
          <w:color w:val="auto"/>
        </w:rPr>
      </w:pPr>
      <w:r>
        <w:rPr>
          <w:rFonts w:ascii="Arial" w:cs="Arial" w:eastAsia="Arial" w:hAnsi="Arial"/>
          <w:sz w:val="18"/>
          <w:szCs w:val="18"/>
          <w:color w:val="auto"/>
        </w:rPr>
        <w:t>As of the date hereof the General Partner owns, and at the First Time of Delivery will own, the general partner units, representing a 2% general partner interest in the Partnership (the “</w:t>
      </w:r>
      <w:r>
        <w:rPr>
          <w:rFonts w:ascii="Arial" w:cs="Arial" w:eastAsia="Arial" w:hAnsi="Arial"/>
          <w:sz w:val="18"/>
          <w:szCs w:val="18"/>
          <w:u w:val="single" w:color="auto"/>
          <w:color w:val="auto"/>
        </w:rPr>
        <w:t>General Partner Interest</w:t>
      </w:r>
      <w:r>
        <w:rPr>
          <w:rFonts w:ascii="Arial" w:cs="Arial" w:eastAsia="Arial" w:hAnsi="Arial"/>
          <w:sz w:val="18"/>
          <w:szCs w:val="18"/>
          <w:color w:val="auto"/>
        </w:rPr>
        <w:t>”). The General Partner Interest has been duly authorized for issuance and sale, is validly issued in accordance with the Partnership Agreement and is fully paid (to the extent required under the Partnership Agreement) and nonassessable (except as such nonassessability may be affected by Sections 30, 41, 51 and 60 of the Marshall Islands LP Act); and the General Partner owns the General Partner Interest free and clear of all Liens;</w:t>
      </w:r>
    </w:p>
    <w:p>
      <w:pPr>
        <w:spacing w:after="0" w:line="187" w:lineRule="exact"/>
        <w:rPr>
          <w:rFonts w:ascii="Arial" w:cs="Arial" w:eastAsia="Arial" w:hAnsi="Arial"/>
          <w:sz w:val="18"/>
          <w:szCs w:val="18"/>
          <w:color w:val="auto"/>
        </w:rPr>
      </w:pPr>
    </w:p>
    <w:p>
      <w:pPr>
        <w:ind w:right="20" w:firstLine="656"/>
        <w:spacing w:after="0" w:line="257" w:lineRule="auto"/>
        <w:tabs>
          <w:tab w:leader="none" w:pos="1317" w:val="left"/>
        </w:tabs>
        <w:numPr>
          <w:ilvl w:val="0"/>
          <w:numId w:val="59"/>
        </w:numPr>
        <w:rPr>
          <w:rFonts w:ascii="Arial" w:cs="Arial" w:eastAsia="Arial" w:hAnsi="Arial"/>
          <w:sz w:val="18"/>
          <w:szCs w:val="18"/>
          <w:color w:val="auto"/>
        </w:rPr>
      </w:pPr>
      <w:r>
        <w:rPr>
          <w:rFonts w:ascii="Arial" w:cs="Arial" w:eastAsia="Arial" w:hAnsi="Arial"/>
          <w:sz w:val="18"/>
          <w:szCs w:val="18"/>
          <w:color w:val="auto"/>
        </w:rPr>
        <w:t>As of the date hereof GasLog directly owns, and at the First Time of Delivery will own, 100% of the limited liability company interest in the General Partner, such limited liability company interest has been duly authorized and validly issued in accordance with the limited liability company agreement of the General Partner (as the same may be amended and restated at or prior to the First Time of Delivery, the “</w:t>
      </w:r>
      <w:r>
        <w:rPr>
          <w:rFonts w:ascii="Arial" w:cs="Arial" w:eastAsia="Arial" w:hAnsi="Arial"/>
          <w:sz w:val="18"/>
          <w:szCs w:val="18"/>
          <w:u w:val="single" w:color="auto"/>
          <w:color w:val="auto"/>
        </w:rPr>
        <w:t>General Partner LLC</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and is fully paid (to the extent required by the General Partner LLC Agreement) and nonassessable (except as such nonassessability may be affected by Sections 20, 31, 40 and 49 of The Republic of The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8" w:name="page69"/>
    <w:bookmarkEnd w:id="68"/>
    <w:p>
      <w:pPr>
        <w:ind w:right="20"/>
        <w:spacing w:after="0" w:line="277" w:lineRule="auto"/>
        <w:rPr>
          <w:sz w:val="20"/>
          <w:szCs w:val="20"/>
          <w:color w:val="auto"/>
        </w:rPr>
      </w:pPr>
      <w:r>
        <w:rPr>
          <w:rFonts w:ascii="Arial" w:cs="Arial" w:eastAsia="Arial" w:hAnsi="Arial"/>
          <w:sz w:val="18"/>
          <w:szCs w:val="18"/>
          <w:color w:val="auto"/>
        </w:rPr>
        <w:t>Marshall Islands Limited Liability Company Act of 1996 (the “</w:t>
      </w:r>
      <w:r>
        <w:rPr>
          <w:rFonts w:ascii="Arial" w:cs="Arial" w:eastAsia="Arial" w:hAnsi="Arial"/>
          <w:sz w:val="18"/>
          <w:szCs w:val="18"/>
          <w:u w:val="single" w:color="auto"/>
          <w:color w:val="auto"/>
        </w:rPr>
        <w:t>Marshall Islands LLC Act</w:t>
      </w:r>
      <w:r>
        <w:rPr>
          <w:rFonts w:ascii="Arial" w:cs="Arial" w:eastAsia="Arial" w:hAnsi="Arial"/>
          <w:sz w:val="18"/>
          <w:szCs w:val="18"/>
          <w:color w:val="auto"/>
        </w:rPr>
        <w:t>”)); and GasLog owns such limited liability company interest free and clear of all Liens;</w:t>
      </w:r>
    </w:p>
    <w:p>
      <w:pPr>
        <w:spacing w:after="0" w:line="170" w:lineRule="exact"/>
        <w:rPr>
          <w:sz w:val="20"/>
          <w:szCs w:val="20"/>
          <w:color w:val="auto"/>
        </w:rPr>
      </w:pPr>
    </w:p>
    <w:p>
      <w:pPr>
        <w:ind w:firstLine="656"/>
        <w:spacing w:after="0" w:line="255" w:lineRule="auto"/>
        <w:tabs>
          <w:tab w:leader="none" w:pos="1299" w:val="left"/>
        </w:tabs>
        <w:numPr>
          <w:ilvl w:val="0"/>
          <w:numId w:val="60"/>
        </w:numPr>
        <w:rPr>
          <w:rFonts w:ascii="Arial" w:cs="Arial" w:eastAsia="Arial" w:hAnsi="Arial"/>
          <w:sz w:val="18"/>
          <w:szCs w:val="18"/>
          <w:color w:val="auto"/>
        </w:rPr>
      </w:pPr>
      <w:r>
        <w:rPr>
          <w:rFonts w:ascii="Arial" w:cs="Arial" w:eastAsia="Arial" w:hAnsi="Arial"/>
          <w:sz w:val="18"/>
          <w:szCs w:val="18"/>
          <w:color w:val="auto"/>
        </w:rPr>
        <w:t>As of the date hereof the Partnership directly owns, and at the First Time of Delivery will directly own, 100% of the limited liability company interest in the Operating Company; such limited liability company interest has been duly authorized and validly issued in accordance with the limited liability company agreement of the Operating Company (as the same may be amended and restated at or prior to the First Time of Delivery, the “</w:t>
      </w:r>
      <w:r>
        <w:rPr>
          <w:rFonts w:ascii="Arial" w:cs="Arial" w:eastAsia="Arial" w:hAnsi="Arial"/>
          <w:sz w:val="18"/>
          <w:szCs w:val="18"/>
          <w:u w:val="single" w:color="auto"/>
          <w:color w:val="auto"/>
        </w:rPr>
        <w:t>Operating Company LLC Agreement</w:t>
      </w:r>
      <w:r>
        <w:rPr>
          <w:rFonts w:ascii="Arial" w:cs="Arial" w:eastAsia="Arial" w:hAnsi="Arial"/>
          <w:sz w:val="18"/>
          <w:szCs w:val="18"/>
          <w:color w:val="auto"/>
        </w:rPr>
        <w:t>”) and is fully paid (to the extent required under the Operating Company LLC Agreement) and nonassessable (except as such nonassessability may be affected by Sections 20, 31, 40 and 49 of the Marshall Islands LLC Act); and the Partnership owns such limited liability company interest free and clear of all Liens;</w:t>
      </w:r>
    </w:p>
    <w:p>
      <w:pPr>
        <w:spacing w:after="0" w:line="192" w:lineRule="exact"/>
        <w:rPr>
          <w:rFonts w:ascii="Arial" w:cs="Arial" w:eastAsia="Arial" w:hAnsi="Arial"/>
          <w:sz w:val="18"/>
          <w:szCs w:val="18"/>
          <w:color w:val="auto"/>
        </w:rPr>
      </w:pPr>
    </w:p>
    <w:p>
      <w:pPr>
        <w:ind w:right="40" w:firstLine="656"/>
        <w:spacing w:after="0" w:line="263" w:lineRule="auto"/>
        <w:tabs>
          <w:tab w:leader="none" w:pos="1303"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Except as described in </w:t>
      </w:r>
      <w:r>
        <w:rPr>
          <w:rFonts w:ascii="Arial" w:cs="Arial" w:eastAsia="Arial" w:hAnsi="Arial"/>
          <w:sz w:val="18"/>
          <w:szCs w:val="18"/>
          <w:u w:val="single" w:color="auto"/>
          <w:color w:val="auto"/>
        </w:rPr>
        <w:t>Sections 1(k)</w:t>
      </w:r>
      <w:r>
        <w:rPr>
          <w:rFonts w:ascii="Arial" w:cs="Arial" w:eastAsia="Arial" w:hAnsi="Arial"/>
          <w:sz w:val="18"/>
          <w:szCs w:val="18"/>
          <w:color w:val="auto"/>
        </w:rPr>
        <w:t xml:space="preserve">, </w:t>
      </w:r>
      <w:r>
        <w:rPr>
          <w:rFonts w:ascii="Arial" w:cs="Arial" w:eastAsia="Arial" w:hAnsi="Arial"/>
          <w:sz w:val="18"/>
          <w:szCs w:val="18"/>
          <w:u w:val="single" w:color="auto"/>
          <w:color w:val="auto"/>
        </w:rPr>
        <w:t>1(m) and 1(n)</w:t>
      </w:r>
      <w:r>
        <w:rPr>
          <w:rFonts w:ascii="Arial" w:cs="Arial" w:eastAsia="Arial" w:hAnsi="Arial"/>
          <w:sz w:val="18"/>
          <w:szCs w:val="18"/>
          <w:color w:val="auto"/>
        </w:rPr>
        <w:t xml:space="preserve"> herein, none of the Partnership Entities owns, or, at the First Time of Delivery or any other Time of Delivery, will own, directly or indirectly, any equity or long-term debt securities of any corporation, partnership, limited liability company, joint venture, association or other entity;</w:t>
      </w:r>
    </w:p>
    <w:p>
      <w:pPr>
        <w:spacing w:after="0" w:line="183" w:lineRule="exact"/>
        <w:rPr>
          <w:rFonts w:ascii="Arial" w:cs="Arial" w:eastAsia="Arial" w:hAnsi="Arial"/>
          <w:sz w:val="18"/>
          <w:szCs w:val="18"/>
          <w:color w:val="auto"/>
        </w:rPr>
      </w:pPr>
    </w:p>
    <w:p>
      <w:pPr>
        <w:ind w:right="100" w:firstLine="656"/>
        <w:spacing w:after="0" w:line="263" w:lineRule="auto"/>
        <w:tabs>
          <w:tab w:leader="none" w:pos="1303" w:val="left"/>
        </w:tabs>
        <w:numPr>
          <w:ilvl w:val="0"/>
          <w:numId w:val="60"/>
        </w:numPr>
        <w:rPr>
          <w:rFonts w:ascii="Arial" w:cs="Arial" w:eastAsia="Arial" w:hAnsi="Arial"/>
          <w:sz w:val="18"/>
          <w:szCs w:val="18"/>
          <w:color w:val="auto"/>
        </w:rPr>
      </w:pPr>
      <w:r>
        <w:rPr>
          <w:rFonts w:ascii="Arial" w:cs="Arial" w:eastAsia="Arial" w:hAnsi="Arial"/>
          <w:sz w:val="18"/>
          <w:szCs w:val="18"/>
          <w:color w:val="auto"/>
        </w:rPr>
        <w:t>At the First Time of Delivery, assuming no exercise of the option provided in Section 2, the issued and outstanding limited partner interests of the Partnership will consist of the number of Common Units, Class B Units, Series A Preference Units, Series B Preference Units and Series C Preference Units as set forth under the caption “Cash and Capitalization” in the Pricing Prospectus;</w:t>
      </w:r>
    </w:p>
    <w:p>
      <w:pPr>
        <w:spacing w:after="0" w:line="183" w:lineRule="exact"/>
        <w:rPr>
          <w:rFonts w:ascii="Arial" w:cs="Arial" w:eastAsia="Arial" w:hAnsi="Arial"/>
          <w:sz w:val="18"/>
          <w:szCs w:val="18"/>
          <w:color w:val="auto"/>
        </w:rPr>
      </w:pPr>
    </w:p>
    <w:p>
      <w:pPr>
        <w:ind w:right="80" w:firstLine="656"/>
        <w:spacing w:after="0" w:line="271" w:lineRule="auto"/>
        <w:tabs>
          <w:tab w:leader="none" w:pos="1303"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Securities to be sold by the Partnership pursuant to this Agreement, and the limited partner interests represented thereby, have been duly authorized for issuance and sale to the Underwriters in accordance with this Agreement and the Partnership Agreement, and when issued and delivered by the Partnership pursuant to this Agreement against payment of the consideration set forth herein, will be validly issued, fully paid (to the extent required under the Partnership Agreement) and nonassessable (except as such nonassessability may be affected by matters described in Sections 30, 41, 51 and 60 of the Marshall Islands LP Act), will conform in all material respects to the information in the Pricing Prospectus and to the description of such Securities contained in the Final Prospectus; the unitholders of the Partnership do not and will not have preemptive rights with respect to the [Common/Preference/Other] Units; and none of the outstanding [Common/Preference/Other] Units of the Partnership have been issued in violation of any preemptive or similar rights of any security holder;</w:t>
      </w:r>
    </w:p>
    <w:p>
      <w:pPr>
        <w:spacing w:after="0" w:line="178" w:lineRule="exact"/>
        <w:rPr>
          <w:rFonts w:ascii="Arial" w:cs="Arial" w:eastAsia="Arial" w:hAnsi="Arial"/>
          <w:sz w:val="17"/>
          <w:szCs w:val="17"/>
          <w:color w:val="auto"/>
        </w:rPr>
      </w:pPr>
    </w:p>
    <w:p>
      <w:pPr>
        <w:ind w:right="160" w:firstLine="656"/>
        <w:spacing w:after="0" w:line="272" w:lineRule="auto"/>
        <w:tabs>
          <w:tab w:leader="none" w:pos="1303" w:val="left"/>
        </w:tabs>
        <w:numPr>
          <w:ilvl w:val="0"/>
          <w:numId w:val="60"/>
        </w:numPr>
        <w:rPr>
          <w:rFonts w:ascii="Arial" w:cs="Arial" w:eastAsia="Arial" w:hAnsi="Arial"/>
          <w:sz w:val="17"/>
          <w:szCs w:val="17"/>
          <w:color w:val="auto"/>
        </w:rPr>
      </w:pPr>
      <w:r>
        <w:rPr>
          <w:rFonts w:ascii="Arial" w:cs="Arial" w:eastAsia="Arial" w:hAnsi="Arial"/>
          <w:sz w:val="17"/>
          <w:szCs w:val="17"/>
          <w:color w:val="auto"/>
        </w:rPr>
        <w:t xml:space="preserve">The issue and sale of the Securities and the execution, delivery and performance of the terms of the Operative Agreements by the Partnership Entities party thereto, and the consummation of the transactions by the Partnership Entities, as applicable, set forth herein (i) will not conflict with or result in a breach or violation of any of the terms or provisions of, or require the consent of any person, or constitute a default or Debt Repayment Triggering Event (as defined below), or result in the imposition of any lien, charge or encumbrance on any property of the Partnership Entities, under any indenture, mortgage, deed of trust, loan agreement or other agreement or instrument, including the instruments listed on </w:t>
      </w:r>
      <w:r>
        <w:rPr>
          <w:rFonts w:ascii="Arial" w:cs="Arial" w:eastAsia="Arial" w:hAnsi="Arial"/>
          <w:sz w:val="17"/>
          <w:szCs w:val="17"/>
          <w:u w:val="single" w:color="auto"/>
          <w:color w:val="auto"/>
        </w:rPr>
        <w:t>Schedule IX</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Specified</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Agreements</w:t>
      </w:r>
      <w:r>
        <w:rPr>
          <w:rFonts w:ascii="Arial" w:cs="Arial" w:eastAsia="Arial" w:hAnsi="Arial"/>
          <w:sz w:val="17"/>
          <w:szCs w:val="17"/>
          <w:color w:val="auto"/>
        </w:rPr>
        <w:t>”), or give any person the right to terminate any agreement or contract to which any Partnership Entity is a party or by which any Partnership Entity is bound or to which any of the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9" w:name="page70"/>
    <w:bookmarkEnd w:id="69"/>
    <w:p>
      <w:pPr>
        <w:spacing w:after="0" w:line="268" w:lineRule="auto"/>
        <w:rPr>
          <w:sz w:val="20"/>
          <w:szCs w:val="20"/>
          <w:color w:val="auto"/>
        </w:rPr>
      </w:pPr>
      <w:r>
        <w:rPr>
          <w:rFonts w:ascii="Arial" w:cs="Arial" w:eastAsia="Arial" w:hAnsi="Arial"/>
          <w:sz w:val="17"/>
          <w:szCs w:val="17"/>
          <w:color w:val="auto"/>
        </w:rPr>
        <w:t>property or assets of the Partnership Entities is subject; and (ii) will not result in any violation of (A) any of the Partnership Entities Organizational Agreements or (B) any statute or any order, rule or regulation of any court or governmental agency or body having jurisdiction over the Partnership Entities or any of their properties or assets, except in the case of clause (i), for any conflict, breach, or violation that would not result in a Material Adverse Effect or have a material adverse effect on the consummation of the transactions contemplated hereby; and no consent, approval, authorization, order, registration or qualification of or with any such court or governmental agency or body is required for the issue and sale of the Securities or the consummation by the Partnership Entities of the transactions contemplated by this Agreement [or the Indenture], except the registration under the Act of the Securities and such consents, approvals, authorizations, registrations or qualifications as may be required under state securities or Blue Sky laws in connection with the purchase and distribution of the Securities by the Underwriters, and such other consents, approvals, authorizations, orders, registrations or qualifications that have already been obtained. A “</w:t>
      </w:r>
      <w:r>
        <w:rPr>
          <w:rFonts w:ascii="Arial" w:cs="Arial" w:eastAsia="Arial" w:hAnsi="Arial"/>
          <w:sz w:val="17"/>
          <w:szCs w:val="17"/>
          <w:u w:val="single" w:color="auto"/>
          <w:color w:val="auto"/>
        </w:rPr>
        <w:t>Debt Repayment Triggering Event</w:t>
      </w:r>
      <w:r>
        <w:rPr>
          <w:rFonts w:ascii="Arial" w:cs="Arial" w:eastAsia="Arial" w:hAnsi="Arial"/>
          <w:sz w:val="17"/>
          <w:szCs w:val="17"/>
          <w:color w:val="auto"/>
        </w:rPr>
        <w:t>” means any event or condition that gives, or with the giving of notice or lapse of time would give, the holder of any loan, note, debenture or other evidence of indebtedness (or any person acting on such holder’s behalf) the right to accelerate the due date of any payment of, or to require the repurchase, redemption or repayment of all or a portion of such indebtedness by the Partnership Entities (for the avoidance of doubt, Debt Repayment Triggering Event excludes any put right that is not triggered by the occurrence of an extraordinary event);</w:t>
      </w:r>
    </w:p>
    <w:p>
      <w:pPr>
        <w:spacing w:after="0" w:line="186" w:lineRule="exact"/>
        <w:rPr>
          <w:sz w:val="20"/>
          <w:szCs w:val="20"/>
          <w:color w:val="auto"/>
        </w:rPr>
      </w:pPr>
    </w:p>
    <w:p>
      <w:pPr>
        <w:ind w:right="120" w:firstLine="656"/>
        <w:spacing w:after="0" w:line="269" w:lineRule="auto"/>
        <w:tabs>
          <w:tab w:leader="none" w:pos="1314" w:val="left"/>
        </w:tabs>
        <w:numPr>
          <w:ilvl w:val="0"/>
          <w:numId w:val="61"/>
        </w:numPr>
        <w:rPr>
          <w:rFonts w:ascii="Arial" w:cs="Arial" w:eastAsia="Arial" w:hAnsi="Arial"/>
          <w:sz w:val="17"/>
          <w:szCs w:val="17"/>
          <w:color w:val="auto"/>
        </w:rPr>
      </w:pPr>
      <w:r>
        <w:rPr>
          <w:rFonts w:ascii="Arial" w:cs="Arial" w:eastAsia="Arial" w:hAnsi="Arial"/>
          <w:sz w:val="17"/>
          <w:szCs w:val="17"/>
          <w:color w:val="auto"/>
        </w:rPr>
        <w:t>If the Securities constitute Debt Securities, the Indenture for the Securities has been duly authorized and will be duly qualified under the Trust Indenture Act and validly executed and delivered by the Partnership and will constitute legal, valid and binding obligations of the Partnership enforceable against the Partnership in accordance with their terms (subject to applicable bankruptcy, insolvency, reorganization, moratorium, fraudulent transfer and other similar laws affecting creditor’s rights generally from time to time in effect and to general principles of equity, including, without limitation, concepts of materiality, reasonableness, good faith and fair dealing, regardless of whether considered in a proceeding in equity or at law); and such Securities have been duly authorized and will be executed and authenticated in accordance with the provisions of the respective Indenture and when delivered to and paid for by the Underwriters pursuant to the Underwriting Agreement, such Securities will constitute legal, valid and binding obligations of the Partnership entitled to the benefits of the Indenture and enforceable against the Partnership in accordance with their terms (subject to applicable bankruptcy, insolvency, reorganization, moratorium, fraudulent transfer and other similar laws affecting creditor’s rights generally from time to time in effect and to general principles of equity, including, without limitation, concepts of materiality, reasonableness, good faith and fair dealing, regardless of whether considered in a proceeding in equity or at law);</w:t>
      </w:r>
    </w:p>
    <w:p>
      <w:pPr>
        <w:spacing w:after="0" w:line="181" w:lineRule="exact"/>
        <w:rPr>
          <w:rFonts w:ascii="Arial" w:cs="Arial" w:eastAsia="Arial" w:hAnsi="Arial"/>
          <w:sz w:val="17"/>
          <w:szCs w:val="17"/>
          <w:color w:val="auto"/>
        </w:rPr>
      </w:pPr>
    </w:p>
    <w:p>
      <w:pPr>
        <w:ind w:right="180" w:firstLine="656"/>
        <w:spacing w:after="0" w:line="257" w:lineRule="auto"/>
        <w:tabs>
          <w:tab w:leader="none" w:pos="131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If the Securities constitute Warrants, the warrant agreement will be duly authorized, executed and delivered by the Company and will constitute a legal, valid and binding obligation of the Partnership enforceable against the Partnership in accordance with their terms (subject to applicable bankruptcy, insolvency, reorganization, moratorium, fraudulent transfer and other similar laws affecting creditor’s rights generally from time to time in effect and to general principles of equity, including, without limitation, concepts of materiality, reasonableness, good faith and fair dealing, regardless of whether considered in a proceeding in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0" w:name="page71"/>
    <w:bookmarkEnd w:id="70"/>
    <w:p>
      <w:pPr>
        <w:ind w:right="240"/>
        <w:spacing w:after="0" w:line="257" w:lineRule="auto"/>
        <w:rPr>
          <w:sz w:val="20"/>
          <w:szCs w:val="20"/>
          <w:color w:val="auto"/>
        </w:rPr>
      </w:pPr>
      <w:r>
        <w:rPr>
          <w:rFonts w:ascii="Arial" w:cs="Arial" w:eastAsia="Arial" w:hAnsi="Arial"/>
          <w:sz w:val="18"/>
          <w:szCs w:val="18"/>
          <w:color w:val="auto"/>
        </w:rPr>
        <w:t>equity or at law); and such Securities have been duly authorized and will be executed and authenticated in accordance with the provisions of the warrant agreement and enforceable against the Partnership in accordance with their terms (subject to applicable bankruptcy, insolvency, reorganization, moratorium, fraudulent transfer and other similar laws affecting creditor’s rights generally from time to time in effect and to general principles of equity, including, without limitation, concepts of materiality, reasonableness, good faith and fair dealing, regardless of whether considered in a proceeding in equity or at law);</w:t>
      </w:r>
    </w:p>
    <w:p>
      <w:pPr>
        <w:spacing w:after="0" w:line="188" w:lineRule="exact"/>
        <w:rPr>
          <w:sz w:val="20"/>
          <w:szCs w:val="20"/>
          <w:color w:val="auto"/>
        </w:rPr>
      </w:pPr>
    </w:p>
    <w:p>
      <w:pPr>
        <w:ind w:right="240" w:firstLine="656"/>
        <w:spacing w:after="0" w:line="270" w:lineRule="auto"/>
        <w:tabs>
          <w:tab w:leader="none" w:pos="1304" w:val="left"/>
        </w:tabs>
        <w:numPr>
          <w:ilvl w:val="0"/>
          <w:numId w:val="62"/>
        </w:numPr>
        <w:rPr>
          <w:rFonts w:ascii="Arial" w:cs="Arial" w:eastAsia="Arial" w:hAnsi="Arial"/>
          <w:sz w:val="17"/>
          <w:szCs w:val="17"/>
          <w:color w:val="auto"/>
        </w:rPr>
      </w:pPr>
      <w:r>
        <w:rPr>
          <w:rFonts w:ascii="Arial" w:cs="Arial" w:eastAsia="Arial" w:hAnsi="Arial"/>
          <w:sz w:val="17"/>
          <w:szCs w:val="17"/>
          <w:color w:val="auto"/>
        </w:rPr>
        <w:t>If the Securities constitute Rights, the rights agreement will be duly authorized, executed and delivered by the Company and will constitute a legal, valid and binding obligation of the Partnership enforceable against the Partnership in accordance with its terms (subject to applicable bankruptcy, insolvency, reorganization, moratorium, fraudulent transfer and other similar laws affecting creditor’s rights generally from time to time in effect and to general principles of equity, including, without limitation, concepts of materiality, reasonableness, good faith and fair dealing, regardless of whether considered in a proceeding in equity or at law); and such Securities have been duly authorized and will be executed and authenticated in accordance with the provisions of the rights agreement and enforceable against the Partnership in accordance with their terms (subject to applicable bankruptcy, insolvency, reorganization, moratorium, fraudulent transfer and other similar laws affecting creditor’s rights generally from time to time in effect and to general principles of equity, including, without limitation, concepts of materiality, reasonableness, good faith and fair dealing, regardless of whether considered in a proceeding in equity or at law);</w:t>
      </w:r>
    </w:p>
    <w:p>
      <w:pPr>
        <w:spacing w:after="0" w:line="180" w:lineRule="exact"/>
        <w:rPr>
          <w:rFonts w:ascii="Arial" w:cs="Arial" w:eastAsia="Arial" w:hAnsi="Arial"/>
          <w:sz w:val="17"/>
          <w:szCs w:val="17"/>
          <w:color w:val="auto"/>
        </w:rPr>
      </w:pPr>
    </w:p>
    <w:p>
      <w:pPr>
        <w:ind w:firstLine="656"/>
        <w:spacing w:after="0" w:line="270" w:lineRule="auto"/>
        <w:tabs>
          <w:tab w:leader="none" w:pos="1303" w:val="left"/>
        </w:tabs>
        <w:numPr>
          <w:ilvl w:val="0"/>
          <w:numId w:val="62"/>
        </w:numPr>
        <w:rPr>
          <w:rFonts w:ascii="Arial" w:cs="Arial" w:eastAsia="Arial" w:hAnsi="Arial"/>
          <w:sz w:val="17"/>
          <w:szCs w:val="17"/>
          <w:color w:val="auto"/>
        </w:rPr>
      </w:pPr>
      <w:r>
        <w:rPr>
          <w:rFonts w:ascii="Arial" w:cs="Arial" w:eastAsia="Arial" w:hAnsi="Arial"/>
          <w:sz w:val="17"/>
          <w:szCs w:val="17"/>
          <w:color w:val="auto"/>
        </w:rPr>
        <w:t>If the Securities constitute Combination Units, the unit agreement will be duly authorized, executed and delivered by the Company and will constitute a legal, valid and binding obligation of the Partnership enforceable against the Partnership in accordance with its terms (subject to applicable bankruptcy, insolvency, reorganization, moratorium, fraudulent transfer and other similar laws affecting creditor’s rights generally from time to time in effect and to general principles of equity, including, without limitation, concepts of materiality, reasonableness, good faith and fair dealing, regardless of whether considered in a proceeding in equity or at law); and such Securities have been duly authorized and will be executed and authenticated in accordance with the provisions of the unit agreement and enforceable against the Partnership in accordance with their terms (subject to applicable bankruptcy, insolvency, reorganization, moratorium, fraudulent transfer and other similar laws affecting creditor’s rights generally from time to time in effect and to general principles of equity, including, without limitation, concepts of materiality, reasonableness, good faith and fair dealing, regardless of whether considered in a proceeding in equity or at law);</w:t>
      </w:r>
    </w:p>
    <w:p>
      <w:pPr>
        <w:spacing w:after="0" w:line="180" w:lineRule="exact"/>
        <w:rPr>
          <w:rFonts w:ascii="Arial" w:cs="Arial" w:eastAsia="Arial" w:hAnsi="Arial"/>
          <w:sz w:val="17"/>
          <w:szCs w:val="17"/>
          <w:color w:val="auto"/>
        </w:rPr>
      </w:pPr>
    </w:p>
    <w:p>
      <w:pPr>
        <w:ind w:left="1320" w:hanging="664"/>
        <w:spacing w:after="0"/>
        <w:tabs>
          <w:tab w:leader="none" w:pos="13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each of the Partnership Parties;</w:t>
      </w:r>
    </w:p>
    <w:p>
      <w:pPr>
        <w:spacing w:after="0" w:line="225" w:lineRule="exact"/>
        <w:rPr>
          <w:rFonts w:ascii="Arial" w:cs="Arial" w:eastAsia="Arial" w:hAnsi="Arial"/>
          <w:sz w:val="18"/>
          <w:szCs w:val="18"/>
          <w:color w:val="auto"/>
        </w:rPr>
      </w:pPr>
    </w:p>
    <w:p>
      <w:pPr>
        <w:ind w:right="100" w:firstLine="656"/>
        <w:spacing w:after="0" w:line="279" w:lineRule="auto"/>
        <w:tabs>
          <w:tab w:leader="none" w:pos="1316" w:val="left"/>
        </w:tabs>
        <w:numPr>
          <w:ilvl w:val="0"/>
          <w:numId w:val="62"/>
        </w:numPr>
        <w:rPr>
          <w:rFonts w:ascii="Arial" w:cs="Arial" w:eastAsia="Arial" w:hAnsi="Arial"/>
          <w:sz w:val="17"/>
          <w:szCs w:val="17"/>
          <w:color w:val="auto"/>
        </w:rPr>
      </w:pPr>
      <w:r>
        <w:rPr>
          <w:rFonts w:ascii="Arial" w:cs="Arial" w:eastAsia="Arial" w:hAnsi="Arial"/>
          <w:sz w:val="17"/>
          <w:szCs w:val="17"/>
          <w:color w:val="auto"/>
        </w:rPr>
        <w:t xml:space="preserve">At the First Time of Delivery, each of the Operative Agreements, the Partnership Entities Organizational Agreements and the other instruments listed on </w:t>
      </w:r>
      <w:r>
        <w:rPr>
          <w:rFonts w:ascii="Arial" w:cs="Arial" w:eastAsia="Arial" w:hAnsi="Arial"/>
          <w:sz w:val="17"/>
          <w:szCs w:val="17"/>
          <w:u w:val="single" w:color="auto"/>
          <w:color w:val="auto"/>
        </w:rPr>
        <w:t>Schedule VII</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Covered Agreements</w:t>
      </w:r>
      <w:r>
        <w:rPr>
          <w:rFonts w:ascii="Arial" w:cs="Arial" w:eastAsia="Arial" w:hAnsi="Arial"/>
          <w:sz w:val="17"/>
          <w:szCs w:val="17"/>
          <w:color w:val="auto"/>
        </w:rPr>
        <w:t xml:space="preserve">”) hereto, as applicable, has been duly authorized, executed and delivered by the Partnership Entities party thereto, and each such agreement is a valid and legally binding agreement of each such Partnership Entity, enforceable against such party in accordance with its terms; </w:t>
      </w:r>
      <w:r>
        <w:rPr>
          <w:rFonts w:ascii="Arial" w:cs="Arial" w:eastAsia="Arial" w:hAnsi="Arial"/>
          <w:sz w:val="17"/>
          <w:szCs w:val="17"/>
          <w:i w:val="1"/>
          <w:iCs w:val="1"/>
          <w:color w:val="auto"/>
        </w:rPr>
        <w:t>provided, that</w:t>
      </w:r>
      <w:r>
        <w:rPr>
          <w:rFonts w:ascii="Arial" w:cs="Arial" w:eastAsia="Arial" w:hAnsi="Arial"/>
          <w:sz w:val="17"/>
          <w:szCs w:val="17"/>
          <w:color w:val="auto"/>
        </w:rPr>
        <w:t>, with respect to each such agreement, the enforceability thereof may be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71" w:name="page72"/>
    <w:bookmarkEnd w:id="71"/>
    <w:p>
      <w:pPr>
        <w:ind w:right="60"/>
        <w:spacing w:after="0" w:line="291" w:lineRule="auto"/>
        <w:rPr>
          <w:sz w:val="20"/>
          <w:szCs w:val="20"/>
          <w:color w:val="auto"/>
        </w:rPr>
      </w:pPr>
      <w:r>
        <w:rPr>
          <w:rFonts w:ascii="Arial" w:cs="Arial" w:eastAsia="Arial" w:hAnsi="Arial"/>
          <w:sz w:val="16"/>
          <w:szCs w:val="16"/>
          <w:color w:val="auto"/>
        </w:rPr>
        <w:t>limited by (A) applicable bankruptcy, insolvency, fraudulent transfer, reorganization, moratorium and similar laws relating to or affecting creditors’ rights and remedies generally and by general principles of equity (regardless of whether such enforceability is considered in a proceeding in equity or at law) and</w:t>
      </w:r>
    </w:p>
    <w:p>
      <w:pPr>
        <w:ind w:right="220" w:firstLine="8"/>
        <w:spacing w:after="0" w:line="255" w:lineRule="auto"/>
        <w:tabs>
          <w:tab w:leader="none" w:pos="285" w:val="left"/>
        </w:tabs>
        <w:numPr>
          <w:ilvl w:val="0"/>
          <w:numId w:val="63"/>
        </w:numPr>
        <w:rPr>
          <w:rFonts w:ascii="Arial" w:cs="Arial" w:eastAsia="Arial" w:hAnsi="Arial"/>
          <w:sz w:val="18"/>
          <w:szCs w:val="18"/>
          <w:color w:val="auto"/>
        </w:rPr>
      </w:pPr>
      <w:r>
        <w:rPr>
          <w:rFonts w:ascii="Arial" w:cs="Arial" w:eastAsia="Arial" w:hAnsi="Arial"/>
          <w:sz w:val="18"/>
          <w:szCs w:val="18"/>
          <w:color w:val="auto"/>
        </w:rPr>
        <w:t>public policy, applicable law relating to fiduciary duties and indemnification and an implied covenant of good faith and fair dealing. The Operative Agreements, the Partnership Entities Organizational Agreements and the Covered Agreements referenced above are herein collectively referred to as the “</w:t>
      </w:r>
      <w:r>
        <w:rPr>
          <w:rFonts w:ascii="Arial" w:cs="Arial" w:eastAsia="Arial" w:hAnsi="Arial"/>
          <w:sz w:val="18"/>
          <w:szCs w:val="18"/>
          <w:u w:val="single" w:color="auto"/>
          <w:color w:val="auto"/>
        </w:rPr>
        <w:t>Operative Documents</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ind w:firstLine="656"/>
        <w:spacing w:after="0" w:line="293" w:lineRule="auto"/>
        <w:tabs>
          <w:tab w:leader="none" w:pos="1303" w:val="left"/>
        </w:tabs>
        <w:numPr>
          <w:ilvl w:val="1"/>
          <w:numId w:val="63"/>
        </w:numPr>
        <w:rPr>
          <w:rFonts w:ascii="Arial" w:cs="Arial" w:eastAsia="Arial" w:hAnsi="Arial"/>
          <w:sz w:val="16"/>
          <w:szCs w:val="16"/>
          <w:color w:val="auto"/>
        </w:rPr>
      </w:pPr>
      <w:r>
        <w:rPr>
          <w:rFonts w:ascii="Arial" w:cs="Arial" w:eastAsia="Arial" w:hAnsi="Arial"/>
          <w:sz w:val="16"/>
          <w:szCs w:val="16"/>
          <w:color w:val="auto"/>
        </w:rPr>
        <w:t>None of the Partnership Entities is (i) in violation of its respective organizational or governing documents, (ii) in violation of any applicable statute, law, rule, regulation, judgment, order or decree of any competent court, regulatory body, administrative agency, governmental body, arbitrator or other authority or (iii) in default (or with the giving of notice or lapse of time would be in default) under any existing obligation, agreement, covenant or condition contained in any indenture, mortgage, deed of trust, loan agreement, lease or other agreement or instrument to which any of them is a party or by which any of them is bound or to which any of the properties of any of them is subject, except in each case covered by clauses (ii) and (iii) such as would not result in a Material Adverse Effect or have a material adverse effect on the consummation of the transactions contemplated hereby;</w:t>
      </w:r>
    </w:p>
    <w:p>
      <w:pPr>
        <w:spacing w:after="0" w:line="164" w:lineRule="exact"/>
        <w:rPr>
          <w:rFonts w:ascii="Arial" w:cs="Arial" w:eastAsia="Arial" w:hAnsi="Arial"/>
          <w:sz w:val="16"/>
          <w:szCs w:val="16"/>
          <w:color w:val="auto"/>
        </w:rPr>
      </w:pPr>
    </w:p>
    <w:p>
      <w:pPr>
        <w:ind w:right="40" w:firstLine="656"/>
        <w:spacing w:after="0" w:line="263" w:lineRule="auto"/>
        <w:tabs>
          <w:tab w:leader="none" w:pos="1303" w:val="left"/>
        </w:tabs>
        <w:numPr>
          <w:ilvl w:val="1"/>
          <w:numId w:val="63"/>
        </w:numPr>
        <w:rPr>
          <w:rFonts w:ascii="Arial" w:cs="Arial" w:eastAsia="Arial" w:hAnsi="Arial"/>
          <w:sz w:val="18"/>
          <w:szCs w:val="18"/>
          <w:color w:val="auto"/>
        </w:rPr>
      </w:pPr>
      <w:r>
        <w:rPr>
          <w:rFonts w:ascii="Arial" w:cs="Arial" w:eastAsia="Arial" w:hAnsi="Arial"/>
          <w:sz w:val="18"/>
          <w:szCs w:val="18"/>
          <w:color w:val="auto"/>
        </w:rPr>
        <w:t>None of the Partnership Entities is currently prohibited, directly or indirectly, from paying any cash distributions to any other Partnership Entity, from making any other distribution on such entity’s equity securities, or from transferring any of such entity’s property or assets to any other Partnership Entity, except as described in the Pricing Prospectus;</w:t>
      </w:r>
    </w:p>
    <w:p>
      <w:pPr>
        <w:spacing w:after="0" w:line="183" w:lineRule="exact"/>
        <w:rPr>
          <w:rFonts w:ascii="Arial" w:cs="Arial" w:eastAsia="Arial" w:hAnsi="Arial"/>
          <w:sz w:val="18"/>
          <w:szCs w:val="18"/>
          <w:color w:val="auto"/>
        </w:rPr>
      </w:pPr>
    </w:p>
    <w:p>
      <w:pPr>
        <w:ind w:firstLine="656"/>
        <w:spacing w:after="0" w:line="263" w:lineRule="auto"/>
        <w:tabs>
          <w:tab w:leader="none" w:pos="1307"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There are no contracts, agreements or understandings between the Partnership Parties and any person that would give rise to a valid claim against the Partnership or any Underwriter for a brokerage commission, finder’s fee or other like payment in connection with the issuance and sale of the Securities;</w:t>
      </w:r>
    </w:p>
    <w:p>
      <w:pPr>
        <w:spacing w:after="0" w:line="184" w:lineRule="exact"/>
        <w:rPr>
          <w:sz w:val="20"/>
          <w:szCs w:val="20"/>
          <w:color w:val="auto"/>
        </w:rPr>
      </w:pPr>
    </w:p>
    <w:p>
      <w:pPr>
        <w:ind w:right="240" w:firstLine="656"/>
        <w:spacing w:after="0" w:line="257" w:lineRule="auto"/>
        <w:tabs>
          <w:tab w:leader="none" w:pos="1278"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statements set forth or incorporated by reference in the Pricing Prospectus and Final Prospectus under the captions “Our Cash Distribution Policy and Restrictions on Distributions,” “Description of [Common/Preference/Other] Units”, “Summary of Our Partnership Agreement”, “Material U.S. Federal Income Tax Considerations” and “Non-United States Tax Considerations”, insofar as such statements purport to summarize legal matters, agreements, documents or proceedings discussed therein, are accurate and fair summaries of such legal matters, agreements, documents or proceedings and present the information required to be shown;</w:t>
      </w:r>
    </w:p>
    <w:p>
      <w:pPr>
        <w:spacing w:after="0" w:line="187" w:lineRule="exact"/>
        <w:rPr>
          <w:rFonts w:ascii="Arial" w:cs="Arial" w:eastAsia="Arial" w:hAnsi="Arial"/>
          <w:sz w:val="18"/>
          <w:szCs w:val="18"/>
          <w:color w:val="auto"/>
        </w:rPr>
      </w:pPr>
    </w:p>
    <w:p>
      <w:pPr>
        <w:ind w:right="260" w:firstLine="656"/>
        <w:spacing w:after="0" w:line="263" w:lineRule="auto"/>
        <w:tabs>
          <w:tab w:leader="none" w:pos="1299"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There are no business relationships or related-party transactions involving the Partnership Entities or any other person required to be described in the Registration Statement, Pricing Prospectus and Final Prospectus which have not been described as required or through incorporation by reference therein;</w:t>
      </w:r>
    </w:p>
    <w:p>
      <w:pPr>
        <w:spacing w:after="0" w:line="183" w:lineRule="exact"/>
        <w:rPr>
          <w:rFonts w:ascii="Arial" w:cs="Arial" w:eastAsia="Arial" w:hAnsi="Arial"/>
          <w:sz w:val="18"/>
          <w:szCs w:val="18"/>
          <w:color w:val="auto"/>
        </w:rPr>
      </w:pPr>
    </w:p>
    <w:p>
      <w:pPr>
        <w:jc w:val="both"/>
        <w:ind w:right="60" w:firstLine="656"/>
        <w:spacing w:after="0" w:line="263" w:lineRule="auto"/>
        <w:tabs>
          <w:tab w:leader="none" w:pos="1305"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statistical and market-related data included in the Pricing Prospectus and Final Prospectus are based on or derived from sources that the Partnership Parties reasonably believe to be reliable and accurate, and the Partnership Parties have obtained the written consent for the use of such data from such sources to the extent required;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72" w:name="page73"/>
    <w:bookmarkEnd w:id="72"/>
    <w:p>
      <w:pPr>
        <w:ind w:left="-8" w:right="320" w:firstLine="656"/>
        <w:spacing w:after="0" w:line="308" w:lineRule="auto"/>
        <w:tabs>
          <w:tab w:leader="none" w:pos="1291" w:val="left"/>
        </w:tabs>
        <w:numPr>
          <w:ilvl w:val="1"/>
          <w:numId w:val="65"/>
        </w:numPr>
        <w:rPr>
          <w:rFonts w:ascii="Arial" w:cs="Arial" w:eastAsia="Arial" w:hAnsi="Arial"/>
          <w:sz w:val="17"/>
          <w:szCs w:val="17"/>
          <w:color w:val="auto"/>
        </w:rPr>
      </w:pPr>
      <w:r>
        <w:rPr>
          <w:rFonts w:ascii="Arial" w:cs="Arial" w:eastAsia="Arial" w:hAnsi="Arial"/>
          <w:sz w:val="17"/>
          <w:szCs w:val="17"/>
          <w:color w:val="auto"/>
        </w:rPr>
        <w:t>No forward-looking statement (within the meaning of Section 27A of the Act and Section 21E of the Exchange Act) contained in the Pricing Prospectus has been made or reaffirmed without a reasonable basis or has been disclosed other than in good faith;</w:t>
      </w:r>
    </w:p>
    <w:p>
      <w:pPr>
        <w:spacing w:after="0" w:line="146" w:lineRule="exact"/>
        <w:rPr>
          <w:rFonts w:ascii="Arial" w:cs="Arial" w:eastAsia="Arial" w:hAnsi="Arial"/>
          <w:sz w:val="17"/>
          <w:szCs w:val="17"/>
          <w:color w:val="auto"/>
        </w:rPr>
      </w:pPr>
    </w:p>
    <w:p>
      <w:pPr>
        <w:ind w:left="-8" w:right="60" w:firstLine="656"/>
        <w:spacing w:after="0" w:line="301" w:lineRule="auto"/>
        <w:tabs>
          <w:tab w:leader="none" w:pos="1297" w:val="left"/>
        </w:tabs>
        <w:numPr>
          <w:ilvl w:val="1"/>
          <w:numId w:val="65"/>
        </w:numPr>
        <w:rPr>
          <w:rFonts w:ascii="Arial" w:cs="Arial" w:eastAsia="Arial" w:hAnsi="Arial"/>
          <w:sz w:val="16"/>
          <w:szCs w:val="16"/>
          <w:color w:val="auto"/>
        </w:rPr>
      </w:pPr>
      <w:r>
        <w:rPr>
          <w:rFonts w:ascii="Arial" w:cs="Arial" w:eastAsia="Arial" w:hAnsi="Arial"/>
          <w:sz w:val="16"/>
          <w:szCs w:val="16"/>
          <w:color w:val="auto"/>
        </w:rPr>
        <w:t>There are no legal or governmental proceedings pending to which any of the Partnership Entities is a party or of which any property of the Partnership Entities is the subject or, to the Partnership Parties’ knowledge, after due inquiry, to which any of the Partnership Entities’ directors or executive officers is a party, which, if determined adversely to any such entity, would individually or in the aggregate have a Material Adverse Effect; and, to the Partnership Parties’ knowledge, no such proceedings are threatened or contemplated by governmental authorities or threatened by others;</w:t>
      </w:r>
    </w:p>
    <w:p>
      <w:pPr>
        <w:spacing w:after="0" w:line="157" w:lineRule="exact"/>
        <w:rPr>
          <w:rFonts w:ascii="Arial" w:cs="Arial" w:eastAsia="Arial" w:hAnsi="Arial"/>
          <w:sz w:val="16"/>
          <w:szCs w:val="16"/>
          <w:color w:val="auto"/>
        </w:rPr>
      </w:pPr>
    </w:p>
    <w:p>
      <w:pPr>
        <w:ind w:left="-8" w:firstLine="656"/>
        <w:spacing w:after="0" w:line="283" w:lineRule="auto"/>
        <w:tabs>
          <w:tab w:leader="none" w:pos="1281" w:val="left"/>
        </w:tabs>
        <w:numPr>
          <w:ilvl w:val="1"/>
          <w:numId w:val="65"/>
        </w:numPr>
        <w:rPr>
          <w:rFonts w:ascii="Arial" w:cs="Arial" w:eastAsia="Arial" w:hAnsi="Arial"/>
          <w:sz w:val="16"/>
          <w:szCs w:val="16"/>
          <w:color w:val="auto"/>
        </w:rPr>
      </w:pPr>
      <w:r>
        <w:rPr>
          <w:rFonts w:ascii="Arial" w:cs="Arial" w:eastAsia="Arial" w:hAnsi="Arial"/>
          <w:sz w:val="16"/>
          <w:szCs w:val="16"/>
          <w:color w:val="auto"/>
        </w:rPr>
        <w:t>Other than as set forth in the Pricing Prospectus, (A)(i) to the Partnership Parties’ knowledge, after due inquiry, none of the Partnership Entities is in violation of any applicable United States federal, state, local or non-U.S. statute, law, rule, regulation, ordinance, code, other requirement or rule of law (including common law), or decision or order of any competent domestic or foreign governmental agency, governmental body or court applicable to them, relating to pollution, to the use, handling, transportation, treatment, storage, discharge, disposal or release of Hazardous Substances (as defined below), to the protection or restoration of the environment or natural resources (including biota), to health and safety as such relates to exposure to Hazardous Substances, and to natural resource damages (collectively, “</w:t>
      </w:r>
      <w:r>
        <w:rPr>
          <w:rFonts w:ascii="Arial" w:cs="Arial" w:eastAsia="Arial" w:hAnsi="Arial"/>
          <w:sz w:val="16"/>
          <w:szCs w:val="16"/>
          <w:u w:val="single" w:color="auto"/>
          <w:color w:val="auto"/>
        </w:rPr>
        <w:t>Environmental Laws</w:t>
      </w:r>
      <w:r>
        <w:rPr>
          <w:rFonts w:ascii="Arial" w:cs="Arial" w:eastAsia="Arial" w:hAnsi="Arial"/>
          <w:sz w:val="16"/>
          <w:szCs w:val="16"/>
          <w:color w:val="auto"/>
        </w:rPr>
        <w:t>”), (ii) none of the Partnership Entities owns, operates or leases any real property contaminated with Hazardous Substances, (iii) none of the Partnership Entities is conducting or funding any investigation, remediation, remedial action or monitoring of actual or suspected Hazardous Substances in the environment, (iv) none of the Partnership Entities is liable or allegedly liable for any release or threatened release of Hazardous Substances, including at any off-site treatment, storage or disposal site, (v) none of the Partnership Entities is a party to any claim by any governmental agency or governmental body or person relating to Environmental Laws or Hazardous Substances, and</w:t>
      </w:r>
    </w:p>
    <w:p>
      <w:pPr>
        <w:spacing w:after="0" w:line="4" w:lineRule="exact"/>
        <w:rPr>
          <w:rFonts w:ascii="Arial" w:cs="Arial" w:eastAsia="Arial" w:hAnsi="Arial"/>
          <w:sz w:val="16"/>
          <w:szCs w:val="16"/>
          <w:color w:val="auto"/>
        </w:rPr>
      </w:pPr>
    </w:p>
    <w:p>
      <w:pPr>
        <w:ind w:left="-8" w:firstLine="8"/>
        <w:spacing w:after="0" w:line="268" w:lineRule="auto"/>
        <w:tabs>
          <w:tab w:leader="none" w:pos="297"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Partnership Entities have received and are in compliance with all, and have no liability under any, permits, licenses, authorizations, identification numbers or other approvals required under applicable Environmental Laws to conduct their respective businesses, except in each case covered by clauses (i) - (vi) such as would not individually or in the aggregate have a Material Adverse Effect; (B) to the Partnership Parties’ knowledge, there are no facts or circumstances that would reasonably be expected to result in a violation of, liability under, or claim against the Partnership Entities pursuant to any Environmental Law that would have a Material Adverse Effect; and (C) to the Partnership Parties’ knowledge, there are no requirements proposed for adoption or implementation under any Environmental Law that would reasonably be expected to have a Material Adverse Effect. For purposes of this subsection, “</w:t>
      </w:r>
      <w:r>
        <w:rPr>
          <w:rFonts w:ascii="Arial" w:cs="Arial" w:eastAsia="Arial" w:hAnsi="Arial"/>
          <w:sz w:val="17"/>
          <w:szCs w:val="17"/>
          <w:u w:val="single" w:color="auto"/>
          <w:color w:val="auto"/>
        </w:rPr>
        <w:t>Hazardous Substances</w:t>
      </w:r>
      <w:r>
        <w:rPr>
          <w:rFonts w:ascii="Arial" w:cs="Arial" w:eastAsia="Arial" w:hAnsi="Arial"/>
          <w:sz w:val="17"/>
          <w:szCs w:val="17"/>
          <w:color w:val="auto"/>
        </w:rPr>
        <w:t>” means (x) petroleum and petroleum products, by-products or breakdown products, radioactive materials, asbestos-containing materials, polychlorinated biphenyls and mold and (y) any other chemical, material or substance defined or regulated as toxic or hazardous or as a pollutant, contaminant or waste under Environmental Laws;</w:t>
      </w:r>
    </w:p>
    <w:p>
      <w:pPr>
        <w:spacing w:after="0" w:line="181" w:lineRule="exact"/>
        <w:rPr>
          <w:rFonts w:ascii="Arial" w:cs="Arial" w:eastAsia="Arial" w:hAnsi="Arial"/>
          <w:sz w:val="17"/>
          <w:szCs w:val="17"/>
          <w:color w:val="auto"/>
        </w:rPr>
      </w:pPr>
    </w:p>
    <w:p>
      <w:pPr>
        <w:ind w:left="-8" w:right="100" w:firstLine="656"/>
        <w:spacing w:after="0" w:line="308" w:lineRule="auto"/>
        <w:tabs>
          <w:tab w:leader="none" w:pos="1318" w:val="left"/>
        </w:tabs>
        <w:numPr>
          <w:ilvl w:val="1"/>
          <w:numId w:val="66"/>
        </w:numPr>
        <w:rPr>
          <w:rFonts w:ascii="Arial" w:cs="Arial" w:eastAsia="Arial" w:hAnsi="Arial"/>
          <w:sz w:val="17"/>
          <w:szCs w:val="17"/>
          <w:color w:val="auto"/>
        </w:rPr>
      </w:pPr>
      <w:r>
        <w:rPr>
          <w:rFonts w:ascii="Arial" w:cs="Arial" w:eastAsia="Arial" w:hAnsi="Arial"/>
          <w:sz w:val="17"/>
          <w:szCs w:val="17"/>
          <w:color w:val="auto"/>
        </w:rPr>
        <w:t>Other than as set forth in the Pricing Prospectus, the Partnership Parties have reasonably concluded that none of the Partnership Entities has incurred any costs or liabilities associated with Environmental Laws (including, without limitation, any capital or operating</w:t>
      </w:r>
    </w:p>
    <w:p>
      <w:pPr>
        <w:spacing w:after="0" w:line="146"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532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92"/>
          </w:cols>
          <w:pgMar w:left="328" w:top="341" w:right="379" w:bottom="1440" w:gutter="0" w:footer="0" w:header="0"/>
        </w:sectPr>
      </w:pPr>
    </w:p>
    <w:bookmarkStart w:id="73" w:name="page74"/>
    <w:bookmarkEnd w:id="73"/>
    <w:p>
      <w:pPr>
        <w:spacing w:after="0" w:line="342" w:lineRule="auto"/>
        <w:rPr>
          <w:sz w:val="20"/>
          <w:szCs w:val="20"/>
          <w:color w:val="auto"/>
        </w:rPr>
      </w:pPr>
      <w:r>
        <w:rPr>
          <w:rFonts w:ascii="Arial" w:cs="Arial" w:eastAsia="Arial" w:hAnsi="Arial"/>
          <w:sz w:val="16"/>
          <w:szCs w:val="16"/>
          <w:color w:val="auto"/>
        </w:rPr>
        <w:t>expenditures required for clean-up, closure of properties or compliance with Environmental Laws or any permit, license or approval, any related constraints on operating activities and any potential liabilities to third parties) which would, individually or in the aggregate, have a Material Adverse Effect;</w:t>
      </w:r>
    </w:p>
    <w:p>
      <w:pPr>
        <w:spacing w:after="0" w:line="124" w:lineRule="exact"/>
        <w:rPr>
          <w:sz w:val="20"/>
          <w:szCs w:val="20"/>
          <w:color w:val="auto"/>
        </w:rPr>
      </w:pPr>
    </w:p>
    <w:p>
      <w:pPr>
        <w:ind w:right="80" w:firstLine="656"/>
        <w:spacing w:after="0" w:line="275" w:lineRule="auto"/>
        <w:tabs>
          <w:tab w:leader="none" w:pos="1299" w:val="left"/>
        </w:tabs>
        <w:numPr>
          <w:ilvl w:val="0"/>
          <w:numId w:val="67"/>
        </w:numPr>
        <w:rPr>
          <w:rFonts w:ascii="Arial" w:cs="Arial" w:eastAsia="Arial" w:hAnsi="Arial"/>
          <w:sz w:val="17"/>
          <w:szCs w:val="17"/>
          <w:color w:val="auto"/>
        </w:rPr>
      </w:pPr>
      <w:r>
        <w:rPr>
          <w:rFonts w:ascii="Arial" w:cs="Arial" w:eastAsia="Arial" w:hAnsi="Arial"/>
          <w:sz w:val="17"/>
          <w:szCs w:val="17"/>
          <w:color w:val="auto"/>
        </w:rPr>
        <w:t>Other than as set forth in the Pricing Prospectus, the Partnership Entities possess all certificates, authorizations and permits issued by the appropriate federal, state or foreign regulatory authorities as necessary for the Partnership Entities to conduct their respective businesses as currently conducted, except as would not individually or in the aggregate have a Material Adverse Effect; and none of the Partnership Entities has received any notice of proceedings relating to the revocation or modification of any such certificate, authorization or permit which, individually or in the aggregate, if the subject of an unfavorable decision, ruling or finding, would have a Material Adverse Effect;</w:t>
      </w:r>
    </w:p>
    <w:p>
      <w:pPr>
        <w:spacing w:after="0" w:line="176" w:lineRule="exact"/>
        <w:rPr>
          <w:rFonts w:ascii="Arial" w:cs="Arial" w:eastAsia="Arial" w:hAnsi="Arial"/>
          <w:sz w:val="17"/>
          <w:szCs w:val="17"/>
          <w:color w:val="auto"/>
        </w:rPr>
      </w:pPr>
    </w:p>
    <w:p>
      <w:pPr>
        <w:ind w:right="20" w:firstLine="656"/>
        <w:spacing w:after="0" w:line="275" w:lineRule="auto"/>
        <w:tabs>
          <w:tab w:leader="none" w:pos="1327"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Partnership Entities own or possess, or hold a right or license to use, or can acquire on reasonable terms, all material patents, patent rights, licenses, inventions, copyrights, know-how (including trade secrets and other unpatented and/or unpatentable proprietary or confidential information, systems or procedures), trademarks, service marks and trade names currently employed by them in connection with the business now operated by them, and none of the Partnership Entities has received any notice of infringement of or conflict with asserted rights of others with respect to any of the foregoing, which if the subject of an unfavorable decision, ruling or finding, would have a Material Adverse Effect;</w:t>
      </w:r>
    </w:p>
    <w:p>
      <w:pPr>
        <w:spacing w:after="0" w:line="176" w:lineRule="exact"/>
        <w:rPr>
          <w:rFonts w:ascii="Arial" w:cs="Arial" w:eastAsia="Arial" w:hAnsi="Arial"/>
          <w:sz w:val="17"/>
          <w:szCs w:val="17"/>
          <w:color w:val="auto"/>
        </w:rPr>
      </w:pPr>
    </w:p>
    <w:p>
      <w:pPr>
        <w:ind w:right="420" w:firstLine="656"/>
        <w:spacing w:after="0" w:line="277" w:lineRule="auto"/>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 material labor dispute, work stoppage, slow down or other conflict with the employees of the Partnership Parties exists or, to the Partnership Parties’ knowledge, is threatened or contemplated;</w:t>
      </w:r>
    </w:p>
    <w:p>
      <w:pPr>
        <w:spacing w:after="0" w:line="170" w:lineRule="exact"/>
        <w:rPr>
          <w:rFonts w:ascii="Arial" w:cs="Arial" w:eastAsia="Arial" w:hAnsi="Arial"/>
          <w:sz w:val="18"/>
          <w:szCs w:val="18"/>
          <w:color w:val="auto"/>
        </w:rPr>
      </w:pPr>
    </w:p>
    <w:p>
      <w:pPr>
        <w:ind w:right="40" w:firstLine="656"/>
        <w:spacing w:after="0" w:line="257" w:lineRule="auto"/>
        <w:tabs>
          <w:tab w:leader="none" w:pos="1299"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Partnership Entities and the Vessels are insured by insurers of recognized financial responsibility against such losses and risks and in such amounts as are prudent and customary in the businesses in which they are engaged; none of the Partnership Entities has been refused any insurance coverage sought or applied for; and none of the Partnership Entities has any reason to believe that it will not be able to renew its existing insurance coverage as and when such coverage expires or to obtain similar coverage from similar insurers as may be necessary to continue its business at a cost that would not have a Material Adverse Effect;</w:t>
      </w:r>
    </w:p>
    <w:p>
      <w:pPr>
        <w:spacing w:after="0" w:line="187" w:lineRule="exact"/>
        <w:rPr>
          <w:rFonts w:ascii="Arial" w:cs="Arial" w:eastAsia="Arial" w:hAnsi="Arial"/>
          <w:sz w:val="18"/>
          <w:szCs w:val="18"/>
          <w:color w:val="auto"/>
        </w:rPr>
      </w:pPr>
    </w:p>
    <w:p>
      <w:pPr>
        <w:ind w:right="200" w:firstLine="656"/>
        <w:spacing w:after="0" w:line="277" w:lineRule="auto"/>
        <w:tabs>
          <w:tab w:leader="none" w:pos="1327"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None of the Partnership Entities has any off-balance sheet arrangements, except as described in the Registration Statement, the Pricing Prospectus and the Final Prospectus;</w:t>
      </w:r>
    </w:p>
    <w:p>
      <w:pPr>
        <w:spacing w:after="0" w:line="170" w:lineRule="exact"/>
        <w:rPr>
          <w:rFonts w:ascii="Arial" w:cs="Arial" w:eastAsia="Arial" w:hAnsi="Arial"/>
          <w:sz w:val="18"/>
          <w:szCs w:val="18"/>
          <w:color w:val="auto"/>
        </w:rPr>
      </w:pPr>
    </w:p>
    <w:p>
      <w:pPr>
        <w:ind w:right="100" w:firstLine="656"/>
        <w:spacing w:after="0" w:line="273" w:lineRule="auto"/>
        <w:tabs>
          <w:tab w:leader="none" w:pos="1291" w:val="left"/>
        </w:tabs>
        <w:numPr>
          <w:ilvl w:val="0"/>
          <w:numId w:val="67"/>
        </w:numPr>
        <w:rPr>
          <w:rFonts w:ascii="Arial" w:cs="Arial" w:eastAsia="Arial" w:hAnsi="Arial"/>
          <w:sz w:val="17"/>
          <w:szCs w:val="17"/>
          <w:color w:val="auto"/>
        </w:rPr>
      </w:pPr>
      <w:r>
        <w:rPr>
          <w:rFonts w:ascii="Arial" w:cs="Arial" w:eastAsia="Arial" w:hAnsi="Arial"/>
          <w:sz w:val="17"/>
          <w:szCs w:val="17"/>
          <w:color w:val="auto"/>
        </w:rPr>
        <w:t>(A) None of the Partnership Entities or, to the Partnership Parties’ knowledge, any of their respective directors, executive officers, affiliates, employees or agents or other persons associated with or acting on behalf of the Partnership Entities: (i) knowingly does any business with or involving the government of, or any person or project located in, any country targeted by any of the economic sanctions promulgated by any Executive Order issued by the President of the United States or administered by the United States Treasury Department’s Office of Foreign Assets Control (the “</w:t>
      </w:r>
      <w:r>
        <w:rPr>
          <w:rFonts w:ascii="Arial" w:cs="Arial" w:eastAsia="Arial" w:hAnsi="Arial"/>
          <w:sz w:val="17"/>
          <w:szCs w:val="17"/>
          <w:u w:val="single" w:color="auto"/>
          <w:color w:val="auto"/>
        </w:rPr>
        <w:t>OFAC</w:t>
      </w:r>
      <w:r>
        <w:rPr>
          <w:rFonts w:ascii="Arial" w:cs="Arial" w:eastAsia="Arial" w:hAnsi="Arial"/>
          <w:sz w:val="17"/>
          <w:szCs w:val="17"/>
          <w:color w:val="auto"/>
        </w:rPr>
        <w:t>”) (collectively, “</w:t>
      </w:r>
      <w:r>
        <w:rPr>
          <w:rFonts w:ascii="Arial" w:cs="Arial" w:eastAsia="Arial" w:hAnsi="Arial"/>
          <w:sz w:val="17"/>
          <w:szCs w:val="17"/>
          <w:u w:val="single" w:color="auto"/>
          <w:color w:val="auto"/>
        </w:rPr>
        <w:t>Sanctions</w:t>
      </w:r>
      <w:r>
        <w:rPr>
          <w:rFonts w:ascii="Arial" w:cs="Arial" w:eastAsia="Arial" w:hAnsi="Arial"/>
          <w:sz w:val="17"/>
          <w:szCs w:val="17"/>
          <w:color w:val="auto"/>
        </w:rPr>
        <w:t>”); or (ii) knowingly supports or facilitates any such business or project, in each case other than as permitted under such economic sanctions; (B) none of the Partnership Parties is controlled (within the meaning of the Executive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74" w:name="page75"/>
    <w:bookmarkEnd w:id="74"/>
    <w:p>
      <w:pPr>
        <w:ind w:right="80"/>
        <w:spacing w:after="0" w:line="254" w:lineRule="auto"/>
        <w:rPr>
          <w:sz w:val="20"/>
          <w:szCs w:val="20"/>
          <w:color w:val="auto"/>
        </w:rPr>
      </w:pPr>
      <w:r>
        <w:rPr>
          <w:rFonts w:ascii="Arial" w:cs="Arial" w:eastAsia="Arial" w:hAnsi="Arial"/>
          <w:sz w:val="18"/>
          <w:szCs w:val="18"/>
          <w:color w:val="auto"/>
        </w:rPr>
        <w:t>Orders or regulations promulgating such economic sanctions or the laws authorizing such promulgation) by any such government or person; (C) the proceeds from the offering of the Securities contemplated hereby will not be used to fund any operations in, to finance any investments, projects or activities in, or to make any payments to, any country, or to make any payments to, or finance any activities with, any person targeted by any of such economic sanctions; and (D) the Partnership Parties maintain and have implemented adequate internal controls and procedures to monitor and audit transactions that are reasonably designed to detect and prevent any use of the proceeds from the offering of the Securities contemplated hereby that is inconsistent with any of the representations and obligations under clause (C) of this paragraph or in the Registration Statement, Pricing Prospectus or Final Prospectus;</w:t>
      </w:r>
    </w:p>
    <w:p>
      <w:pPr>
        <w:spacing w:after="0" w:line="195" w:lineRule="exact"/>
        <w:rPr>
          <w:sz w:val="20"/>
          <w:szCs w:val="20"/>
          <w:color w:val="auto"/>
        </w:rPr>
      </w:pPr>
    </w:p>
    <w:p>
      <w:pPr>
        <w:ind w:right="120" w:firstLine="656"/>
        <w:spacing w:after="0" w:line="270" w:lineRule="auto"/>
        <w:tabs>
          <w:tab w:leader="none" w:pos="1299" w:val="left"/>
        </w:tabs>
        <w:numPr>
          <w:ilvl w:val="0"/>
          <w:numId w:val="68"/>
        </w:numPr>
        <w:rPr>
          <w:rFonts w:ascii="Arial" w:cs="Arial" w:eastAsia="Arial" w:hAnsi="Arial"/>
          <w:sz w:val="17"/>
          <w:szCs w:val="17"/>
          <w:color w:val="auto"/>
        </w:rPr>
      </w:pPr>
      <w:r>
        <w:rPr>
          <w:rFonts w:ascii="Arial" w:cs="Arial" w:eastAsia="Arial" w:hAnsi="Arial"/>
          <w:sz w:val="17"/>
          <w:szCs w:val="17"/>
          <w:color w:val="auto"/>
        </w:rPr>
        <w:t>None of the Partnership Entities or, to the Partnership Parties’ knowledge, any of their respective directors, executive officers, affiliates, employees or agents or other persons associated with or acting on behalf of the Partnership Entities, has taken any action in furtherance of an offer, payment, promise to pay, or authorization or approval of the payment or giving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to influence official action or secure an improper advantage in violation of any applicable law; and the Partnership Entities and, to the knowledge of the Partnership Parties, their respective affiliates have conducted their businesses in compliance with applicable anti-corruption laws and have instituted and maintain and will continue to maintain policies and procedures designed to promote and achieve compliance with such laws and with the representation and warranty contained herein;</w:t>
      </w:r>
    </w:p>
    <w:p>
      <w:pPr>
        <w:spacing w:after="0" w:line="180" w:lineRule="exact"/>
        <w:rPr>
          <w:rFonts w:ascii="Arial" w:cs="Arial" w:eastAsia="Arial" w:hAnsi="Arial"/>
          <w:sz w:val="17"/>
          <w:szCs w:val="17"/>
          <w:color w:val="auto"/>
        </w:rPr>
      </w:pPr>
    </w:p>
    <w:p>
      <w:pPr>
        <w:ind w:right="20" w:firstLine="656"/>
        <w:spacing w:after="0" w:line="291" w:lineRule="auto"/>
        <w:tabs>
          <w:tab w:leader="none" w:pos="1299"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operations of the Partnership Entities, are and have been conducted at all times in compliance with applicable financial recordkeeping and reporting requirements, including to the extent applicable those of the Currency and Foreign Transactions Reporting Act of 1970, as amended, the Bank Secrecy Act, as amended by Title III of the Uniting and Strengthening America by Providing Appropriate Tools Required to Intercept and Obstruct Terrorism Act of 2001 (USA PATRIOT Act), the money laundering statutes of all jurisdictions, the rules and regulations thereunder and any related or similar rules, regulations or guidelines, issued, administered or enforced by any governmental agency (collectively, the “</w:t>
      </w:r>
      <w:r>
        <w:rPr>
          <w:rFonts w:ascii="Arial" w:cs="Arial" w:eastAsia="Arial" w:hAnsi="Arial"/>
          <w:sz w:val="16"/>
          <w:szCs w:val="16"/>
          <w:u w:val="single" w:color="auto"/>
          <w:color w:val="auto"/>
        </w:rPr>
        <w:t>Money Laundering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Laws</w:t>
      </w:r>
      <w:r>
        <w:rPr>
          <w:rFonts w:ascii="Arial" w:cs="Arial" w:eastAsia="Arial" w:hAnsi="Arial"/>
          <w:sz w:val="16"/>
          <w:szCs w:val="16"/>
          <w:color w:val="auto"/>
        </w:rPr>
        <w:t>”); and no action, suit or proceeding by or before any court or governmental agency, authority or body or any arbitrator or non-governmental authority involving the Partnership Entities with respect to the Money Laundering Laws is pending or, to the Partnership Parties’ knowledge, threatened;</w:t>
      </w:r>
    </w:p>
    <w:p>
      <w:pPr>
        <w:spacing w:after="0" w:line="166" w:lineRule="exact"/>
        <w:rPr>
          <w:rFonts w:ascii="Arial" w:cs="Arial" w:eastAsia="Arial" w:hAnsi="Arial"/>
          <w:sz w:val="16"/>
          <w:szCs w:val="16"/>
          <w:color w:val="auto"/>
        </w:rPr>
      </w:pPr>
    </w:p>
    <w:p>
      <w:pPr>
        <w:ind w:right="80" w:firstLine="656"/>
        <w:spacing w:after="0" w:line="259" w:lineRule="auto"/>
        <w:tabs>
          <w:tab w:leader="none" w:pos="1299" w:val="left"/>
        </w:tabs>
        <w:numPr>
          <w:ilvl w:val="0"/>
          <w:numId w:val="68"/>
        </w:numPr>
        <w:rPr>
          <w:rFonts w:ascii="Arial" w:cs="Arial" w:eastAsia="Arial" w:hAnsi="Arial"/>
          <w:sz w:val="18"/>
          <w:szCs w:val="18"/>
          <w:color w:val="auto"/>
        </w:rPr>
      </w:pPr>
      <w:r>
        <w:rPr>
          <w:rFonts w:ascii="Arial" w:cs="Arial" w:eastAsia="Arial" w:hAnsi="Arial"/>
          <w:sz w:val="18"/>
          <w:szCs w:val="18"/>
          <w:color w:val="auto"/>
        </w:rPr>
        <w:t>As of the effective date of the Registration Statement, the Partnership and, to the knowledge of the Partnership Parties, the officers and directors of the Partnership, in their capacities as such, were, and at the First Time of Delivery will be, in compliance in all material respects with all applicable provisions of the Sarbanes-Oxley Act of 2002 and the rules and regulations promulgated in connection therewith that are then in effect and with which any of them is required to comply, including Section 402 related to loans;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300" w:hanging="644"/>
        <w:spacing w:after="0"/>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There are no restrictions on subsequent transfers of the Securities under the laws of the Republic of the Marshall Islands;</w:t>
      </w:r>
    </w:p>
    <w:p>
      <w:pPr>
        <w:spacing w:after="0" w:line="225" w:lineRule="exact"/>
        <w:rPr>
          <w:rFonts w:ascii="Arial" w:cs="Arial" w:eastAsia="Arial" w:hAnsi="Arial"/>
          <w:sz w:val="18"/>
          <w:szCs w:val="18"/>
          <w:color w:val="auto"/>
        </w:rPr>
      </w:pPr>
    </w:p>
    <w:p>
      <w:pPr>
        <w:ind w:firstLine="656"/>
        <w:spacing w:after="0" w:line="259" w:lineRule="auto"/>
        <w:tabs>
          <w:tab w:leader="none" w:pos="13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Except as disclosed in the Pricing Prospectus, there are no contracts, agreements or understandings between the Partnership Parties and any person granting such person the right to require any of the Partnership Parties to file a registration statement under the Act with respect to any securities of the Partnership Entities or to require the Partnership Parties to include such securities with the securities registered pursuant to the Registration Statement;</w:t>
      </w:r>
    </w:p>
    <w:p>
      <w:pPr>
        <w:spacing w:after="0" w:line="186" w:lineRule="exact"/>
        <w:rPr>
          <w:rFonts w:ascii="Arial" w:cs="Arial" w:eastAsia="Arial" w:hAnsi="Arial"/>
          <w:sz w:val="18"/>
          <w:szCs w:val="18"/>
          <w:color w:val="auto"/>
        </w:rPr>
      </w:pPr>
    </w:p>
    <w:p>
      <w:pPr>
        <w:ind w:right="580" w:firstLine="656"/>
        <w:spacing w:after="0" w:line="277" w:lineRule="auto"/>
        <w:tabs>
          <w:tab w:leader="none" w:pos="1313"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Partnership shall use commercially reasonable efforts to effect the admission, listing and trading of the [</w:t>
      </w:r>
      <w:r>
        <w:rPr>
          <w:rFonts w:ascii="Arial" w:cs="Arial" w:eastAsia="Arial" w:hAnsi="Arial"/>
          <w:sz w:val="18"/>
          <w:szCs w:val="18"/>
          <w:i w:val="1"/>
          <w:iCs w:val="1"/>
          <w:color w:val="auto"/>
        </w:rPr>
        <w:t>Insert title of Offered</w:t>
      </w:r>
      <w:r>
        <w:rPr>
          <w:rFonts w:ascii="Arial" w:cs="Arial" w:eastAsia="Arial" w:hAnsi="Arial"/>
          <w:sz w:val="18"/>
          <w:szCs w:val="18"/>
          <w:color w:val="auto"/>
        </w:rPr>
        <w:t xml:space="preserve"> </w:t>
      </w:r>
      <w:r>
        <w:rPr>
          <w:rFonts w:ascii="Arial" w:cs="Arial" w:eastAsia="Arial" w:hAnsi="Arial"/>
          <w:sz w:val="18"/>
          <w:szCs w:val="18"/>
          <w:i w:val="1"/>
          <w:iCs w:val="1"/>
          <w:color w:val="auto"/>
        </w:rPr>
        <w:t>Securities</w:t>
      </w:r>
      <w:r>
        <w:rPr>
          <w:rFonts w:ascii="Arial" w:cs="Arial" w:eastAsia="Arial" w:hAnsi="Arial"/>
          <w:sz w:val="18"/>
          <w:szCs w:val="18"/>
          <w:color w:val="auto"/>
        </w:rPr>
        <w:t>] on the New York Stock Exchange (the “</w:t>
      </w:r>
      <w:r>
        <w:rPr>
          <w:rFonts w:ascii="Arial" w:cs="Arial" w:eastAsia="Arial" w:hAnsi="Arial"/>
          <w:sz w:val="18"/>
          <w:szCs w:val="18"/>
          <w:u w:val="single" w:color="auto"/>
          <w:color w:val="auto"/>
        </w:rPr>
        <w:t>Exchange</w:t>
      </w:r>
      <w:r>
        <w:rPr>
          <w:rFonts w:ascii="Arial" w:cs="Arial" w:eastAsia="Arial" w:hAnsi="Arial"/>
          <w:sz w:val="18"/>
          <w:szCs w:val="18"/>
          <w:color w:val="auto"/>
        </w:rPr>
        <w:t>”), within 30 days of the of the First Time of Delivery];</w:t>
      </w:r>
    </w:p>
    <w:p>
      <w:pPr>
        <w:spacing w:after="0" w:line="170" w:lineRule="exact"/>
        <w:rPr>
          <w:rFonts w:ascii="Arial" w:cs="Arial" w:eastAsia="Arial" w:hAnsi="Arial"/>
          <w:sz w:val="18"/>
          <w:szCs w:val="18"/>
          <w:color w:val="auto"/>
        </w:rPr>
      </w:pPr>
    </w:p>
    <w:p>
      <w:pPr>
        <w:ind w:right="280" w:firstLine="656"/>
        <w:spacing w:after="0" w:line="342" w:lineRule="auto"/>
        <w:tabs>
          <w:tab w:leader="none" w:pos="13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Partnership Parties have taken all necessary actions to comply with all applicable corporate governance requirements of the Exchange that are, or will be, applicable to the Partnership, except for such requirements that have been waived and disclosed in the Pricing Prospectus;</w:t>
      </w:r>
    </w:p>
    <w:p>
      <w:pPr>
        <w:spacing w:after="0" w:line="123" w:lineRule="exact"/>
        <w:rPr>
          <w:rFonts w:ascii="Arial" w:cs="Arial" w:eastAsia="Arial" w:hAnsi="Arial"/>
          <w:sz w:val="16"/>
          <w:szCs w:val="16"/>
          <w:color w:val="auto"/>
        </w:rPr>
      </w:pPr>
    </w:p>
    <w:p>
      <w:pPr>
        <w:ind w:right="60" w:firstLine="656"/>
        <w:spacing w:after="0" w:line="311" w:lineRule="auto"/>
        <w:tabs>
          <w:tab w:leader="none" w:pos="1299" w:val="left"/>
        </w:tabs>
        <w:numPr>
          <w:ilvl w:val="0"/>
          <w:numId w:val="69"/>
        </w:numPr>
        <w:rPr>
          <w:rFonts w:ascii="Arial" w:cs="Arial" w:eastAsia="Arial" w:hAnsi="Arial"/>
          <w:sz w:val="16"/>
          <w:szCs w:val="16"/>
          <w:color w:val="auto"/>
        </w:rPr>
      </w:pPr>
      <w:r>
        <w:rPr>
          <w:rFonts w:ascii="Arial" w:cs="Arial" w:eastAsia="Arial" w:hAnsi="Arial"/>
          <w:sz w:val="16"/>
          <w:szCs w:val="16"/>
          <w:color w:val="auto"/>
        </w:rPr>
        <w:t>Except as described in the Pricing Prospectus, the Partnership has not sold, issued or distributed any Securities during the six-month period preceding the date hereof, including any sales pursuant to Rule 144A or Regulation D or S under the Act, other than Common Units issued pursuant to employee benefit plans, qualified option plans or other employee compensation plans or pursuant to outstanding options, rights or warrants;</w:t>
      </w:r>
    </w:p>
    <w:p>
      <w:pPr>
        <w:spacing w:after="0" w:line="148" w:lineRule="exact"/>
        <w:rPr>
          <w:rFonts w:ascii="Arial" w:cs="Arial" w:eastAsia="Arial" w:hAnsi="Arial"/>
          <w:sz w:val="16"/>
          <w:szCs w:val="16"/>
          <w:color w:val="auto"/>
        </w:rPr>
      </w:pPr>
    </w:p>
    <w:p>
      <w:pPr>
        <w:ind w:right="120" w:firstLine="656"/>
        <w:spacing w:after="0" w:line="263" w:lineRule="auto"/>
        <w:tabs>
          <w:tab w:leader="none" w:pos="1299" w:val="left"/>
        </w:tabs>
        <w:numPr>
          <w:ilvl w:val="0"/>
          <w:numId w:val="69"/>
        </w:numPr>
        <w:rPr>
          <w:rFonts w:ascii="Arial" w:cs="Arial" w:eastAsia="Arial" w:hAnsi="Arial"/>
          <w:sz w:val="18"/>
          <w:szCs w:val="18"/>
          <w:color w:val="auto"/>
        </w:rPr>
      </w:pPr>
      <w:r>
        <w:rPr>
          <w:rFonts w:ascii="Arial" w:cs="Arial" w:eastAsia="Arial" w:hAnsi="Arial"/>
          <w:sz w:val="18"/>
          <w:szCs w:val="18"/>
          <w:color w:val="auto"/>
        </w:rPr>
        <w:t>None of the Partnership Entities has taken, directly or indirectly, any action which was designed to or which has constituted or which might reasonably be expected to cause or result in stabilization or manipulation of the price of any security of the Partnership to facilitate the sale or resale of the Securities;</w:t>
      </w:r>
    </w:p>
    <w:p>
      <w:pPr>
        <w:spacing w:after="0" w:line="183" w:lineRule="exact"/>
        <w:rPr>
          <w:rFonts w:ascii="Arial" w:cs="Arial" w:eastAsia="Arial" w:hAnsi="Arial"/>
          <w:sz w:val="18"/>
          <w:szCs w:val="18"/>
          <w:color w:val="auto"/>
        </w:rPr>
      </w:pPr>
    </w:p>
    <w:p>
      <w:pPr>
        <w:ind w:right="220" w:firstLine="656"/>
        <w:spacing w:after="0" w:line="311" w:lineRule="auto"/>
        <w:tabs>
          <w:tab w:leader="none" w:pos="1325" w:val="left"/>
        </w:tabs>
        <w:numPr>
          <w:ilvl w:val="0"/>
          <w:numId w:val="69"/>
        </w:numPr>
        <w:rPr>
          <w:rFonts w:ascii="Arial" w:cs="Arial" w:eastAsia="Arial" w:hAnsi="Arial"/>
          <w:sz w:val="16"/>
          <w:szCs w:val="16"/>
          <w:color w:val="auto"/>
        </w:rPr>
      </w:pPr>
      <w:r>
        <w:rPr>
          <w:rFonts w:ascii="Arial" w:cs="Arial" w:eastAsia="Arial" w:hAnsi="Arial"/>
          <w:sz w:val="16"/>
          <w:szCs w:val="16"/>
          <w:color w:val="auto"/>
        </w:rPr>
        <w:t>Subsequent to the execution and delivery of this Agreement, there shall not have occurred any downgrading in the rating of any debt securities of the Partnership Parties by any “nationally recognized statistical rating organization” (as defined in Section 3(a)(62) of the Exchange Act), or any public announcement that any such organization has under surveillance or review its rating of any debt securities of the Partnership Parties;</w:t>
      </w:r>
    </w:p>
    <w:p>
      <w:pPr>
        <w:spacing w:after="0" w:line="148" w:lineRule="exact"/>
        <w:rPr>
          <w:rFonts w:ascii="Arial" w:cs="Arial" w:eastAsia="Arial" w:hAnsi="Arial"/>
          <w:sz w:val="16"/>
          <w:szCs w:val="16"/>
          <w:color w:val="auto"/>
        </w:rPr>
      </w:pPr>
    </w:p>
    <w:p>
      <w:pPr>
        <w:ind w:right="280" w:firstLine="656"/>
        <w:spacing w:after="0" w:line="342" w:lineRule="auto"/>
        <w:tabs>
          <w:tab w:leader="none" w:pos="1299"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Partnership is not and, after giving effect to the offering and sale of the Securities and the application of the proceeds thereof, will not be required to register as an “investment company”, as such term is defined in the Investment Company Act of 1940, as amended;</w:t>
      </w:r>
    </w:p>
    <w:p>
      <w:pPr>
        <w:spacing w:after="0" w:line="123" w:lineRule="exact"/>
        <w:rPr>
          <w:rFonts w:ascii="Arial" w:cs="Arial" w:eastAsia="Arial" w:hAnsi="Arial"/>
          <w:sz w:val="16"/>
          <w:szCs w:val="16"/>
          <w:color w:val="auto"/>
        </w:rPr>
      </w:pPr>
    </w:p>
    <w:p>
      <w:pPr>
        <w:ind w:firstLine="656"/>
        <w:spacing w:after="0" w:line="277" w:lineRule="auto"/>
        <w:tabs>
          <w:tab w:leader="none" w:pos="1299" w:val="left"/>
        </w:tabs>
        <w:numPr>
          <w:ilvl w:val="0"/>
          <w:numId w:val="69"/>
        </w:numPr>
        <w:rPr>
          <w:rFonts w:ascii="Arial" w:cs="Arial" w:eastAsia="Arial" w:hAnsi="Arial"/>
          <w:sz w:val="18"/>
          <w:szCs w:val="18"/>
          <w:color w:val="auto"/>
        </w:rPr>
      </w:pPr>
      <w:r>
        <w:rPr>
          <w:rFonts w:ascii="Arial" w:cs="Arial" w:eastAsia="Arial" w:hAnsi="Arial"/>
          <w:sz w:val="18"/>
          <w:szCs w:val="18"/>
          <w:color w:val="auto"/>
        </w:rPr>
        <w:t>At the time of filing the Registration Statement and as of the Applicable Time, the Partnership was not and is not an “ineligible issuer”, as defined under Rule 405 under the Act;</w:t>
      </w:r>
    </w:p>
    <w:p>
      <w:pPr>
        <w:spacing w:after="0" w:line="170" w:lineRule="exact"/>
        <w:rPr>
          <w:rFonts w:ascii="Arial" w:cs="Arial" w:eastAsia="Arial" w:hAnsi="Arial"/>
          <w:sz w:val="18"/>
          <w:szCs w:val="18"/>
          <w:color w:val="auto"/>
        </w:rPr>
      </w:pPr>
    </w:p>
    <w:p>
      <w:pPr>
        <w:ind w:right="20" w:firstLine="656"/>
        <w:spacing w:after="0" w:line="308" w:lineRule="auto"/>
        <w:tabs>
          <w:tab w:leader="none" w:pos="1305" w:val="left"/>
        </w:tabs>
        <w:numPr>
          <w:ilvl w:val="0"/>
          <w:numId w:val="69"/>
        </w:numPr>
        <w:rPr>
          <w:rFonts w:ascii="Arial" w:cs="Arial" w:eastAsia="Arial" w:hAnsi="Arial"/>
          <w:sz w:val="17"/>
          <w:szCs w:val="17"/>
          <w:color w:val="auto"/>
        </w:rPr>
      </w:pPr>
      <w:r>
        <w:rPr>
          <w:rFonts w:ascii="Arial" w:cs="Arial" w:eastAsia="Arial" w:hAnsi="Arial"/>
          <w:sz w:val="17"/>
          <w:szCs w:val="17"/>
          <w:color w:val="auto"/>
        </w:rPr>
        <w:t>As described in the Registration Statement and subject to the limitations and restrictions described therein, the Partnership Parties believe that the Partnership should not be a “passive foreign investment company” as defined in the Internal Revenue Code of 1986, as amended;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997" w:gutter="0" w:footer="0" w:header="0"/>
        </w:sectPr>
      </w:pPr>
    </w:p>
    <w:bookmarkStart w:id="75" w:name="page76"/>
    <w:bookmarkEnd w:id="75"/>
    <w:p>
      <w:pPr>
        <w:ind w:left="1272" w:hanging="624"/>
        <w:spacing w:after="0"/>
        <w:tabs>
          <w:tab w:leader="none" w:pos="1272"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Partnership is a “foreign private issuer” as defined in Rule 405 under the Act;</w:t>
      </w:r>
    </w:p>
    <w:p>
      <w:pPr>
        <w:spacing w:after="0" w:line="225" w:lineRule="exact"/>
        <w:rPr>
          <w:rFonts w:ascii="Arial" w:cs="Arial" w:eastAsia="Arial" w:hAnsi="Arial"/>
          <w:sz w:val="18"/>
          <w:szCs w:val="18"/>
          <w:color w:val="auto"/>
        </w:rPr>
      </w:pPr>
    </w:p>
    <w:p>
      <w:pPr>
        <w:ind w:left="-8" w:right="180" w:firstLine="656"/>
        <w:spacing w:after="0" w:line="291" w:lineRule="auto"/>
        <w:tabs>
          <w:tab w:leader="none" w:pos="1286" w:val="left"/>
        </w:tabs>
        <w:numPr>
          <w:ilvl w:val="1"/>
          <w:numId w:val="70"/>
        </w:numPr>
        <w:rPr>
          <w:rFonts w:ascii="Arial" w:cs="Arial" w:eastAsia="Arial" w:hAnsi="Arial"/>
          <w:sz w:val="16"/>
          <w:szCs w:val="16"/>
          <w:color w:val="auto"/>
        </w:rPr>
      </w:pPr>
      <w:r>
        <w:rPr>
          <w:rFonts w:ascii="Arial" w:cs="Arial" w:eastAsia="Arial" w:hAnsi="Arial"/>
          <w:sz w:val="16"/>
          <w:szCs w:val="16"/>
          <w:color w:val="auto"/>
        </w:rPr>
        <w:t>Except as described in the Pricing Prospectus, there are no affiliations or associations between any member of the Financial Industry Regulatory Authority (“</w:t>
      </w:r>
      <w:r>
        <w:rPr>
          <w:rFonts w:ascii="Arial" w:cs="Arial" w:eastAsia="Arial" w:hAnsi="Arial"/>
          <w:sz w:val="16"/>
          <w:szCs w:val="16"/>
          <w:u w:val="single" w:color="auto"/>
          <w:color w:val="auto"/>
        </w:rPr>
        <w:t>FINRA</w:t>
      </w:r>
      <w:r>
        <w:rPr>
          <w:rFonts w:ascii="Arial" w:cs="Arial" w:eastAsia="Arial" w:hAnsi="Arial"/>
          <w:sz w:val="16"/>
          <w:szCs w:val="16"/>
          <w:color w:val="auto"/>
        </w:rPr>
        <w:t>”) and the Partnership Entities and, to the Partnership Parties’ knowledge, there are no affiliations or associations between</w:t>
      </w:r>
    </w:p>
    <w:p>
      <w:pPr>
        <w:ind w:left="-8" w:right="440" w:firstLine="8"/>
        <w:spacing w:after="0" w:line="255" w:lineRule="auto"/>
        <w:tabs>
          <w:tab w:leader="none" w:pos="237"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member of FINRA and (b) any member of the Partnership’s officers, directors or 5% or greater security holders or any beneficial owner of the Partnership’s unregistered equity securities that were acquired at any time on or after the 180th day immediately preceding the date the Registration Statement was initially submitted to the Commission;</w:t>
      </w:r>
    </w:p>
    <w:p>
      <w:pPr>
        <w:spacing w:after="0" w:line="189" w:lineRule="exact"/>
        <w:rPr>
          <w:rFonts w:ascii="Arial" w:cs="Arial" w:eastAsia="Arial" w:hAnsi="Arial"/>
          <w:sz w:val="18"/>
          <w:szCs w:val="18"/>
          <w:color w:val="auto"/>
        </w:rPr>
      </w:pPr>
    </w:p>
    <w:p>
      <w:pPr>
        <w:ind w:left="-8" w:right="60" w:firstLine="656"/>
        <w:spacing w:after="0" w:line="263" w:lineRule="auto"/>
        <w:tabs>
          <w:tab w:leader="none" w:pos="1296"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Deloitte LLP, who have certified certain financial statements included or incorporated by reference in the Registration Statement, Pricing Prospectus and Final Prospectus, are independent public accountants with respect to the Partnership Entities as required by the Act and the rules and regulations of the Commission thereunder;</w:t>
      </w:r>
    </w:p>
    <w:p>
      <w:pPr>
        <w:spacing w:after="0" w:line="183" w:lineRule="exact"/>
        <w:rPr>
          <w:rFonts w:ascii="Arial" w:cs="Arial" w:eastAsia="Arial" w:hAnsi="Arial"/>
          <w:sz w:val="18"/>
          <w:szCs w:val="18"/>
          <w:color w:val="auto"/>
        </w:rPr>
      </w:pPr>
    </w:p>
    <w:p>
      <w:pPr>
        <w:ind w:left="-8" w:firstLine="656"/>
        <w:spacing w:after="0" w:line="255" w:lineRule="auto"/>
        <w:tabs>
          <w:tab w:leader="none" w:pos="1286"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Partnership maintains a system of internal control over financial reporting (as such term is defined in Rule 13a-15(f) under the Exchange Act) sufficient to provide reasonable assurance regarding the reliability of financial reporting and the preparation of financial statements for external purposes in accordance with international financial reporting standards as adopted by the International Accounting Standards Board (“</w:t>
      </w:r>
      <w:r>
        <w:rPr>
          <w:rFonts w:ascii="Arial" w:cs="Arial" w:eastAsia="Arial" w:hAnsi="Arial"/>
          <w:sz w:val="18"/>
          <w:szCs w:val="18"/>
          <w:u w:val="single" w:color="auto"/>
          <w:color w:val="auto"/>
        </w:rPr>
        <w:t>IFRS</w:t>
      </w:r>
      <w:r>
        <w:rPr>
          <w:rFonts w:ascii="Arial" w:cs="Arial" w:eastAsia="Arial" w:hAnsi="Arial"/>
          <w:sz w:val="18"/>
          <w:szCs w:val="18"/>
          <w:color w:val="auto"/>
        </w:rPr>
        <w:t>”) and such system will comply in all material respects with the requirements of the Exchange Act when so required. Except as set forth in the Pricing Prospectus, the Partnership’s internal control over financial reporting is effective, and the Partnership is not aware of any material weaknesses in its internal control over financial reporting;</w:t>
      </w:r>
    </w:p>
    <w:p>
      <w:pPr>
        <w:spacing w:after="0" w:line="192" w:lineRule="exact"/>
        <w:rPr>
          <w:rFonts w:ascii="Arial" w:cs="Arial" w:eastAsia="Arial" w:hAnsi="Arial"/>
          <w:sz w:val="18"/>
          <w:szCs w:val="18"/>
          <w:color w:val="auto"/>
        </w:rPr>
      </w:pPr>
    </w:p>
    <w:p>
      <w:pPr>
        <w:jc w:val="both"/>
        <w:ind w:left="-8" w:right="20" w:firstLine="656"/>
        <w:spacing w:after="0" w:line="263" w:lineRule="auto"/>
        <w:tabs>
          <w:tab w:leader="none" w:pos="1296" w:val="left"/>
        </w:tabs>
        <w:numPr>
          <w:ilvl w:val="1"/>
          <w:numId w:val="71"/>
        </w:numPr>
        <w:rPr>
          <w:rFonts w:ascii="Arial" w:cs="Arial" w:eastAsia="Arial" w:hAnsi="Arial"/>
          <w:sz w:val="18"/>
          <w:szCs w:val="18"/>
          <w:color w:val="auto"/>
        </w:rPr>
      </w:pPr>
      <w:r>
        <w:rPr>
          <w:rFonts w:ascii="Arial" w:cs="Arial" w:eastAsia="Arial" w:hAnsi="Arial"/>
          <w:sz w:val="18"/>
          <w:szCs w:val="18"/>
          <w:color w:val="auto"/>
        </w:rPr>
        <w:t>Since the date of the latest audited financial statements included or incorporated by reference in the Pricing Prospectus, there has been no change in the Partnership’s internal control over financial reporting that has materially affected, or is reasonably likely to materially affect, the Partnership’s internal control over financial reporting (each an “</w:t>
      </w:r>
      <w:r>
        <w:rPr>
          <w:rFonts w:ascii="Arial" w:cs="Arial" w:eastAsia="Arial" w:hAnsi="Arial"/>
          <w:sz w:val="18"/>
          <w:szCs w:val="18"/>
          <w:u w:val="single" w:color="auto"/>
          <w:color w:val="auto"/>
        </w:rPr>
        <w:t>Internal Control Event</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8" w:firstLine="656"/>
        <w:spacing w:after="0" w:line="259" w:lineRule="auto"/>
        <w:tabs>
          <w:tab w:leader="none" w:pos="1270"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Partnership maintains disclosure controls and procedures (as such term is defined in Rule 13a-15(e) under the Exchange Act) that comply with the requirements of the Exchange Act; such disclosure controls and procedures have been designed to ensure that material information relating to the Partnership and its subsidiaries is made known to the Partnership’s principal executive officer and principal financial officer by others within those entities; and such disclosure controls and procedures are effective;</w:t>
      </w:r>
    </w:p>
    <w:p>
      <w:pPr>
        <w:spacing w:after="0" w:line="186" w:lineRule="exact"/>
        <w:rPr>
          <w:rFonts w:ascii="Arial" w:cs="Arial" w:eastAsia="Arial" w:hAnsi="Arial"/>
          <w:sz w:val="18"/>
          <w:szCs w:val="18"/>
          <w:color w:val="auto"/>
        </w:rPr>
      </w:pPr>
    </w:p>
    <w:p>
      <w:pPr>
        <w:ind w:left="-8" w:right="120" w:firstLine="656"/>
        <w:spacing w:after="0" w:line="296" w:lineRule="auto"/>
        <w:tabs>
          <w:tab w:leader="none" w:pos="1327" w:val="left"/>
        </w:tabs>
        <w:numPr>
          <w:ilvl w:val="1"/>
          <w:numId w:val="71"/>
        </w:numPr>
        <w:rPr>
          <w:rFonts w:ascii="Arial" w:cs="Arial" w:eastAsia="Arial" w:hAnsi="Arial"/>
          <w:sz w:val="16"/>
          <w:szCs w:val="16"/>
          <w:color w:val="auto"/>
        </w:rPr>
      </w:pPr>
      <w:r>
        <w:rPr>
          <w:rFonts w:ascii="Arial" w:cs="Arial" w:eastAsia="Arial" w:hAnsi="Arial"/>
          <w:sz w:val="16"/>
          <w:szCs w:val="16"/>
          <w:color w:val="auto"/>
        </w:rPr>
        <w:t>The financial statements of the Partnership included or incorporated by reference in the Pricing Prospectus, together with the related notes thereto, present fairly in all material respects the combined financial position of the Partnership as of the date shown, and such financial statements have been prepared in conformity with IFRS, applied on a consistent basis throughout the periods involved; and the schedules included in the Pricing Prospectus, if any, present fairly the information required to be stated therein. The selected financial data and the summary financial information included or incorporated by reference in the Pricing Prospectus present fairly the information shown therein and have been compiled on a basis consistent with</w:t>
      </w:r>
    </w:p>
    <w:p>
      <w:pPr>
        <w:spacing w:after="0" w:line="16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532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32"/>
          </w:cols>
          <w:pgMar w:left="328" w:top="341" w:right="339" w:bottom="1440" w:gutter="0" w:footer="0" w:header="0"/>
        </w:sectPr>
      </w:pPr>
    </w:p>
    <w:bookmarkStart w:id="76" w:name="page77"/>
    <w:bookmarkEnd w:id="76"/>
    <w:p>
      <w:pPr>
        <w:spacing w:after="0" w:line="254" w:lineRule="auto"/>
        <w:rPr>
          <w:sz w:val="20"/>
          <w:szCs w:val="20"/>
          <w:color w:val="auto"/>
        </w:rPr>
      </w:pPr>
      <w:r>
        <w:rPr>
          <w:rFonts w:ascii="Arial" w:cs="Arial" w:eastAsia="Arial" w:hAnsi="Arial"/>
          <w:sz w:val="18"/>
          <w:szCs w:val="18"/>
          <w:color w:val="auto"/>
        </w:rPr>
        <w:t>that of the audited and unaudited financial statements included in the Pricing Prospectus. Any pro forma financial information included or incorporated by reference in the Pricing Prospectus comply as to form with the applicable accounting requirements of Regulation S-X under the Act and includes assumptions that provide a reasonable basis for presenting the significant effects directly attributable to the transactions and events described therein, the related pro forma adjustments give appropriate effect to those assumptions, and the pro forma adjustments reflect the proper application of those adjustments to the historical financial statement amounts in the pro forma balance sheet included in the Pricing Prospectus. All disclosures contained in the Preliminary Prospectus, Pricing Prospectus and Final Prospectus, or incorporated by reference therein, regarding “non-GAAP financial measures” (as such term is defined by the rules and regulations of the Commission) comply with Regulation G of the 1934 Act and Item 10 of Regulation S-K of the 1933 Act, to the extent applicable;</w:t>
      </w:r>
    </w:p>
    <w:p>
      <w:pPr>
        <w:spacing w:after="0" w:line="192" w:lineRule="exact"/>
        <w:rPr>
          <w:sz w:val="20"/>
          <w:szCs w:val="20"/>
          <w:color w:val="auto"/>
        </w:rPr>
      </w:pPr>
    </w:p>
    <w:p>
      <w:pPr>
        <w:jc w:val="both"/>
        <w:ind w:right="40" w:firstLine="656"/>
        <w:spacing w:after="0" w:line="287" w:lineRule="auto"/>
        <w:tabs>
          <w:tab w:leader="none" w:pos="1294" w:val="left"/>
        </w:tabs>
        <w:numPr>
          <w:ilvl w:val="1"/>
          <w:numId w:val="72"/>
        </w:numPr>
        <w:rPr>
          <w:rFonts w:ascii="Arial" w:cs="Arial" w:eastAsia="Arial" w:hAnsi="Arial"/>
          <w:sz w:val="16"/>
          <w:szCs w:val="16"/>
          <w:color w:val="auto"/>
        </w:rPr>
      </w:pPr>
      <w:r>
        <w:rPr>
          <w:rFonts w:ascii="Arial" w:cs="Arial" w:eastAsia="Arial" w:hAnsi="Arial"/>
          <w:sz w:val="16"/>
          <w:szCs w:val="16"/>
          <w:color w:val="auto"/>
        </w:rPr>
        <w:t>Neither the Partnership’s independent auditors nor any internal auditor has recommended that the Partnership’s board of directors review or investigate, (i) adding to, deleting, changing the application of, or changing the Partnership’s disclosure with respect to, any of the Partnership’s material accounting policies; (ii) any matter which could result in a restatement of the Partnership’s audited balance sheet included in the Registration Statement; or</w:t>
      </w:r>
    </w:p>
    <w:p>
      <w:pPr>
        <w:spacing w:after="0" w:line="2" w:lineRule="exact"/>
        <w:rPr>
          <w:rFonts w:ascii="Arial" w:cs="Arial" w:eastAsia="Arial" w:hAnsi="Arial"/>
          <w:sz w:val="16"/>
          <w:szCs w:val="16"/>
          <w:color w:val="auto"/>
        </w:rPr>
      </w:pPr>
    </w:p>
    <w:p>
      <w:pPr>
        <w:ind w:left="320" w:hanging="312"/>
        <w:spacing w:after="0"/>
        <w:tabs>
          <w:tab w:leader="none" w:pos="3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Internal Control Event;</w:t>
      </w:r>
    </w:p>
    <w:p>
      <w:pPr>
        <w:spacing w:after="0" w:line="210" w:lineRule="exact"/>
        <w:rPr>
          <w:rFonts w:ascii="Arial" w:cs="Arial" w:eastAsia="Arial" w:hAnsi="Arial"/>
          <w:sz w:val="18"/>
          <w:szCs w:val="18"/>
          <w:color w:val="auto"/>
        </w:rPr>
      </w:pPr>
    </w:p>
    <w:p>
      <w:pPr>
        <w:jc w:val="both"/>
        <w:ind w:right="220" w:firstLine="656"/>
        <w:spacing w:after="0" w:line="263" w:lineRule="auto"/>
        <w:tabs>
          <w:tab w:leader="none" w:pos="1336" w:val="left"/>
        </w:tabs>
        <w:numPr>
          <w:ilvl w:val="1"/>
          <w:numId w:val="73"/>
        </w:numPr>
        <w:rPr>
          <w:rFonts w:ascii="Arial" w:cs="Arial" w:eastAsia="Arial" w:hAnsi="Arial"/>
          <w:sz w:val="18"/>
          <w:szCs w:val="18"/>
          <w:color w:val="auto"/>
        </w:rPr>
      </w:pPr>
      <w:r>
        <w:rPr>
          <w:rFonts w:ascii="Arial" w:cs="Arial" w:eastAsia="Arial" w:hAnsi="Arial"/>
          <w:sz w:val="18"/>
          <w:szCs w:val="18"/>
          <w:color w:val="auto"/>
        </w:rPr>
        <w:t>None of the Partnership Parties is entitled to any immunity, whether characterized as sovereign immunity or otherwise, from any legal proceedings in respect of themselves or their respective properties under the laws of the United States or their jurisdiction of formation or incorporation; and</w:t>
      </w:r>
    </w:p>
    <w:p>
      <w:pPr>
        <w:spacing w:after="0" w:line="183" w:lineRule="exact"/>
        <w:rPr>
          <w:rFonts w:ascii="Arial" w:cs="Arial" w:eastAsia="Arial" w:hAnsi="Arial"/>
          <w:sz w:val="18"/>
          <w:szCs w:val="18"/>
          <w:color w:val="auto"/>
        </w:rPr>
      </w:pPr>
    </w:p>
    <w:p>
      <w:pPr>
        <w:ind w:firstLine="656"/>
        <w:spacing w:after="0" w:line="271" w:lineRule="auto"/>
        <w:tabs>
          <w:tab w:leader="none" w:pos="1296" w:val="left"/>
        </w:tabs>
        <w:numPr>
          <w:ilvl w:val="1"/>
          <w:numId w:val="73"/>
        </w:numPr>
        <w:rPr>
          <w:rFonts w:ascii="Arial" w:cs="Arial" w:eastAsia="Arial" w:hAnsi="Arial"/>
          <w:sz w:val="17"/>
          <w:szCs w:val="17"/>
          <w:color w:val="auto"/>
        </w:rPr>
      </w:pPr>
      <w:r>
        <w:rPr>
          <w:rFonts w:ascii="Arial" w:cs="Arial" w:eastAsia="Arial" w:hAnsi="Arial"/>
          <w:sz w:val="17"/>
          <w:szCs w:val="17"/>
          <w:color w:val="auto"/>
        </w:rPr>
        <w:t>The Partnership Entities have filed all United States federal, state and local and non-U.S. tax returns that are required to be filed or have requested extensions thereof (except in any case in which the failure so to file would not, individually or in the aggregate, have a Material Adverse Effect); except as set forth in the Pricing Prospectus, the Partnership Entities have paid all taxes (including any assessments, fines or penalties that are currently owed and due) required to be paid by them and that are currently owed and due, except for any such taxes, assessments, fines or penalties currently being contested in good faith or as would not, individually or in the aggregate, have a Material Adverse Effect; and no capital gains, income, withholding or other taxes or stamp or other issuance or transfer taxes or duties or similar fees or charges are payable by or on behalf of the Underwriters in connection with the sale and delivery by the Partnership of the Securities to or for the accounts of the Underwriters or the sale and delivery by the Underwriters of the Securities to the initial purchasers thereof.</w:t>
      </w:r>
    </w:p>
    <w:p>
      <w:pPr>
        <w:spacing w:after="0" w:line="178" w:lineRule="exact"/>
        <w:rPr>
          <w:sz w:val="20"/>
          <w:szCs w:val="20"/>
          <w:color w:val="auto"/>
        </w:rPr>
      </w:pPr>
    </w:p>
    <w:p>
      <w:pPr>
        <w:ind w:right="20" w:firstLine="656"/>
        <w:spacing w:after="0" w:line="273" w:lineRule="auto"/>
        <w:tabs>
          <w:tab w:leader="none" w:pos="1296" w:val="left"/>
        </w:tabs>
        <w:numPr>
          <w:ilvl w:val="0"/>
          <w:numId w:val="74"/>
        </w:numPr>
        <w:rPr>
          <w:rFonts w:ascii="Arial" w:cs="Arial" w:eastAsia="Arial" w:hAnsi="Arial"/>
          <w:sz w:val="17"/>
          <w:szCs w:val="17"/>
          <w:color w:val="auto"/>
        </w:rPr>
      </w:pPr>
      <w:r>
        <w:rPr>
          <w:rFonts w:ascii="Arial" w:cs="Arial" w:eastAsia="Arial" w:hAnsi="Arial"/>
          <w:sz w:val="17"/>
          <w:szCs w:val="17"/>
          <w:color w:val="auto"/>
        </w:rPr>
        <w:t>Subject to the terms and conditions herein set forth, (a) the Partnership agrees to issue and sell to each of the Underwriters, and each of the Underwriters agrees, severally and not jointly, to purchase from the Partnership, at a purchase price of $[ ] per [</w:t>
      </w:r>
      <w:r>
        <w:rPr>
          <w:rFonts w:ascii="Arial" w:cs="Arial" w:eastAsia="Arial" w:hAnsi="Arial"/>
          <w:sz w:val="17"/>
          <w:szCs w:val="17"/>
          <w:i w:val="1"/>
          <w:iCs w:val="1"/>
          <w:color w:val="auto"/>
        </w:rPr>
        <w:t>Insert Title of Offered Security</w:t>
      </w:r>
      <w:r>
        <w:rPr>
          <w:rFonts w:ascii="Arial" w:cs="Arial" w:eastAsia="Arial" w:hAnsi="Arial"/>
          <w:sz w:val="17"/>
          <w:szCs w:val="17"/>
          <w:color w:val="auto"/>
        </w:rPr>
        <w:t xml:space="preserve">], and the number of [Common/Other] Units or amount of securities set forth opposite the name of such Underwriter in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hereto and (b) in the event and to the extent that the Underwriters shall exercise the election to purchase Option Securities as provided below, the Partnership agrees to issue and sell to each of the Underwriters, and each of the Underwriters agrees, to purchase from the Partnership, at the purchase price set forth in clause (a) of this Section 2, that portion of the number of Option Securities as to which such election shall have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77" w:name="page78"/>
    <w:bookmarkEnd w:id="77"/>
    <w:p>
      <w:pPr>
        <w:ind w:right="380"/>
        <w:spacing w:after="0" w:line="259" w:lineRule="auto"/>
        <w:rPr>
          <w:sz w:val="20"/>
          <w:szCs w:val="20"/>
          <w:color w:val="auto"/>
        </w:rPr>
      </w:pPr>
      <w:r>
        <w:rPr>
          <w:rFonts w:ascii="Arial" w:cs="Arial" w:eastAsia="Arial" w:hAnsi="Arial"/>
          <w:sz w:val="18"/>
          <w:szCs w:val="18"/>
          <w:color w:val="auto"/>
        </w:rPr>
        <w:t xml:space="preserve">been exercised (to be adjusted by the Representatives so as to eliminate fractional [Common/Preference/Other] Units) determined by multiplying such number of Option Securities by a fraction, the numerator of which is the maximum number of Option Securities which such Underwriter is entitled to purchase as set forth opposite the name of such Underwriter in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and the denominator of which is the maximum number of Option Securities that all of the Underwriters are entitled to purchase hereunder.</w:t>
      </w:r>
    </w:p>
    <w:p>
      <w:pPr>
        <w:spacing w:after="0" w:line="187"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 xml:space="preserve">The Partnership, as and to the extent indicated in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hereto, hereby grants severally and not jointly to the Underwriters the right to purchase at their election up to [ ] Option Securities, at the purchase price per Option Security set forth in the paragraph above;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the purchase price per Option Security shall be reduced by an amount per Option Security equal to any dividends or distributions declared by the Partnership and payable on the Offered Securities but not payable on the Option Securities. Any such election to purchase Option Securities may be exercised only by written notice from the Representatives to the Partnership, given within a period of 30 calendar days after the date of this Agreement, setting forth the aggregate number of Option Securities to be purchased and the business day on which such Option Securities are to be delivered, as determined by the Representatives but in no event earlier than the First Time of Delivery or, unless the Representatives and the Partnership otherwise agree in writing, earlier than two or later than ten business days after the date of such notice.</w:t>
      </w:r>
    </w:p>
    <w:p>
      <w:pPr>
        <w:spacing w:after="0" w:line="178" w:lineRule="exact"/>
        <w:rPr>
          <w:sz w:val="20"/>
          <w:szCs w:val="20"/>
          <w:color w:val="auto"/>
        </w:rPr>
      </w:pPr>
    </w:p>
    <w:p>
      <w:pPr>
        <w:ind w:left="1300" w:hanging="644"/>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firstLine="656"/>
        <w:spacing w:after="0" w:line="269" w:lineRule="auto"/>
        <w:tabs>
          <w:tab w:leader="none" w:pos="1296" w:val="left"/>
        </w:tabs>
        <w:numPr>
          <w:ilvl w:val="0"/>
          <w:numId w:val="75"/>
        </w:numPr>
        <w:rPr>
          <w:rFonts w:ascii="Arial" w:cs="Arial" w:eastAsia="Arial" w:hAnsi="Arial"/>
          <w:sz w:val="17"/>
          <w:szCs w:val="17"/>
          <w:color w:val="auto"/>
        </w:rPr>
      </w:pPr>
      <w:r>
        <w:rPr>
          <w:rFonts w:ascii="Arial" w:cs="Arial" w:eastAsia="Arial" w:hAnsi="Arial"/>
          <w:sz w:val="17"/>
          <w:szCs w:val="17"/>
          <w:color w:val="auto"/>
        </w:rPr>
        <w:t>(a) The Securities to be purchased by each Underwriter hereunder, in definitive form, and in such authorized denominations and registered in such names as the Representatives may request upon at least forty-eight hours’ prior notice to the Partnership shall be delivered by or on behalf of the Partnership to the Representatives through the facilities of the Depository Trust Company (“</w:t>
      </w:r>
      <w:r>
        <w:rPr>
          <w:rFonts w:ascii="Arial" w:cs="Arial" w:eastAsia="Arial" w:hAnsi="Arial"/>
          <w:sz w:val="17"/>
          <w:szCs w:val="17"/>
          <w:u w:val="single" w:color="auto"/>
          <w:color w:val="auto"/>
        </w:rPr>
        <w:t>DTC</w:t>
      </w:r>
      <w:r>
        <w:rPr>
          <w:rFonts w:ascii="Arial" w:cs="Arial" w:eastAsia="Arial" w:hAnsi="Arial"/>
          <w:sz w:val="17"/>
          <w:szCs w:val="17"/>
          <w:color w:val="auto"/>
        </w:rPr>
        <w:t>”), for the account of such Underwriter against payment by or on behalf of such Underwriter of the purchase price therefor by wire transfer of Federal (same-day) funds to the account specified by the Partnership to the Representatives at least forty-eight hours in advance. The time and date of such delivery and payment shall be, with respect to the Offered Securities, [ ] [a.] [p.]m., New York City time, on [ ], 202[•] or such other time and date as the Representatives and the Partnership may agree upon in writing, and with respect to the Option Securities, [ ] [a.][p.]m., New York time, on the date specified by the Representatives in the written notice given by the Representatives’ election to purchase such Option Securities, or such other time and date as the Representatives and the Partnership may agree upon in writing. Such time and date for delivery of the Offered Securities is herein called the “</w:t>
      </w:r>
      <w:r>
        <w:rPr>
          <w:rFonts w:ascii="Arial" w:cs="Arial" w:eastAsia="Arial" w:hAnsi="Arial"/>
          <w:sz w:val="17"/>
          <w:szCs w:val="17"/>
          <w:u w:val="single" w:color="auto"/>
          <w:color w:val="auto"/>
        </w:rPr>
        <w:t>First Time of Delivery</w:t>
      </w:r>
      <w:r>
        <w:rPr>
          <w:rFonts w:ascii="Arial" w:cs="Arial" w:eastAsia="Arial" w:hAnsi="Arial"/>
          <w:sz w:val="17"/>
          <w:szCs w:val="17"/>
          <w:color w:val="auto"/>
        </w:rPr>
        <w:t>”, such time and date for delivery of the Option Securities, if not the First Time of Delivery, is herein called the “</w:t>
      </w:r>
      <w:r>
        <w:rPr>
          <w:rFonts w:ascii="Arial" w:cs="Arial" w:eastAsia="Arial" w:hAnsi="Arial"/>
          <w:sz w:val="17"/>
          <w:szCs w:val="17"/>
          <w:u w:val="single" w:color="auto"/>
          <w:color w:val="auto"/>
        </w:rPr>
        <w:t>Second Time of Delivery</w:t>
      </w:r>
      <w:r>
        <w:rPr>
          <w:rFonts w:ascii="Arial" w:cs="Arial" w:eastAsia="Arial" w:hAnsi="Arial"/>
          <w:sz w:val="17"/>
          <w:szCs w:val="17"/>
          <w:color w:val="auto"/>
        </w:rPr>
        <w:t>”, and each such time and date for delivery is herein called a “</w:t>
      </w:r>
      <w:r>
        <w:rPr>
          <w:rFonts w:ascii="Arial" w:cs="Arial" w:eastAsia="Arial" w:hAnsi="Arial"/>
          <w:sz w:val="17"/>
          <w:szCs w:val="17"/>
          <w:u w:val="single" w:color="auto"/>
          <w:color w:val="auto"/>
        </w:rPr>
        <w:t>Time of Delivery</w:t>
      </w:r>
      <w:r>
        <w:rPr>
          <w:rFonts w:ascii="Arial" w:cs="Arial" w:eastAsia="Arial" w:hAnsi="Arial"/>
          <w:sz w:val="17"/>
          <w:szCs w:val="17"/>
          <w:color w:val="auto"/>
        </w:rPr>
        <w:t>”.</w:t>
      </w:r>
    </w:p>
    <w:p>
      <w:pPr>
        <w:spacing w:after="0" w:line="182" w:lineRule="exact"/>
        <w:rPr>
          <w:sz w:val="20"/>
          <w:szCs w:val="20"/>
          <w:color w:val="auto"/>
        </w:rPr>
      </w:pPr>
    </w:p>
    <w:p>
      <w:pPr>
        <w:ind w:right="40" w:firstLine="656"/>
        <w:spacing w:after="0" w:line="279" w:lineRule="auto"/>
        <w:tabs>
          <w:tab w:leader="none" w:pos="1303" w:val="left"/>
        </w:tabs>
        <w:numPr>
          <w:ilvl w:val="0"/>
          <w:numId w:val="76"/>
        </w:numPr>
        <w:rPr>
          <w:rFonts w:ascii="Arial" w:cs="Arial" w:eastAsia="Arial" w:hAnsi="Arial"/>
          <w:sz w:val="17"/>
          <w:szCs w:val="17"/>
          <w:color w:val="auto"/>
        </w:rPr>
      </w:pPr>
      <w:r>
        <w:rPr>
          <w:rFonts w:ascii="Arial" w:cs="Arial" w:eastAsia="Arial" w:hAnsi="Arial"/>
          <w:sz w:val="17"/>
          <w:szCs w:val="17"/>
          <w:color w:val="auto"/>
        </w:rPr>
        <w:t xml:space="preserve">The documents to be delivered at each Time of Delivery by or on behalf of the parties hereto pursuant to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hereof, including the cross receipt for the Securities and any additional documents requested by the Underwriters pursuant to </w:t>
      </w:r>
      <w:r>
        <w:rPr>
          <w:rFonts w:ascii="Arial" w:cs="Arial" w:eastAsia="Arial" w:hAnsi="Arial"/>
          <w:sz w:val="17"/>
          <w:szCs w:val="17"/>
          <w:u w:val="single" w:color="auto"/>
          <w:color w:val="auto"/>
        </w:rPr>
        <w:t>Section 8(n)</w:t>
      </w:r>
      <w:r>
        <w:rPr>
          <w:rFonts w:ascii="Arial" w:cs="Arial" w:eastAsia="Arial" w:hAnsi="Arial"/>
          <w:sz w:val="17"/>
          <w:szCs w:val="17"/>
          <w:color w:val="auto"/>
        </w:rPr>
        <w:t xml:space="preserve"> hereof, will be delivered at the offices of Cravath, Swaine &amp; Moore LLP, Worldwide Plaza, 825 Eighth Avenue, New York, New York 10019 (the “</w:t>
      </w:r>
      <w:r>
        <w:rPr>
          <w:rFonts w:ascii="Arial" w:cs="Arial" w:eastAsia="Arial" w:hAnsi="Arial"/>
          <w:sz w:val="17"/>
          <w:szCs w:val="17"/>
          <w:u w:val="single" w:color="auto"/>
          <w:color w:val="auto"/>
        </w:rPr>
        <w:t>Closing Location</w:t>
      </w:r>
      <w:r>
        <w:rPr>
          <w:rFonts w:ascii="Arial" w:cs="Arial" w:eastAsia="Arial" w:hAnsi="Arial"/>
          <w:sz w:val="17"/>
          <w:szCs w:val="17"/>
          <w:color w:val="auto"/>
        </w:rPr>
        <w:t>”). A meeting will be held at the Closing Location at 5:00 p.m., New York City time, on the New York Business Day next preceding such</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78" w:name="page79"/>
    <w:bookmarkEnd w:id="78"/>
    <w:p>
      <w:pPr>
        <w:ind w:right="40"/>
        <w:spacing w:after="0" w:line="286" w:lineRule="auto"/>
        <w:rPr>
          <w:sz w:val="20"/>
          <w:szCs w:val="20"/>
          <w:color w:val="auto"/>
        </w:rPr>
      </w:pPr>
      <w:r>
        <w:rPr>
          <w:rFonts w:ascii="Arial" w:cs="Arial" w:eastAsia="Arial" w:hAnsi="Arial"/>
          <w:sz w:val="17"/>
          <w:szCs w:val="17"/>
          <w:color w:val="auto"/>
        </w:rPr>
        <w:t xml:space="preserve">Time of Delivery, at which meeting the final drafts of the documents to be delivered pursuant to the preceding sentence will be available for review by the parties hereto. For the purposes of this </w:t>
      </w:r>
      <w:r>
        <w:rPr>
          <w:rFonts w:ascii="Arial" w:cs="Arial" w:eastAsia="Arial" w:hAnsi="Arial"/>
          <w:sz w:val="17"/>
          <w:szCs w:val="17"/>
          <w:u w:val="single" w:color="auto"/>
          <w:color w:val="auto"/>
        </w:rPr>
        <w:t>Section 4</w:t>
      </w:r>
      <w:r>
        <w:rPr>
          <w:rFonts w:ascii="Arial" w:cs="Arial" w:eastAsia="Arial" w:hAnsi="Arial"/>
          <w:sz w:val="17"/>
          <w:szCs w:val="17"/>
          <w:color w:val="auto"/>
        </w:rPr>
        <w:t>, “</w:t>
      </w:r>
      <w:r>
        <w:rPr>
          <w:rFonts w:ascii="Arial" w:cs="Arial" w:eastAsia="Arial" w:hAnsi="Arial"/>
          <w:sz w:val="17"/>
          <w:szCs w:val="17"/>
          <w:u w:val="single" w:color="auto"/>
          <w:color w:val="auto"/>
        </w:rPr>
        <w:t>New York Business Day</w:t>
      </w:r>
      <w:r>
        <w:rPr>
          <w:rFonts w:ascii="Arial" w:cs="Arial" w:eastAsia="Arial" w:hAnsi="Arial"/>
          <w:sz w:val="17"/>
          <w:szCs w:val="17"/>
          <w:color w:val="auto"/>
        </w:rPr>
        <w:t>” shall mean each Monday, Tuesday, Wednesday, Thursday and Friday which is not a day on which banking institutions in New York City are generally authorized or obligated by law or executive order to close.</w:t>
      </w:r>
    </w:p>
    <w:p>
      <w:pPr>
        <w:spacing w:after="0" w:line="165" w:lineRule="exact"/>
        <w:rPr>
          <w:sz w:val="20"/>
          <w:szCs w:val="20"/>
          <w:color w:val="auto"/>
        </w:rPr>
      </w:pPr>
    </w:p>
    <w:p>
      <w:pPr>
        <w:ind w:left="1300" w:hanging="644"/>
        <w:spacing w:after="0"/>
        <w:tabs>
          <w:tab w:leader="none" w:pos="13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Partnership Parties agree with each of the Underwriters:</w:t>
      </w:r>
    </w:p>
    <w:p>
      <w:pPr>
        <w:spacing w:after="0" w:line="225" w:lineRule="exact"/>
        <w:rPr>
          <w:sz w:val="20"/>
          <w:szCs w:val="20"/>
          <w:color w:val="auto"/>
        </w:rPr>
      </w:pPr>
    </w:p>
    <w:p>
      <w:pPr>
        <w:ind w:left="1300" w:hanging="644"/>
        <w:spacing w:after="0"/>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 prepare the Final Prospectus in a form approved by the Representatives and to file such Final Prospectus pursuant to</w:t>
      </w:r>
    </w:p>
    <w:p>
      <w:pPr>
        <w:spacing w:after="0" w:line="23"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Rule 424(b) under the Act not later than the Commission’s close of business on the second business day following the execution and delivery of this Agreement; to make no further amendment or any supplement to the Registration Statement or the Final Prospectus prior to the last Time of Delivery, which shall be disapproved by the Representatives promptly after reasonable notice thereof; to advise the Representatives, promptly after it receives notice thereof, of the time when any amendment to the Registration Statement has been filed or becomes effective or any amendment or supplement to the Final Prospectus has been filed and to furnish the Representatives with copies thereof; to file promptly all material required to be filed by the Partnership with the Commission pursuant to Rule 433(d) under the Act; to file promptly all reports and any definitive proxy or information statements required to be filed by the Partnership with the Commission pursuant to Section 13(a), 13(c), 14 or 15(d) of the Exchange Act subsequent to the date of the Prospectus and for so long as the delivery of a prospectus (or in lieu thereof, the notice referred to in Rule 173(a) under the Act) is required in connection with the offering or sale of the Securities; to advise the Representatives, promptly after it receives notice thereof, of the issuance by the Commission of any stop order or of any order preventing or suspending the use of any Preliminary Prospectus or other prospectus in respect of the Securities, of the suspension of the qualification of the Securities for offering or sale in any jurisdiction, of the initiation or threatening of any proceeding for any such purpose, or of any request by the Commission for the amending or supplementing of the Registration Statement, any Preliminary Prospectus, the Final Prospectus or Issuer Free Writing Prospectus or for additional information; and, in the event of the issuance of any stop order or of any order preventing or suspending the use of any Preliminary Prospectus or other prospectus or suspending any such qualification, to promptly use its best efforts to obtain the withdrawal of such order;</w:t>
      </w:r>
    </w:p>
    <w:p>
      <w:pPr>
        <w:spacing w:after="0" w:line="178" w:lineRule="exact"/>
        <w:rPr>
          <w:sz w:val="20"/>
          <w:szCs w:val="20"/>
          <w:color w:val="auto"/>
        </w:rPr>
      </w:pPr>
    </w:p>
    <w:p>
      <w:pPr>
        <w:ind w:firstLine="656"/>
        <w:spacing w:after="0" w:line="257" w:lineRule="auto"/>
        <w:tabs>
          <w:tab w:leader="none" w:pos="1303" w:val="left"/>
        </w:tabs>
        <w:numPr>
          <w:ilvl w:val="0"/>
          <w:numId w:val="79"/>
        </w:numPr>
        <w:rPr>
          <w:rFonts w:ascii="Arial" w:cs="Arial" w:eastAsia="Arial" w:hAnsi="Arial"/>
          <w:sz w:val="18"/>
          <w:szCs w:val="18"/>
          <w:color w:val="auto"/>
        </w:rPr>
      </w:pPr>
      <w:r>
        <w:rPr>
          <w:rFonts w:ascii="Arial" w:cs="Arial" w:eastAsia="Arial" w:hAnsi="Arial"/>
          <w:sz w:val="18"/>
          <w:szCs w:val="18"/>
          <w:color w:val="auto"/>
        </w:rPr>
        <w:t>Promptly from time to time to take such action as the Representatives may reasonably request to qualify the Securities for offering and sale under the securities laws of such jurisdictions as the Representatives may request and to comply with such laws so as to permit the continuance of sales and dealings therein in such jurisdictions for as long as may be necessary to complete the distribution of the Securities, provided that in connection therewith the Partnership shall not be required to qualify as a foreign corporation or to file a general consent to service of process or to subject itself to taxation for doing business in any jurisdiction if it is not otherwise so subject;</w:t>
      </w:r>
    </w:p>
    <w:p>
      <w:pPr>
        <w:spacing w:after="0" w:line="187" w:lineRule="exact"/>
        <w:rPr>
          <w:rFonts w:ascii="Arial" w:cs="Arial" w:eastAsia="Arial" w:hAnsi="Arial"/>
          <w:sz w:val="18"/>
          <w:szCs w:val="18"/>
          <w:color w:val="auto"/>
        </w:rPr>
      </w:pPr>
    </w:p>
    <w:p>
      <w:pPr>
        <w:jc w:val="both"/>
        <w:ind w:right="220" w:firstLine="656"/>
        <w:spacing w:after="0" w:line="263" w:lineRule="auto"/>
        <w:tabs>
          <w:tab w:leader="none" w:pos="1307" w:val="left"/>
        </w:tabs>
        <w:numPr>
          <w:ilvl w:val="0"/>
          <w:numId w:val="79"/>
        </w:numPr>
        <w:rPr>
          <w:rFonts w:ascii="Arial" w:cs="Arial" w:eastAsia="Arial" w:hAnsi="Arial"/>
          <w:sz w:val="18"/>
          <w:szCs w:val="18"/>
          <w:color w:val="auto"/>
        </w:rPr>
      </w:pPr>
      <w:r>
        <w:rPr>
          <w:rFonts w:ascii="Arial" w:cs="Arial" w:eastAsia="Arial" w:hAnsi="Arial"/>
          <w:sz w:val="18"/>
          <w:szCs w:val="18"/>
          <w:color w:val="auto"/>
        </w:rPr>
        <w:t>Prior to 10:00 a.m., New York City time, on the New York Business Day next succeeding the date of this Agreement and from time to time, to furnish the Representatives with written and electronic copies of the Final Prospectus in New York City in such quantities as the Representatives may reasonably request, and, if the delivery of a prospectus (or in lieu thereof,</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9" w:name="page80"/>
    <w:bookmarkEnd w:id="79"/>
    <w:p>
      <w:pPr>
        <w:ind w:right="60"/>
        <w:spacing w:after="0" w:line="286" w:lineRule="auto"/>
        <w:rPr>
          <w:sz w:val="20"/>
          <w:szCs w:val="20"/>
          <w:color w:val="auto"/>
        </w:rPr>
      </w:pPr>
      <w:r>
        <w:rPr>
          <w:rFonts w:ascii="Arial" w:cs="Arial" w:eastAsia="Arial" w:hAnsi="Arial"/>
          <w:sz w:val="16"/>
          <w:szCs w:val="16"/>
          <w:color w:val="auto"/>
        </w:rPr>
        <w:t>the notice referred to in Rule 173(a) under the Act) is required, at any time prior to the expiration of nine months after the time of issue of the Final Prospectus in connection with the offering or sale of the Securities and if at such time any event shall have occurred as a result of which the Final Prospectus as then amended or supplemented would include an untrue statement of a material fact or omit to state any material fact necessary in order to make the statements therein, in the light of the circumstances under which they were made when such Final Prospectus (or in lieu thereof, the notice referred to in Rule 173(a) under the Act) is delivered, not misleading, or, if for any other reason it shall be necessary during such same period to amend or supplement the Final Prospectus or to file under the Exchange Act any document incorporated by reference in the Final Prospectus in order to comply with the Act or the Exchange Act, to notify the Representatives and upon the request of the Representatives to file such document or to prepare and furnish without charge to each Underwriter and to any dealer in securities as many written and electronic copies as the Representatives may from time to time reasonably request of an amended Final Prospectus or a supplement to the Final Prospectus which will correct such statement or omission or effect such compliance; and in case any Underwriter is required to deliver a prospectus (or in lieu thereof, the notice referred to in Rule 173(a) under the Act) in connection with sales of any of the Securities at any time nine months or more after the time of issue of the Final Prospectus, upon the request of the Representatives but at the expense of such Underwriter, to prepare and deliver to such Underwriter as many written and electronic copies as the Representatives may request of an amended or supplemented Final Prospectus complying with Section 10(a)(3) of the Act;</w:t>
      </w:r>
    </w:p>
    <w:p>
      <w:pPr>
        <w:spacing w:after="0" w:line="174" w:lineRule="exact"/>
        <w:rPr>
          <w:sz w:val="20"/>
          <w:szCs w:val="20"/>
          <w:color w:val="auto"/>
        </w:rPr>
      </w:pPr>
    </w:p>
    <w:p>
      <w:pPr>
        <w:ind w:right="60" w:firstLine="656"/>
        <w:spacing w:after="0" w:line="259" w:lineRule="auto"/>
        <w:tabs>
          <w:tab w:leader="none" w:pos="1303" w:val="left"/>
        </w:tabs>
        <w:numPr>
          <w:ilvl w:val="0"/>
          <w:numId w:val="80"/>
        </w:numPr>
        <w:rPr>
          <w:rFonts w:ascii="Arial" w:cs="Arial" w:eastAsia="Arial" w:hAnsi="Arial"/>
          <w:sz w:val="18"/>
          <w:szCs w:val="18"/>
          <w:color w:val="auto"/>
        </w:rPr>
      </w:pPr>
      <w:r>
        <w:rPr>
          <w:rFonts w:ascii="Arial" w:cs="Arial" w:eastAsia="Arial" w:hAnsi="Arial"/>
          <w:sz w:val="18"/>
          <w:szCs w:val="18"/>
          <w:color w:val="auto"/>
        </w:rPr>
        <w:t>To make generally available to its securityholders as soon as practicable, but in any event not later than sixteen months after the effective date of the Registration Statement (as defined in Rule 158(c) under the Act), an earnings statement of the Partnership and its subsidiaries (which need not be audited) complying with Section 11(a) of the Act and the rules and regulations of the Commission thereunder (including, at the option of the Partnership, Rule 158);</w:t>
      </w:r>
    </w:p>
    <w:p>
      <w:pPr>
        <w:spacing w:after="0" w:line="186" w:lineRule="exact"/>
        <w:rPr>
          <w:rFonts w:ascii="Arial" w:cs="Arial" w:eastAsia="Arial" w:hAnsi="Arial"/>
          <w:sz w:val="18"/>
          <w:szCs w:val="18"/>
          <w:color w:val="auto"/>
        </w:rPr>
      </w:pPr>
    </w:p>
    <w:p>
      <w:pPr>
        <w:ind w:firstLine="656"/>
        <w:spacing w:after="0" w:line="269" w:lineRule="auto"/>
        <w:tabs>
          <w:tab w:leader="none" w:pos="1307" w:val="left"/>
        </w:tabs>
        <w:numPr>
          <w:ilvl w:val="0"/>
          <w:numId w:val="80"/>
        </w:numPr>
        <w:rPr>
          <w:rFonts w:ascii="Arial" w:cs="Arial" w:eastAsia="Arial" w:hAnsi="Arial"/>
          <w:sz w:val="17"/>
          <w:szCs w:val="17"/>
          <w:color w:val="auto"/>
        </w:rPr>
      </w:pPr>
      <w:r>
        <w:rPr>
          <w:rFonts w:ascii="Arial" w:cs="Arial" w:eastAsia="Arial" w:hAnsi="Arial"/>
          <w:sz w:val="17"/>
          <w:szCs w:val="17"/>
          <w:color w:val="auto"/>
        </w:rPr>
        <w:t>During the period beginning from the date hereof and continuing to and including the date [•] days after the date of the Final Prospectus (the “</w:t>
      </w:r>
      <w:r>
        <w:rPr>
          <w:rFonts w:ascii="Arial" w:cs="Arial" w:eastAsia="Arial" w:hAnsi="Arial"/>
          <w:sz w:val="17"/>
          <w:szCs w:val="17"/>
          <w:u w:val="single" w:color="auto"/>
          <w:color w:val="auto"/>
        </w:rPr>
        <w:t>Lock-Up Period</w:t>
      </w:r>
      <w:r>
        <w:rPr>
          <w:rFonts w:ascii="Arial" w:cs="Arial" w:eastAsia="Arial" w:hAnsi="Arial"/>
          <w:sz w:val="17"/>
          <w:szCs w:val="17"/>
          <w:color w:val="auto"/>
        </w:rPr>
        <w:t>”), not to (i) offer, sell, contract to sell, pledge, grant any option to purchase, make any short sale or otherwise transfer or dispose of, directly or indirectly, or file with the Commission a registration statement under the Act relating to, any securities of the Partnership that are substantially similar to the Securities including but not limited to any options to purchase any Securities or publicly disclose the intention to make any offer, sale, pledge, disposition or filing or (ii) enter into any swap or other agreement that transfers, in whole or in part, any of the economic consequences of ownership of the Securities or any such other securities, whether any such transaction described in clause (i) or (ii) above is to be settled by delivery of the Securities or such other securities, in cash or otherwise (other than (x) the Securities to be sold hereunder, (y) securities offered or sold pursuant to employee stock option or other incentive compensation plans or employment arrangements existing on the date hereof as described in the Pricing Prospectus, or, provided such securities do not vest or become exercisable until after the Lock-Up Period, pursuant to incentive compensation plans or employment arrangements entered into in the ordinary course, or (z) the establishment of a trading plan pursuant to Rule 10b5-1 under the Act, for the transfer of [Common/Preference/Other] Units, provided that such plan does not provide for the transfer</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color w:val="auto"/>
        </w:rPr>
        <w:t>of [Common/Preference/Other] Units during the Lock-Up Period), without the prior written consent of the Representatives;</w:t>
      </w:r>
    </w:p>
    <w:p>
      <w:pPr>
        <w:spacing w:after="0" w:line="225" w:lineRule="exact"/>
        <w:rPr>
          <w:sz w:val="20"/>
          <w:szCs w:val="20"/>
          <w:color w:val="auto"/>
        </w:rPr>
      </w:pPr>
    </w:p>
    <w:p>
      <w:pPr>
        <w:ind w:firstLine="656"/>
        <w:spacing w:after="0" w:line="291" w:lineRule="auto"/>
        <w:tabs>
          <w:tab w:leader="none" w:pos="13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 xml:space="preserve">During the first 12 months following the last Time of Delivery, to furnish to its unitholders as soon as practicable after the end of each fiscal year an annual report (including a balance sheet and statements of income, unitholders’ equity and cash flows of the Partnership and its consolidated subsidiaries certified by an independent registered public accounting firm) and, as soon as practicable after the end of each of the first three quarters of each fiscal year (beginning with the fiscal quarter ending after the effective date of the Registration Statement), to make available to its unitholders consolidated summary financial information of the Partnership and its subsidiaries for such quarter in reasonable detail reviewed in accordance with SAS 100 by an independent registered public accounting firm;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Partnership may satisfy the requirements of this subsection by making any such reports, communications or information available on its website or by filing or furnishing such information with the Commission via EDGAR;</w:t>
      </w:r>
    </w:p>
    <w:p>
      <w:pPr>
        <w:spacing w:after="0" w:line="166" w:lineRule="exact"/>
        <w:rPr>
          <w:rFonts w:ascii="Arial" w:cs="Arial" w:eastAsia="Arial" w:hAnsi="Arial"/>
          <w:sz w:val="16"/>
          <w:szCs w:val="16"/>
          <w:color w:val="auto"/>
        </w:rPr>
      </w:pPr>
    </w:p>
    <w:p>
      <w:pPr>
        <w:ind w:left="1320" w:hanging="664"/>
        <w:spacing w:after="0"/>
        <w:tabs>
          <w:tab w:leader="none" w:pos="13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During a period of three years from the date hereof, to furnish to the Representatives copies of all reports or other</w:t>
      </w:r>
    </w:p>
    <w:p>
      <w:pPr>
        <w:spacing w:after="0" w:line="2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communications (financial or other) furnished to its unitholders, and to deliver to the Representatives as soon as they are available, copies of any reports and financial statements furnished to or filed with the Commission or any national securities exchange on which any class of securities of the Partnership is listed;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Partnership may satisfy the requirements of this subsection by making any such reports, communications or information available on its web site or by filing or furnishing such information with the Commission via EDGAR;</w:t>
      </w:r>
    </w:p>
    <w:p>
      <w:pPr>
        <w:spacing w:after="0" w:line="176" w:lineRule="exact"/>
        <w:rPr>
          <w:sz w:val="20"/>
          <w:szCs w:val="20"/>
          <w:color w:val="auto"/>
        </w:rPr>
      </w:pPr>
    </w:p>
    <w:p>
      <w:pPr>
        <w:ind w:right="100" w:firstLine="656"/>
        <w:spacing w:after="0" w:line="277" w:lineRule="auto"/>
        <w:tabs>
          <w:tab w:leader="none" w:pos="1303" w:val="left"/>
        </w:tabs>
        <w:numPr>
          <w:ilvl w:val="0"/>
          <w:numId w:val="82"/>
        </w:numPr>
        <w:rPr>
          <w:rFonts w:ascii="Arial" w:cs="Arial" w:eastAsia="Arial" w:hAnsi="Arial"/>
          <w:sz w:val="18"/>
          <w:szCs w:val="18"/>
          <w:color w:val="auto"/>
        </w:rPr>
      </w:pPr>
      <w:r>
        <w:rPr>
          <w:rFonts w:ascii="Arial" w:cs="Arial" w:eastAsia="Arial" w:hAnsi="Arial"/>
          <w:sz w:val="18"/>
          <w:szCs w:val="18"/>
          <w:color w:val="auto"/>
        </w:rPr>
        <w:t>To use the net proceeds received by the Partnership from the sale of the Securities pursuant to this Agreement in the manner specified in the Pricing Prospectus under the caption “Use of Proceeds”;</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To use its reasonable best efforts to list, subject to notice of issuance, the Securities on the Exchange;</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To file with the Commission such information on Form 20-F as may be required by Rule 463 under the Act;</w:t>
      </w:r>
    </w:p>
    <w:p>
      <w:pPr>
        <w:spacing w:after="0" w:line="225" w:lineRule="exact"/>
        <w:rPr>
          <w:rFonts w:ascii="Arial" w:cs="Arial" w:eastAsia="Arial" w:hAnsi="Arial"/>
          <w:sz w:val="18"/>
          <w:szCs w:val="18"/>
          <w:color w:val="auto"/>
        </w:rPr>
      </w:pPr>
    </w:p>
    <w:p>
      <w:pPr>
        <w:ind w:right="40" w:firstLine="656"/>
        <w:spacing w:after="0" w:line="287" w:lineRule="auto"/>
        <w:tabs>
          <w:tab w:leader="none" w:pos="1303" w:val="left"/>
        </w:tabs>
        <w:numPr>
          <w:ilvl w:val="0"/>
          <w:numId w:val="82"/>
        </w:numPr>
        <w:rPr>
          <w:rFonts w:ascii="Arial" w:cs="Arial" w:eastAsia="Arial" w:hAnsi="Arial"/>
          <w:sz w:val="16"/>
          <w:szCs w:val="16"/>
          <w:color w:val="auto"/>
        </w:rPr>
      </w:pPr>
      <w:r>
        <w:rPr>
          <w:rFonts w:ascii="Arial" w:cs="Arial" w:eastAsia="Arial" w:hAnsi="Arial"/>
          <w:sz w:val="16"/>
          <w:szCs w:val="16"/>
          <w:color w:val="auto"/>
        </w:rPr>
        <w:t>If the Partnership elects to rely upon Rule 462(b), the Partnership shall file a Rule 462(b) Registration Statement with the Commission in compliance with Rule 462(b) by 10:00 p.m., New York time, on the date of this Agreement, and the Partnership shall at the time of filing either pay to the Commission the filing fee for the Rule 462(b) Registration Statement or give irrevocable instructions for the payment of such fee pursuant to</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Rule 111(b) under the Act; and</w:t>
      </w:r>
    </w:p>
    <w:p>
      <w:pPr>
        <w:spacing w:after="0" w:line="210" w:lineRule="exact"/>
        <w:rPr>
          <w:rFonts w:ascii="Arial" w:cs="Arial" w:eastAsia="Arial" w:hAnsi="Arial"/>
          <w:sz w:val="16"/>
          <w:szCs w:val="16"/>
          <w:color w:val="auto"/>
        </w:rPr>
      </w:pPr>
    </w:p>
    <w:p>
      <w:pPr>
        <w:ind w:right="40" w:firstLine="656"/>
        <w:spacing w:after="0" w:line="263" w:lineRule="auto"/>
        <w:tabs>
          <w:tab w:leader="none" w:pos="1317" w:val="left"/>
        </w:tabs>
        <w:numPr>
          <w:ilvl w:val="0"/>
          <w:numId w:val="82"/>
        </w:numPr>
        <w:rPr>
          <w:rFonts w:ascii="Arial" w:cs="Arial" w:eastAsia="Arial" w:hAnsi="Arial"/>
          <w:sz w:val="18"/>
          <w:szCs w:val="18"/>
          <w:color w:val="auto"/>
        </w:rPr>
      </w:pPr>
      <w:r>
        <w:rPr>
          <w:rFonts w:ascii="Arial" w:cs="Arial" w:eastAsia="Arial" w:hAnsi="Arial"/>
          <w:sz w:val="18"/>
          <w:szCs w:val="18"/>
          <w:color w:val="auto"/>
        </w:rPr>
        <w:t>Upon request of any Underwriter, to furnish, or cause to be furnished, to such Underwriter an electronic version of the Partnership’s trademarks, servicemarks and corporate logo for use on the website, if any, operated by such Underwriter for the purpose of facilitating the on-line offering of the Securities (the “</w:t>
      </w:r>
      <w:r>
        <w:rPr>
          <w:rFonts w:ascii="Arial" w:cs="Arial" w:eastAsia="Arial" w:hAnsi="Arial"/>
          <w:sz w:val="18"/>
          <w:szCs w:val="18"/>
          <w:u w:val="single" w:color="auto"/>
          <w:color w:val="auto"/>
        </w:rPr>
        <w:t>License</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License shall</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81" w:name="page82"/>
    <w:bookmarkEnd w:id="81"/>
    <w:p>
      <w:pPr>
        <w:spacing w:after="0"/>
        <w:rPr>
          <w:sz w:val="20"/>
          <w:szCs w:val="20"/>
          <w:color w:val="auto"/>
        </w:rPr>
      </w:pPr>
      <w:r>
        <w:rPr>
          <w:rFonts w:ascii="Arial" w:cs="Arial" w:eastAsia="Arial" w:hAnsi="Arial"/>
          <w:sz w:val="18"/>
          <w:szCs w:val="18"/>
          <w:color w:val="auto"/>
        </w:rPr>
        <w:t>be used solely for the purpose described above, is granted without any fee and may not be assigned or transferred.</w:t>
      </w:r>
    </w:p>
    <w:p>
      <w:pPr>
        <w:spacing w:after="0" w:line="225" w:lineRule="exact"/>
        <w:rPr>
          <w:sz w:val="20"/>
          <w:szCs w:val="20"/>
          <w:color w:val="auto"/>
        </w:rPr>
      </w:pPr>
    </w:p>
    <w:p>
      <w:pPr>
        <w:ind w:right="100" w:firstLine="656"/>
        <w:spacing w:after="0" w:line="257" w:lineRule="auto"/>
        <w:tabs>
          <w:tab w:leader="none" w:pos="1296"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(a) The Partnership represents and agrees that, without the prior consent of the Representatives, it has not made and will not make any offer relating to the Securities that would constitute a “free writing prospectus” as defined in Rule 405 under the Act; each Underwriter represents and agrees that, without the prior consent of the Partnership and the Representatives, it has not made and will not make any offer relating to the Securities that would constitute a free writing prospectus required to be filed with the Commission; any such free writing prospectus the use of which has been consented to by the Partnership and the Representatives is listed on </w:t>
      </w:r>
      <w:r>
        <w:rPr>
          <w:rFonts w:ascii="Arial" w:cs="Arial" w:eastAsia="Arial" w:hAnsi="Arial"/>
          <w:sz w:val="18"/>
          <w:szCs w:val="18"/>
          <w:u w:val="single" w:color="auto"/>
          <w:color w:val="auto"/>
        </w:rPr>
        <w:t>Schedule III</w:t>
      </w:r>
      <w:r>
        <w:rPr>
          <w:rFonts w:ascii="Arial" w:cs="Arial" w:eastAsia="Arial" w:hAnsi="Arial"/>
          <w:sz w:val="18"/>
          <w:szCs w:val="18"/>
          <w:color w:val="auto"/>
        </w:rPr>
        <w:t xml:space="preserve"> hereto.</w:t>
      </w:r>
    </w:p>
    <w:p>
      <w:pPr>
        <w:spacing w:after="0" w:line="188" w:lineRule="exact"/>
        <w:rPr>
          <w:sz w:val="20"/>
          <w:szCs w:val="20"/>
          <w:color w:val="auto"/>
        </w:rPr>
      </w:pPr>
    </w:p>
    <w:p>
      <w:pPr>
        <w:ind w:right="320" w:firstLine="656"/>
        <w:spacing w:after="0" w:line="277" w:lineRule="auto"/>
        <w:tabs>
          <w:tab w:leader="none" w:pos="1303"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Partnership has complied and will comply with the requirements of Rule 433 under the Act applicable to any Issuer Free Writing Prospectus, including timely filing with the Commission or retention where required and legending.</w:t>
      </w:r>
    </w:p>
    <w:p>
      <w:pPr>
        <w:spacing w:after="0" w:line="170" w:lineRule="exact"/>
        <w:rPr>
          <w:rFonts w:ascii="Arial" w:cs="Arial" w:eastAsia="Arial" w:hAnsi="Arial"/>
          <w:sz w:val="18"/>
          <w:szCs w:val="18"/>
          <w:color w:val="auto"/>
        </w:rPr>
      </w:pPr>
    </w:p>
    <w:p>
      <w:pPr>
        <w:ind w:firstLine="656"/>
        <w:spacing w:after="0" w:line="254" w:lineRule="auto"/>
        <w:tabs>
          <w:tab w:leader="none" w:pos="1307"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The Partnership agrees that if at any time following issuance of an Issuer Free Writing Prospectus any event occurred or occurs as a result of which such Issuer Free Writing Prospectus would conflict with the information in the Registration Statement, the Pricing Prospectus or the Final Prospectus or would include an untrue statement of a material fact or omit to state any material fact necessary in order to make the statements therein, in the light of the circumstances then prevailing, not misleading, the Partnership will give prompt notice thereof to the Representatives and, if requested by the Representatives, will prepare and furnish without charge to each Underwriter an Issuer Free Writing Prospectus or other document which will correct such conflict, statement or omission; </w:t>
      </w:r>
      <w:r>
        <w:rPr>
          <w:rFonts w:ascii="Arial" w:cs="Arial" w:eastAsia="Arial" w:hAnsi="Arial"/>
          <w:sz w:val="18"/>
          <w:szCs w:val="18"/>
          <w:i w:val="1"/>
          <w:iCs w:val="1"/>
          <w:color w:val="auto"/>
        </w:rPr>
        <w:t>provided, however</w:t>
      </w:r>
      <w:r>
        <w:rPr>
          <w:rFonts w:ascii="Arial" w:cs="Arial" w:eastAsia="Arial" w:hAnsi="Arial"/>
          <w:sz w:val="18"/>
          <w:szCs w:val="18"/>
          <w:color w:val="auto"/>
        </w:rPr>
        <w:t>, that this representation and warranty shall not apply to any statements or omissions in an Issuer Free Writing Prospectus made in reliance upon and in conformity with information furnished in writing to the Partnership by an Underwriter through the Representatives expressly for use therein.</w:t>
      </w:r>
    </w:p>
    <w:p>
      <w:pPr>
        <w:spacing w:after="0" w:line="192" w:lineRule="exact"/>
        <w:rPr>
          <w:sz w:val="20"/>
          <w:szCs w:val="20"/>
          <w:color w:val="auto"/>
        </w:rPr>
      </w:pPr>
    </w:p>
    <w:p>
      <w:pPr>
        <w:ind w:left="1300" w:hanging="644"/>
        <w:spacing w:after="0"/>
        <w:tabs>
          <w:tab w:leader="none" w:pos="1300" w:val="left"/>
        </w:tabs>
        <w:numPr>
          <w:ilvl w:val="1"/>
          <w:numId w:val="85"/>
        </w:numPr>
        <w:rPr>
          <w:rFonts w:ascii="Arial" w:cs="Arial" w:eastAsia="Arial" w:hAnsi="Arial"/>
          <w:sz w:val="17"/>
          <w:szCs w:val="17"/>
          <w:color w:val="auto"/>
        </w:rPr>
      </w:pPr>
      <w:r>
        <w:rPr>
          <w:rFonts w:ascii="Arial" w:cs="Arial" w:eastAsia="Arial" w:hAnsi="Arial"/>
          <w:sz w:val="17"/>
          <w:szCs w:val="17"/>
          <w:color w:val="auto"/>
        </w:rPr>
        <w:t>The Partnership covenants and agrees with the several Underwriters that the Partnership will pay or cause to be paid the following:</w:t>
      </w:r>
    </w:p>
    <w:p>
      <w:pPr>
        <w:spacing w:after="0" w:line="34" w:lineRule="exact"/>
        <w:rPr>
          <w:rFonts w:ascii="Arial" w:cs="Arial" w:eastAsia="Arial" w:hAnsi="Arial"/>
          <w:sz w:val="17"/>
          <w:szCs w:val="17"/>
          <w:color w:val="auto"/>
        </w:rPr>
      </w:pPr>
    </w:p>
    <w:p>
      <w:pPr>
        <w:ind w:right="40" w:firstLine="8"/>
        <w:spacing w:after="0" w:line="286" w:lineRule="auto"/>
        <w:tabs>
          <w:tab w:leader="none" w:pos="215" w:val="left"/>
        </w:tabs>
        <w:numPr>
          <w:ilvl w:val="0"/>
          <w:numId w:val="86"/>
        </w:numPr>
        <w:rPr>
          <w:rFonts w:ascii="Arial" w:cs="Arial" w:eastAsia="Arial" w:hAnsi="Arial"/>
          <w:sz w:val="16"/>
          <w:szCs w:val="16"/>
          <w:color w:val="auto"/>
        </w:rPr>
      </w:pPr>
      <w:r>
        <w:rPr>
          <w:rFonts w:ascii="Arial" w:cs="Arial" w:eastAsia="Arial" w:hAnsi="Arial"/>
          <w:sz w:val="16"/>
          <w:szCs w:val="16"/>
          <w:color w:val="auto"/>
        </w:rPr>
        <w:t xml:space="preserve">the reasonable fees, disbursements and expenses of the Partnership’s counsel and accountants in connection with the registration of the Securities under the Act and all other expenses in connection with the preparation, printing, reproduction and filing of the Registration Statement, any Preliminary Prospectus, any Issuer Free Writing Prospectus and the Final Prospectus and amendments and supplements thereto and the mailing and delivering of copies thereof to the Underwriters and dealers up to an agreed amount; (ii) the cost of printing or producing any agreement among the Underwriters, this Agreement, [the Indenture], any Blue Sky memorandum, closing documents (including any compilations thereof) and any other documents in connection with the offering, purchase, sale and delivery of the Securities; (iii) all expenses in connection with the qualification of the Securities for offering and sale under state securities laws as provided in </w:t>
      </w:r>
      <w:r>
        <w:rPr>
          <w:rFonts w:ascii="Arial" w:cs="Arial" w:eastAsia="Arial" w:hAnsi="Arial"/>
          <w:sz w:val="16"/>
          <w:szCs w:val="16"/>
          <w:u w:val="single" w:color="auto"/>
          <w:color w:val="auto"/>
        </w:rPr>
        <w:t>Section 5(b)</w:t>
      </w:r>
      <w:r>
        <w:rPr>
          <w:rFonts w:ascii="Arial" w:cs="Arial" w:eastAsia="Arial" w:hAnsi="Arial"/>
          <w:sz w:val="16"/>
          <w:szCs w:val="16"/>
          <w:color w:val="auto"/>
        </w:rPr>
        <w:t xml:space="preserve"> hereof, including the fees and disbursements of counsel for the Underwriters in connection with such qualification and in connection with the Blue Sky survey; (iv) all fees and expenses in connection with listing the Securities on the Exchange; (v) the filing fees incident to, and the fees and disbursements of counsel for the Underwriters in connection with, any required review by FINRA of the terms of the sale of the Securities (such expenses of counsel shall not exceed $25,000); (vi) the cost of preparing certificates, as applicable; (vii) the cost and charges of any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2" w:name="page83"/>
    <w:bookmarkEnd w:id="82"/>
    <w:p>
      <w:pPr>
        <w:ind w:right="40"/>
        <w:spacing w:after="0" w:line="259" w:lineRule="auto"/>
        <w:rPr>
          <w:sz w:val="20"/>
          <w:szCs w:val="20"/>
          <w:color w:val="auto"/>
        </w:rPr>
      </w:pPr>
      <w:r>
        <w:rPr>
          <w:rFonts w:ascii="Arial" w:cs="Arial" w:eastAsia="Arial" w:hAnsi="Arial"/>
          <w:sz w:val="18"/>
          <w:szCs w:val="18"/>
          <w:color w:val="auto"/>
        </w:rPr>
        <w:t xml:space="preserve">transfer agent or registrar; and (viii) all other costs and expenses incident to the performance of its obligations hereunder which are not otherwise specifically provided for in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It is understood, however, that the Underwriters will pay, except as provided in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Sections 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13</w:t>
      </w:r>
      <w:r>
        <w:rPr>
          <w:rFonts w:ascii="Arial" w:cs="Arial" w:eastAsia="Arial" w:hAnsi="Arial"/>
          <w:sz w:val="18"/>
          <w:szCs w:val="18"/>
          <w:color w:val="auto"/>
        </w:rPr>
        <w:t xml:space="preserve"> hereof, all of their own costs and expenses, including the fees and disbursements of their counsel, transfer taxes on resale of any of the Securities by them, and any advertising expenses connected with any offers they may make.</w:t>
      </w:r>
    </w:p>
    <w:p>
      <w:pPr>
        <w:spacing w:after="0" w:line="187" w:lineRule="exact"/>
        <w:rPr>
          <w:sz w:val="20"/>
          <w:szCs w:val="20"/>
          <w:color w:val="auto"/>
        </w:rPr>
      </w:pPr>
    </w:p>
    <w:p>
      <w:pPr>
        <w:ind w:right="40" w:firstLine="656"/>
        <w:spacing w:after="0" w:line="259" w:lineRule="auto"/>
        <w:tabs>
          <w:tab w:leader="none" w:pos="1296"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obligations of the Underwriters hereunder, as to the Securities to be delivered at each Time of Delivery, shall be subject, in their discretion, to the condition that all representations and warranties and other statements of the Partnership Parties herein are, at and as of such Time of Delivery, true and correct, the condition that the Partnership Parties shall have performed all of their obligations hereunder theretofore to be performed, and the following additional conditions:</w:t>
      </w:r>
    </w:p>
    <w:p>
      <w:pPr>
        <w:spacing w:after="0" w:line="187" w:lineRule="exact"/>
        <w:rPr>
          <w:sz w:val="20"/>
          <w:szCs w:val="20"/>
          <w:color w:val="auto"/>
        </w:rPr>
      </w:pPr>
    </w:p>
    <w:p>
      <w:pPr>
        <w:ind w:firstLine="656"/>
        <w:spacing w:after="0" w:line="290" w:lineRule="auto"/>
        <w:tabs>
          <w:tab w:leader="none" w:pos="1293" w:val="left"/>
        </w:tabs>
        <w:numPr>
          <w:ilvl w:val="0"/>
          <w:numId w:val="88"/>
        </w:numPr>
        <w:rPr>
          <w:rFonts w:ascii="Arial" w:cs="Arial" w:eastAsia="Arial" w:hAnsi="Arial"/>
          <w:sz w:val="16"/>
          <w:szCs w:val="16"/>
          <w:color w:val="auto"/>
        </w:rPr>
      </w:pPr>
      <w:r>
        <w:rPr>
          <w:rFonts w:ascii="Arial" w:cs="Arial" w:eastAsia="Arial" w:hAnsi="Arial"/>
          <w:sz w:val="16"/>
          <w:szCs w:val="16"/>
          <w:color w:val="auto"/>
        </w:rPr>
        <w:t xml:space="preserve">The Final Prospectus shall have been filed with the Commission pursuant to Rule 424(b) under the Act within the applicable time period prescribed for such filing by the rules and regulations under the Act and in accordance with </w:t>
      </w:r>
      <w:r>
        <w:rPr>
          <w:rFonts w:ascii="Arial" w:cs="Arial" w:eastAsia="Arial" w:hAnsi="Arial"/>
          <w:sz w:val="16"/>
          <w:szCs w:val="16"/>
          <w:u w:val="single" w:color="auto"/>
          <w:color w:val="auto"/>
        </w:rPr>
        <w:t>Section 5(a)</w:t>
      </w:r>
      <w:r>
        <w:rPr>
          <w:rFonts w:ascii="Arial" w:cs="Arial" w:eastAsia="Arial" w:hAnsi="Arial"/>
          <w:sz w:val="16"/>
          <w:szCs w:val="16"/>
          <w:color w:val="auto"/>
        </w:rPr>
        <w:t xml:space="preserve"> hereof; all material required to be filed by the Partnership pursuant to Rule 433(d) under the Act shall have been filed with the Commission within the applicable time period prescribed for such filing by Rule 433; if the Partnership has elected to rely upon Rule 462(b) under the Act, the Rule 462(b) Registration Statement shall have become effective by 10:00 p.m., New York time, on the date of this Agreement; no stop order suspending the effectiveness of the Registration Statement or any part thereof shall have been issued and no proceeding for that purpose shall have been initiated or threatened by the Commission; no stop order suspending or preventing the use of the Final Prospectus or any Issuer Free Writing Prospectus shall have been initiated or threatened by the Commission; and all requests for additional information on the part of the Commission shall have been complied with to the reasonable satisfaction of the Representatives;</w:t>
      </w:r>
    </w:p>
    <w:p>
      <w:pPr>
        <w:spacing w:after="0" w:line="165" w:lineRule="exact"/>
        <w:rPr>
          <w:rFonts w:ascii="Arial" w:cs="Arial" w:eastAsia="Arial" w:hAnsi="Arial"/>
          <w:sz w:val="16"/>
          <w:szCs w:val="16"/>
          <w:color w:val="auto"/>
        </w:rPr>
      </w:pPr>
    </w:p>
    <w:p>
      <w:pPr>
        <w:ind w:right="220" w:firstLine="656"/>
        <w:spacing w:after="0" w:line="263" w:lineRule="auto"/>
        <w:tabs>
          <w:tab w:leader="none" w:pos="1303" w:val="left"/>
        </w:tabs>
        <w:numPr>
          <w:ilvl w:val="0"/>
          <w:numId w:val="88"/>
        </w:numPr>
        <w:rPr>
          <w:rFonts w:ascii="Arial" w:cs="Arial" w:eastAsia="Arial" w:hAnsi="Arial"/>
          <w:sz w:val="18"/>
          <w:szCs w:val="18"/>
          <w:color w:val="auto"/>
        </w:rPr>
      </w:pPr>
      <w:r>
        <w:rPr>
          <w:rFonts w:ascii="Arial" w:cs="Arial" w:eastAsia="Arial" w:hAnsi="Arial"/>
          <w:sz w:val="18"/>
          <w:szCs w:val="18"/>
          <w:color w:val="auto"/>
        </w:rPr>
        <w:t>[ ], counsel for the Underwriters, shall have furnished to the Representatives such written opinion or opinions, dated such Time of Delivery, in form and substance reasonably satisfactory to the Representatives, and such counsel shall have received such papers and information as they may reasonably request to enable them to pass upon such matters;</w:t>
      </w:r>
    </w:p>
    <w:p>
      <w:pPr>
        <w:spacing w:after="0" w:line="183" w:lineRule="exact"/>
        <w:rPr>
          <w:rFonts w:ascii="Arial" w:cs="Arial" w:eastAsia="Arial" w:hAnsi="Arial"/>
          <w:sz w:val="18"/>
          <w:szCs w:val="18"/>
          <w:color w:val="auto"/>
        </w:rPr>
      </w:pPr>
    </w:p>
    <w:p>
      <w:pPr>
        <w:ind w:right="20" w:firstLine="656"/>
        <w:spacing w:after="0" w:line="277" w:lineRule="auto"/>
        <w:tabs>
          <w:tab w:leader="none" w:pos="1307" w:val="left"/>
        </w:tabs>
        <w:numPr>
          <w:ilvl w:val="0"/>
          <w:numId w:val="88"/>
        </w:numPr>
        <w:rPr>
          <w:rFonts w:ascii="Arial" w:cs="Arial" w:eastAsia="Arial" w:hAnsi="Arial"/>
          <w:sz w:val="18"/>
          <w:szCs w:val="18"/>
          <w:color w:val="auto"/>
        </w:rPr>
      </w:pPr>
      <w:r>
        <w:rPr>
          <w:rFonts w:ascii="Arial" w:cs="Arial" w:eastAsia="Arial" w:hAnsi="Arial"/>
          <w:sz w:val="18"/>
          <w:szCs w:val="18"/>
          <w:color w:val="auto"/>
        </w:rPr>
        <w:t xml:space="preserve">Cravath, Swaine &amp; Moore LLP, U.S. counsel for the Partnership Parties, shall have furnished to the Representatives their written opinion, dated such Time of Delivery, in form and substance satisfactory to the Representatives, to the effect set forth in </w:t>
      </w:r>
      <w:r>
        <w:rPr>
          <w:rFonts w:ascii="Arial" w:cs="Arial" w:eastAsia="Arial" w:hAnsi="Arial"/>
          <w:sz w:val="18"/>
          <w:szCs w:val="18"/>
          <w:u w:val="single" w:color="auto"/>
          <w:color w:val="auto"/>
        </w:rPr>
        <w:t>Annex I</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480" w:firstLine="656"/>
        <w:spacing w:after="0" w:line="263" w:lineRule="auto"/>
        <w:tabs>
          <w:tab w:leader="none" w:pos="1303" w:val="left"/>
        </w:tabs>
        <w:numPr>
          <w:ilvl w:val="0"/>
          <w:numId w:val="88"/>
        </w:numPr>
        <w:rPr>
          <w:rFonts w:ascii="Arial" w:cs="Arial" w:eastAsia="Arial" w:hAnsi="Arial"/>
          <w:sz w:val="18"/>
          <w:szCs w:val="18"/>
          <w:color w:val="auto"/>
        </w:rPr>
      </w:pPr>
      <w:r>
        <w:rPr>
          <w:rFonts w:ascii="Arial" w:cs="Arial" w:eastAsia="Arial" w:hAnsi="Arial"/>
          <w:sz w:val="18"/>
          <w:szCs w:val="18"/>
          <w:color w:val="auto"/>
        </w:rPr>
        <w:t xml:space="preserve">Cozen O’Connor, special counsel on matters of Marshall Islands law for the Partnership Parties, shall have furnished to the Representatives their written opinion, dated such Time of Delivery, in form and substance satisfactory to the Representatives, to the effect set forth in </w:t>
      </w:r>
      <w:r>
        <w:rPr>
          <w:rFonts w:ascii="Arial" w:cs="Arial" w:eastAsia="Arial" w:hAnsi="Arial"/>
          <w:sz w:val="18"/>
          <w:szCs w:val="18"/>
          <w:u w:val="single" w:color="auto"/>
          <w:color w:val="auto"/>
        </w:rPr>
        <w:t>Annex II</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right="180" w:firstLine="656"/>
        <w:spacing w:after="0" w:line="342" w:lineRule="auto"/>
        <w:tabs>
          <w:tab w:leader="none" w:pos="1307" w:val="left"/>
        </w:tabs>
        <w:numPr>
          <w:ilvl w:val="0"/>
          <w:numId w:val="88"/>
        </w:numPr>
        <w:rPr>
          <w:rFonts w:ascii="Arial" w:cs="Arial" w:eastAsia="Arial" w:hAnsi="Arial"/>
          <w:sz w:val="16"/>
          <w:szCs w:val="16"/>
          <w:color w:val="auto"/>
        </w:rPr>
      </w:pPr>
      <w:r>
        <w:rPr>
          <w:rFonts w:ascii="Arial" w:cs="Arial" w:eastAsia="Arial" w:hAnsi="Arial"/>
          <w:sz w:val="16"/>
          <w:szCs w:val="16"/>
          <w:color w:val="auto"/>
        </w:rPr>
        <w:t xml:space="preserve">Conyers Dill &amp; Pearman Limited, special Bermuda counsel for the Partnership Parties, shall have furnished to the Representatives their written opinion, dated such Time of Delivery, in form and substance satisfactory to the Representatives, to the effect set forth in </w:t>
      </w:r>
      <w:r>
        <w:rPr>
          <w:rFonts w:ascii="Arial" w:cs="Arial" w:eastAsia="Arial" w:hAnsi="Arial"/>
          <w:sz w:val="16"/>
          <w:szCs w:val="16"/>
          <w:u w:val="single" w:color="auto"/>
          <w:color w:val="auto"/>
        </w:rPr>
        <w:t>Annex III</w:t>
      </w:r>
      <w:r>
        <w:rPr>
          <w:rFonts w:ascii="Arial" w:cs="Arial" w:eastAsia="Arial" w:hAnsi="Arial"/>
          <w:sz w:val="16"/>
          <w:szCs w:val="16"/>
          <w:color w:val="auto"/>
        </w:rPr>
        <w: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480" w:firstLine="656"/>
        <w:spacing w:after="0" w:line="263" w:lineRule="auto"/>
        <w:tabs>
          <w:tab w:leader="none" w:pos="13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CMS Cameron McKenna Nabarro Olswang LLP, special English counsel for the Partnership Parties, shall have furnished to the Representatives their written opinion, dated such Time of Delivery, in form and substance satisfactory to the Representatives, to the effect set forth in </w:t>
      </w:r>
      <w:r>
        <w:rPr>
          <w:rFonts w:ascii="Arial" w:cs="Arial" w:eastAsia="Arial" w:hAnsi="Arial"/>
          <w:sz w:val="18"/>
          <w:szCs w:val="18"/>
          <w:u w:val="single" w:color="auto"/>
          <w:color w:val="auto"/>
        </w:rPr>
        <w:t>Annex IV</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right="80" w:firstLine="656"/>
        <w:spacing w:after="0" w:line="259" w:lineRule="auto"/>
        <w:tabs>
          <w:tab w:leader="none" w:pos="1317" w:val="left"/>
        </w:tabs>
        <w:numPr>
          <w:ilvl w:val="0"/>
          <w:numId w:val="89"/>
        </w:numPr>
        <w:rPr>
          <w:rFonts w:ascii="Arial" w:cs="Arial" w:eastAsia="Arial" w:hAnsi="Arial"/>
          <w:sz w:val="18"/>
          <w:szCs w:val="18"/>
          <w:color w:val="auto"/>
        </w:rPr>
      </w:pPr>
      <w:r>
        <w:rPr>
          <w:rFonts w:ascii="Arial" w:cs="Arial" w:eastAsia="Arial" w:hAnsi="Arial"/>
          <w:sz w:val="18"/>
          <w:szCs w:val="18"/>
          <w:color w:val="auto"/>
        </w:rPr>
        <w:t>On the date hereof and at each Time of Delivery, Deloitte LLP shall have furnished to the Representatives a letter or letters, dated the respective dates of delivery thereof, containing statements and information of the type ordinarily included in accountants’ “comfort letters” to underwriters with respect to the financial statements and certain financial information contained in the Registration Statement, Pricing Prospectus and Final Prospectus, in form and substance satisfactory to the Representatives;</w:t>
      </w:r>
    </w:p>
    <w:p>
      <w:pPr>
        <w:spacing w:after="0" w:line="186" w:lineRule="exact"/>
        <w:rPr>
          <w:rFonts w:ascii="Arial" w:cs="Arial" w:eastAsia="Arial" w:hAnsi="Arial"/>
          <w:sz w:val="18"/>
          <w:szCs w:val="18"/>
          <w:color w:val="auto"/>
        </w:rPr>
      </w:pPr>
    </w:p>
    <w:p>
      <w:pPr>
        <w:ind w:right="20" w:firstLine="656"/>
        <w:spacing w:after="0" w:line="289" w:lineRule="auto"/>
        <w:tabs>
          <w:tab w:leader="none" w:pos="1303" w:val="left"/>
        </w:tabs>
        <w:numPr>
          <w:ilvl w:val="0"/>
          <w:numId w:val="89"/>
        </w:numPr>
        <w:rPr>
          <w:rFonts w:ascii="Arial" w:cs="Arial" w:eastAsia="Arial" w:hAnsi="Arial"/>
          <w:sz w:val="16"/>
          <w:szCs w:val="16"/>
          <w:color w:val="auto"/>
        </w:rPr>
      </w:pPr>
      <w:r>
        <w:rPr>
          <w:rFonts w:ascii="Arial" w:cs="Arial" w:eastAsia="Arial" w:hAnsi="Arial"/>
          <w:sz w:val="16"/>
          <w:szCs w:val="16"/>
          <w:color w:val="auto"/>
        </w:rPr>
        <w:t>(i) None of the Partnership Entities shall have sustained since the date of the latest audited financial statements included or incorporated by reference in the Pricing Prospectus any loss or interference with its business from fire, explosion, flood, piracy, terrorism or other calamity, whether or not covered by insurance, or from any labor dispute or court or governmental action, order or decree, otherwise than as set forth or contemplated in the Pricing Prospectus and (ii) since the respective dates as of which information is given in the Pricing Prospectus there shall not have been any change in the capital or long-term debt of the Partnership Entities or any change, or any development involving a prospective change, in or affecting the general affairs, management, financial position, unitholders’ or shareholders’ equity, as applicable, or results of operations of the Partnership Entities, otherwise than as set forth or contemplated in the Pricing Prospectus, the effect of which, in any such case described in clause (i) or (ii), is in the judgment of the Representatives so material and adverse as to make it impracticable or inadvisable to proceed with the public offering or the delivery of the Securities being delivered at such Time of Delivery on the terms and in the manner contemplated in the Final Prospectus;</w:t>
      </w:r>
    </w:p>
    <w:p>
      <w:pPr>
        <w:spacing w:after="0" w:line="166" w:lineRule="exact"/>
        <w:rPr>
          <w:rFonts w:ascii="Arial" w:cs="Arial" w:eastAsia="Arial" w:hAnsi="Arial"/>
          <w:sz w:val="16"/>
          <w:szCs w:val="16"/>
          <w:color w:val="auto"/>
        </w:rPr>
      </w:pPr>
    </w:p>
    <w:p>
      <w:pPr>
        <w:ind w:right="120" w:firstLine="656"/>
        <w:spacing w:after="0" w:line="259" w:lineRule="auto"/>
        <w:tabs>
          <w:tab w:leader="none" w:pos="1317" w:val="left"/>
        </w:tabs>
        <w:numPr>
          <w:ilvl w:val="0"/>
          <w:numId w:val="89"/>
        </w:numPr>
        <w:rPr>
          <w:rFonts w:ascii="Arial" w:cs="Arial" w:eastAsia="Arial" w:hAnsi="Arial"/>
          <w:sz w:val="18"/>
          <w:szCs w:val="18"/>
          <w:color w:val="auto"/>
        </w:rPr>
      </w:pPr>
      <w:r>
        <w:rPr>
          <w:rFonts w:ascii="Arial" w:cs="Arial" w:eastAsia="Arial" w:hAnsi="Arial"/>
          <w:sz w:val="18"/>
          <w:szCs w:val="18"/>
          <w:color w:val="auto"/>
        </w:rPr>
        <w:t>On or after the Applicable Time (i) no downgrading shall have occurred in the rating accorded the Partnership Parties’ debt securities or preferred stock by any “nationally recognized statistical rating organization”, as such term is defined in Section 3(a)(62) of the Exchange Act and (ii) no such organization shall have publicly announced that it has under surveillance or review, with possible negative implications, its rating of any of the Partnership Parties’ debt securities or preferred stock;</w:t>
      </w:r>
    </w:p>
    <w:p>
      <w:pPr>
        <w:spacing w:after="0" w:line="186" w:lineRule="exact"/>
        <w:rPr>
          <w:rFonts w:ascii="Arial" w:cs="Arial" w:eastAsia="Arial" w:hAnsi="Arial"/>
          <w:sz w:val="18"/>
          <w:szCs w:val="18"/>
          <w:color w:val="auto"/>
        </w:rPr>
      </w:pPr>
    </w:p>
    <w:p>
      <w:pPr>
        <w:ind w:right="20" w:firstLine="656"/>
        <w:spacing w:after="0" w:line="272" w:lineRule="auto"/>
        <w:tabs>
          <w:tab w:leader="none" w:pos="1304" w:val="left"/>
        </w:tabs>
        <w:numPr>
          <w:ilvl w:val="0"/>
          <w:numId w:val="89"/>
        </w:numPr>
        <w:rPr>
          <w:rFonts w:ascii="Arial" w:cs="Arial" w:eastAsia="Arial" w:hAnsi="Arial"/>
          <w:sz w:val="17"/>
          <w:szCs w:val="17"/>
          <w:color w:val="auto"/>
        </w:rPr>
      </w:pPr>
      <w:r>
        <w:rPr>
          <w:rFonts w:ascii="Arial" w:cs="Arial" w:eastAsia="Arial" w:hAnsi="Arial"/>
          <w:sz w:val="17"/>
          <w:szCs w:val="17"/>
          <w:color w:val="auto"/>
        </w:rPr>
        <w:t>On or after the Applicable Time there shall not have occurred any of the following: (i) a suspension or material limitation in trading in securities generally on the Exchange or the NASDAQ Global Select Stock Market; (ii) a suspension or material limitation in trading in the Partnership Parties’ securities on the Exchange; (iii) a general moratorium on commercial banking activities declared by either Federal or New York State authorities or a material disruption in commercial banking or securities settlement or clearance services in the United States; (iv) the outbreak or escalation of hostilities involving the United States or the Republic of the Marshall Islands or the declaration by the United States of a national emergency or war; or (v) the occurrence of any other calamity or crisis or any change in financial, political or economic conditions in the United States or elsewhere, if the effect of any such event specified in clause (iv) or (v) in the judgment of the Representatives makes it impracticable or</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997" w:gutter="0" w:footer="0" w:header="0"/>
        </w:sectPr>
      </w:pPr>
    </w:p>
    <w:bookmarkStart w:id="83" w:name="page84"/>
    <w:bookmarkEnd w:id="83"/>
    <w:p>
      <w:pPr>
        <w:ind w:right="280"/>
        <w:spacing w:after="0" w:line="277" w:lineRule="auto"/>
        <w:rPr>
          <w:sz w:val="20"/>
          <w:szCs w:val="20"/>
          <w:color w:val="auto"/>
        </w:rPr>
      </w:pPr>
      <w:r>
        <w:rPr>
          <w:rFonts w:ascii="Arial" w:cs="Arial" w:eastAsia="Arial" w:hAnsi="Arial"/>
          <w:sz w:val="18"/>
          <w:szCs w:val="18"/>
          <w:color w:val="auto"/>
        </w:rPr>
        <w:t>inadvisable to proceed with the public offering or the delivery of the Securities being delivered at such Time of Delivery on the terms and in the manner contemplated in the Final Prospectus;</w:t>
      </w:r>
    </w:p>
    <w:p>
      <w:pPr>
        <w:spacing w:after="0" w:line="170" w:lineRule="exact"/>
        <w:rPr>
          <w:sz w:val="20"/>
          <w:szCs w:val="20"/>
          <w:color w:val="auto"/>
        </w:rPr>
      </w:pPr>
    </w:p>
    <w:p>
      <w:pPr>
        <w:ind w:left="1320" w:hanging="664"/>
        <w:spacing w:after="0"/>
        <w:tabs>
          <w:tab w:leader="none" w:pos="132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Securities to be sold by the Partnership at such Time of Delivery shall have been authorized for listing, subject to notice of issuance,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on the Exchange;</w:t>
      </w:r>
    </w:p>
    <w:p>
      <w:pPr>
        <w:spacing w:after="0" w:line="210" w:lineRule="exact"/>
        <w:rPr>
          <w:rFonts w:ascii="Arial" w:cs="Arial" w:eastAsia="Arial" w:hAnsi="Arial"/>
          <w:sz w:val="16"/>
          <w:szCs w:val="16"/>
          <w:color w:val="auto"/>
        </w:rPr>
      </w:pPr>
    </w:p>
    <w:p>
      <w:pPr>
        <w:ind w:right="300" w:firstLine="656"/>
        <w:spacing w:after="0" w:line="277" w:lineRule="auto"/>
        <w:tabs>
          <w:tab w:leader="none" w:pos="1317"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The Partnership shall have obtained and delivered to the Underwriters executed copies of an agreement substantially in form attached hereto as </w:t>
      </w:r>
      <w:r>
        <w:rPr>
          <w:rFonts w:ascii="Arial" w:cs="Arial" w:eastAsia="Arial" w:hAnsi="Arial"/>
          <w:sz w:val="18"/>
          <w:szCs w:val="18"/>
          <w:u w:val="single" w:color="auto"/>
          <w:color w:val="auto"/>
        </w:rPr>
        <w:t>Schedule V</w:t>
      </w:r>
      <w:r>
        <w:rPr>
          <w:rFonts w:ascii="Arial" w:cs="Arial" w:eastAsia="Arial" w:hAnsi="Arial"/>
          <w:sz w:val="18"/>
          <w:szCs w:val="18"/>
          <w:color w:val="auto"/>
        </w:rPr>
        <w:t xml:space="preserve"> from those individuals and entities listed on </w:t>
      </w:r>
      <w:r>
        <w:rPr>
          <w:rFonts w:ascii="Arial" w:cs="Arial" w:eastAsia="Arial" w:hAnsi="Arial"/>
          <w:sz w:val="18"/>
          <w:szCs w:val="18"/>
          <w:u w:val="single" w:color="auto"/>
          <w:color w:val="auto"/>
        </w:rPr>
        <w:t>Schedule VI</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80" w:firstLine="656"/>
        <w:spacing w:after="0" w:line="277" w:lineRule="auto"/>
        <w:tabs>
          <w:tab w:leader="none" w:pos="1299"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The Partnership shall have complied with the provisions of </w:t>
      </w:r>
      <w:r>
        <w:rPr>
          <w:rFonts w:ascii="Arial" w:cs="Arial" w:eastAsia="Arial" w:hAnsi="Arial"/>
          <w:sz w:val="18"/>
          <w:szCs w:val="18"/>
          <w:u w:val="single" w:color="auto"/>
          <w:color w:val="auto"/>
        </w:rPr>
        <w:t>Section 5(c)</w:t>
      </w:r>
      <w:r>
        <w:rPr>
          <w:rFonts w:ascii="Arial" w:cs="Arial" w:eastAsia="Arial" w:hAnsi="Arial"/>
          <w:sz w:val="18"/>
          <w:szCs w:val="18"/>
          <w:color w:val="auto"/>
        </w:rPr>
        <w:t xml:space="preserve"> hereof with respect to the furnishing of prospectuses on the New York Business Day next succeeding the date of this Agreement; and</w:t>
      </w:r>
    </w:p>
    <w:p>
      <w:pPr>
        <w:spacing w:after="0" w:line="170" w:lineRule="exact"/>
        <w:rPr>
          <w:rFonts w:ascii="Arial" w:cs="Arial" w:eastAsia="Arial" w:hAnsi="Arial"/>
          <w:sz w:val="18"/>
          <w:szCs w:val="18"/>
          <w:color w:val="auto"/>
        </w:rPr>
      </w:pPr>
    </w:p>
    <w:p>
      <w:pPr>
        <w:jc w:val="both"/>
        <w:ind w:right="140" w:firstLine="656"/>
        <w:spacing w:after="0" w:line="301" w:lineRule="auto"/>
        <w:tabs>
          <w:tab w:leader="none" w:pos="1303"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Partnership shall have furnished or caused to be furnished to the Representatives at such Time of Delivery certificates of officers of the Partnership satisfactory to the Representatives as to the accuracy of the representations and warranties of the Partnership herein at and as of such Time of Delivery, as to the performance by the Partnership of all of its obligations hereunder to be performed at or prior to such Time of Delivery, as to the matters set forth in subsection (a) of this Section and as to such other matters as the Representatives may reasonably request.</w:t>
      </w:r>
    </w:p>
    <w:p>
      <w:pPr>
        <w:spacing w:after="0" w:line="157" w:lineRule="exact"/>
        <w:rPr>
          <w:sz w:val="20"/>
          <w:szCs w:val="20"/>
          <w:color w:val="auto"/>
        </w:rPr>
      </w:pPr>
    </w:p>
    <w:p>
      <w:pPr>
        <w:ind w:firstLine="656"/>
        <w:spacing w:after="0" w:line="269" w:lineRule="auto"/>
        <w:tabs>
          <w:tab w:leader="none" w:pos="1296" w:val="left"/>
        </w:tabs>
        <w:numPr>
          <w:ilvl w:val="0"/>
          <w:numId w:val="91"/>
        </w:numPr>
        <w:rPr>
          <w:rFonts w:ascii="Arial" w:cs="Arial" w:eastAsia="Arial" w:hAnsi="Arial"/>
          <w:sz w:val="17"/>
          <w:szCs w:val="17"/>
          <w:color w:val="auto"/>
        </w:rPr>
      </w:pPr>
      <w:r>
        <w:rPr>
          <w:rFonts w:ascii="Arial" w:cs="Arial" w:eastAsia="Arial" w:hAnsi="Arial"/>
          <w:sz w:val="17"/>
          <w:szCs w:val="17"/>
          <w:color w:val="auto"/>
        </w:rPr>
        <w:t xml:space="preserve">(a) The Partnership Parties will indemnify and hold harmless each Underwriter against any losses, claims, damages or liabilities, joint or several, to which such Underwriter may become 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Pricing Prospectus or the Final Prospectus, or any amendment or supplement thereto, any Issuer Free Writing Prospectus or any “issuer information” filed or required to be filed pursuant to Rule 433(d) under the Act, or arise out of or are based upon the omission or alleged omission to state therein a material fact required to be stated therein or necessary to make the statements therein not misleading, and will reimburse each Underwriter for any legal or other expenses reasonably incurred by such Underwriter in connection with investigating or defending any such action or claim as such expenses are incurred;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Partnership Parties shall not be liable in any such case to the extent that any such loss, claim, damage or liability arises out of or is based upon an untrue statement or alleged untrue statement or omission or alleged omission made in the Registration Statement, any Preliminary Prospectus, the Pricing Prospectus, the Final Prospectus, or any amendment or supplement thereto, any Issuer Free Writing Prospectus, in reliance upon and in conformity with written information furnished to the Partnership Parties by any Underwriter through the Representatives expressly for use therein.</w:t>
      </w:r>
    </w:p>
    <w:p>
      <w:pPr>
        <w:spacing w:after="0" w:line="179" w:lineRule="exact"/>
        <w:rPr>
          <w:sz w:val="20"/>
          <w:szCs w:val="20"/>
          <w:color w:val="auto"/>
        </w:rPr>
      </w:pPr>
    </w:p>
    <w:p>
      <w:pPr>
        <w:ind w:right="40" w:firstLine="656"/>
        <w:spacing w:after="0" w:line="279" w:lineRule="auto"/>
        <w:tabs>
          <w:tab w:leader="none" w:pos="1303" w:val="left"/>
        </w:tabs>
        <w:numPr>
          <w:ilvl w:val="0"/>
          <w:numId w:val="92"/>
        </w:numPr>
        <w:rPr>
          <w:rFonts w:ascii="Arial" w:cs="Arial" w:eastAsia="Arial" w:hAnsi="Arial"/>
          <w:sz w:val="17"/>
          <w:szCs w:val="17"/>
          <w:color w:val="auto"/>
        </w:rPr>
      </w:pPr>
      <w:r>
        <w:rPr>
          <w:rFonts w:ascii="Arial" w:cs="Arial" w:eastAsia="Arial" w:hAnsi="Arial"/>
          <w:sz w:val="17"/>
          <w:szCs w:val="17"/>
          <w:color w:val="auto"/>
        </w:rPr>
        <w:t>Each Underwriter, severally and not jointly, will indemnify and hold harmless the Partnership Parties against any losses, claims, damages or liabilities to which the Partnership Parties may become 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Pricing Prospectus or the Final Prospectus, or any amendment or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4" w:name="page85"/>
    <w:bookmarkEnd w:id="84"/>
    <w:p>
      <w:pPr>
        <w:ind w:right="140"/>
        <w:spacing w:after="0" w:line="272" w:lineRule="auto"/>
        <w:rPr>
          <w:sz w:val="20"/>
          <w:szCs w:val="20"/>
          <w:color w:val="auto"/>
        </w:rPr>
      </w:pPr>
      <w:r>
        <w:rPr>
          <w:rFonts w:ascii="Arial" w:cs="Arial" w:eastAsia="Arial" w:hAnsi="Arial"/>
          <w:sz w:val="17"/>
          <w:szCs w:val="17"/>
          <w:color w:val="auto"/>
        </w:rPr>
        <w:t>supplement thereto, any Issuer Free Writing Prospectus,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any Preliminary Prospectus, the Pricing Prospectus or the Final Prospectus, or any amendment or supplement thereto, any Issuer Free Writing Prospectus, in reliance upon and in conformity with written information furnished to the Partnership Parties by such Underwriter through the Representatives expressly for use therein; and will reimburse the Partnership Parties for any legal or other expenses reasonably incurred by the Partnership Parties in connection with investigating or defending any such action or claim as such expenses are incurred.</w:t>
      </w:r>
    </w:p>
    <w:p>
      <w:pPr>
        <w:spacing w:after="0" w:line="177" w:lineRule="exact"/>
        <w:rPr>
          <w:sz w:val="20"/>
          <w:szCs w:val="20"/>
          <w:color w:val="auto"/>
        </w:rPr>
      </w:pPr>
    </w:p>
    <w:p>
      <w:pPr>
        <w:ind w:firstLine="656"/>
        <w:spacing w:after="0" w:line="268" w:lineRule="auto"/>
        <w:tabs>
          <w:tab w:leader="none" w:pos="1307" w:val="left"/>
        </w:tabs>
        <w:numPr>
          <w:ilvl w:val="0"/>
          <w:numId w:val="93"/>
        </w:numPr>
        <w:rPr>
          <w:rFonts w:ascii="Arial" w:cs="Arial" w:eastAsia="Arial" w:hAnsi="Arial"/>
          <w:sz w:val="17"/>
          <w:szCs w:val="17"/>
          <w:color w:val="auto"/>
        </w:rPr>
      </w:pPr>
      <w:r>
        <w:rPr>
          <w:rFonts w:ascii="Arial" w:cs="Arial" w:eastAsia="Arial" w:hAnsi="Arial"/>
          <w:sz w:val="17"/>
          <w:szCs w:val="17"/>
          <w:color w:val="auto"/>
        </w:rPr>
        <w:t xml:space="preserve">Promptly after receipt by an indemnified party under subsection (a) or (b) above or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of notice of the commencement of any action, such indemnified party shall, if a claim in respect thereof is to be made against the indemnifying party under such subsection or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notify the indemnifying party in writing of the commencement thereof; but the omission so to notify the indemnifying party shall not relieve it from any liability which it may have to any indemnified party otherwise than under such subsection or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or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for any legal expenses of other counsel or any other expenses, in each case subsequently incurred by such indemnified party, in connection with the defense thereof other than reasonable costs of investigation.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181" w:lineRule="exact"/>
        <w:rPr>
          <w:rFonts w:ascii="Arial" w:cs="Arial" w:eastAsia="Arial" w:hAnsi="Arial"/>
          <w:sz w:val="17"/>
          <w:szCs w:val="17"/>
          <w:color w:val="auto"/>
        </w:rPr>
      </w:pPr>
    </w:p>
    <w:p>
      <w:pPr>
        <w:ind w:right="20" w:firstLine="656"/>
        <w:spacing w:after="0" w:line="254" w:lineRule="auto"/>
        <w:tabs>
          <w:tab w:leader="none" w:pos="1303"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If the indemnification provided for in this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is unavailable to or insufficient to hold harmless an indemnified party under subsection (a) or (b)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Partnership Parties on the one hand and the Underwriters on the other from the offering of the Securities. If, however, the allocation provided by the immediately preceding sentence is not permitted by applicable law or if the indemnified party failed to give the notice required under subsection (c) above, then each indemnifying party shall contribute to such amount paid or payable by such</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85" w:name="page86"/>
    <w:bookmarkEnd w:id="85"/>
    <w:p>
      <w:pPr>
        <w:spacing w:after="0" w:line="267" w:lineRule="auto"/>
        <w:rPr>
          <w:sz w:val="20"/>
          <w:szCs w:val="20"/>
          <w:color w:val="auto"/>
        </w:rPr>
      </w:pPr>
      <w:r>
        <w:rPr>
          <w:rFonts w:ascii="Arial" w:cs="Arial" w:eastAsia="Arial" w:hAnsi="Arial"/>
          <w:sz w:val="17"/>
          <w:szCs w:val="17"/>
          <w:color w:val="auto"/>
        </w:rPr>
        <w:t>indemnified party in such proportion as is appropriate to reflect not only such relative benefits but also the relative fault of the Partnership Parties on the one hand and the Underwriters on the other in connection with the statements or omissions which resulted in such losses, claims, damages or liabilities (or actions in respect thereof), as well as any other relevant equitable considerations. The relative benefits received by the Partnership Parties on the one hand and the Underwriters on the other shall be deemed to be in the same proportion as the total net proceeds from the offering (before deducting expenses) received by the Partnership Parties bear to the total underwriting discounts and commissions received by the Underwriters, in each case as set forth in the table on the cover page of the Final Prospectus. The relative fault shall be determined by reference to, among other things, whether the untrue or alleged untrue statement of a material fact or the omission or alleged omission to state a material fact relates to information supplied by the Partnership Parties on the one hand or the Underwriters on the other and the parties’ relative intent, knowledge, access to information and opportunity to correct or prevent such statement or omission. The Partnership Parties and the Underwriters agree that it would not be just and equitable if contribution pursuant to this subsection (d) were determined by pro rata allocation (even if the Underwriters were treated as one entity for such purposes)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no Underwriter shall be required to contribute any amount in excess of the amount by which the total price at which the Securities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in this subsection (d) to contribute are several in proportion to their respective underwriting obligations and not joint.</w:t>
      </w:r>
    </w:p>
    <w:p>
      <w:pPr>
        <w:spacing w:after="0" w:line="188" w:lineRule="exact"/>
        <w:rPr>
          <w:sz w:val="20"/>
          <w:szCs w:val="20"/>
          <w:color w:val="auto"/>
        </w:rPr>
      </w:pPr>
    </w:p>
    <w:p>
      <w:pPr>
        <w:ind w:right="60" w:firstLine="656"/>
        <w:spacing w:after="0" w:line="254" w:lineRule="auto"/>
        <w:tabs>
          <w:tab w:leader="none" w:pos="1307"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The obligations of the Partnership Parties under this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shall be in addition to any liability which the Partnership Parties may otherwise have and shall extend, upon the same terms and conditions, to each person, if any, who controls any Underwriter within the meaning of the Act, each broker-dealer affiliate of any Underwriter and each director, officer, employee and agent of any Underwriter or broker-dealer affiliate of any Underwriter; and the obligations of the Underwriters under this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shall be in addition to any liability which the respective Underwriters may otherwise have and shall extend, upon the same terms and conditions, to each officer and director of the Partnership (including any person who, with his or her consent, is named in the Registration Statement as about to become a director of the Partnership) and to each person, if any, who controls the Partnership within the meaning of the Act.</w:t>
      </w:r>
    </w:p>
    <w:p>
      <w:pPr>
        <w:spacing w:after="0" w:line="195" w:lineRule="exact"/>
        <w:rPr>
          <w:sz w:val="20"/>
          <w:szCs w:val="20"/>
          <w:color w:val="auto"/>
        </w:rPr>
      </w:pPr>
    </w:p>
    <w:p>
      <w:pPr>
        <w:ind w:right="160" w:firstLine="656"/>
        <w:spacing w:after="0" w:line="277" w:lineRule="auto"/>
        <w:tabs>
          <w:tab w:leader="none" w:pos="1291"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Partnership Parties hereby confirm that at their request [ ] has without compensation acted as “qualified independent underwriter” (in such capacity, the “</w:t>
      </w:r>
      <w:r>
        <w:rPr>
          <w:rFonts w:ascii="Arial" w:cs="Arial" w:eastAsia="Arial" w:hAnsi="Arial"/>
          <w:sz w:val="18"/>
          <w:szCs w:val="18"/>
          <w:u w:val="single" w:color="auto"/>
          <w:color w:val="auto"/>
        </w:rPr>
        <w:t>QIU</w:t>
      </w:r>
      <w:r>
        <w:rPr>
          <w:rFonts w:ascii="Arial" w:cs="Arial" w:eastAsia="Arial" w:hAnsi="Arial"/>
          <w:sz w:val="18"/>
          <w:szCs w:val="18"/>
          <w:color w:val="auto"/>
        </w:rPr>
        <w:t>”), within the meaning of FINRA Rule 5121, in connection with the offering of the Securities.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86" w:name="page87"/>
    <w:bookmarkEnd w:id="86"/>
    <w:p>
      <w:pPr>
        <w:spacing w:after="0" w:line="271" w:lineRule="auto"/>
        <w:rPr>
          <w:sz w:val="20"/>
          <w:szCs w:val="20"/>
          <w:color w:val="auto"/>
        </w:rPr>
      </w:pPr>
      <w:r>
        <w:rPr>
          <w:rFonts w:ascii="Arial" w:cs="Arial" w:eastAsia="Arial" w:hAnsi="Arial"/>
          <w:sz w:val="17"/>
          <w:szCs w:val="17"/>
          <w:color w:val="auto"/>
        </w:rPr>
        <w:t>Partnership Parties will indemnify and hold harmless the QIU, its directors, officers, employees and agents and each person, if any, who controls such Underwriter within the meaning of Section 15 of the Act or Section 20 of the Exchange Act against any and all losses, claims, damages or liabilities, joint or several, to which the QIU may become subject, under the Act, the Exchange Act, other Federal or state statutory law or regulation or otherwise, insofar as such losses, claims, damages or liabilities (or actions in respect thereof) arise out of or are based upon the QIU’s acting (or alleged failing to act) as such “qualified independent underwriter” and will reimburse the QIU for any legal or other expenses reasonably incurred by the QIU in connection with investigating or defending any such loss, claim, damage, liability or action as such expenses are incurred, provided, however, that the Partnership Parties will not be liable in any such case to the extent that any such loss, claim, damage or liability is finally judicially determined to have resulted from the gross negligence or willful misconduct of the QIU.]</w:t>
      </w:r>
    </w:p>
    <w:p>
      <w:pPr>
        <w:spacing w:after="0" w:line="178" w:lineRule="exact"/>
        <w:rPr>
          <w:sz w:val="20"/>
          <w:szCs w:val="20"/>
          <w:color w:val="auto"/>
        </w:rPr>
      </w:pPr>
    </w:p>
    <w:p>
      <w:pPr>
        <w:ind w:right="100" w:firstLine="656"/>
        <w:spacing w:after="0" w:line="269" w:lineRule="auto"/>
        <w:tabs>
          <w:tab w:leader="none" w:pos="1285" w:val="left"/>
        </w:tabs>
        <w:numPr>
          <w:ilvl w:val="0"/>
          <w:numId w:val="96"/>
        </w:numPr>
        <w:rPr>
          <w:rFonts w:ascii="Arial" w:cs="Arial" w:eastAsia="Arial" w:hAnsi="Arial"/>
          <w:sz w:val="17"/>
          <w:szCs w:val="17"/>
          <w:color w:val="auto"/>
        </w:rPr>
      </w:pPr>
      <w:r>
        <w:rPr>
          <w:rFonts w:ascii="Arial" w:cs="Arial" w:eastAsia="Arial" w:hAnsi="Arial"/>
          <w:sz w:val="17"/>
          <w:szCs w:val="17"/>
          <w:color w:val="auto"/>
        </w:rPr>
        <w:t xml:space="preserve">(a) If any Underwriter shall default in its obligation to purchase the Securities which it has agreed to purchase hereunder at a Time of Delivery, the Representatives may in their discretion arrange for the Representatives or another party or other parties to purchase such Securities on the terms contained herein. If within thirty-six hours after such default by any Underwriter the Representatives do not arrange for the purchase of such Securities, then the Partnership shall be entitled to a further period of thirty-six hours within which to procure another party or other parties satisfactory to the Representatives to purchase such Securities on such terms. In the event that, within the respective prescribed periods, the Representatives notify the Partnership that the Representatives have so arranged for the purchase of such Securities, or the Partnership notifies the Representatives that it has so arranged for the purchase of such Securities, the Representatives or the Partnership shall have the right to postpone such Time of Delivery for a period of not more than seven days, in order to effect whatever changes may thereby be made necessary in the Registration Statement or the Final Prospectus, or in any other documents or arrangements, and the Partnership agrees to file promptly any amendments or supplements to the Registration Statement or the Final Prospectus which in the opinion of the Representatives may thereby be made necessary. The term “Underwriter” as used in this Agreement shall include any person substituted under this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with like effect as if such person had originally been a party to this Agreement with respect to such Securities.</w:t>
      </w:r>
    </w:p>
    <w:p>
      <w:pPr>
        <w:spacing w:after="0" w:line="179" w:lineRule="exact"/>
        <w:rPr>
          <w:sz w:val="20"/>
          <w:szCs w:val="20"/>
          <w:color w:val="auto"/>
        </w:rPr>
      </w:pPr>
    </w:p>
    <w:p>
      <w:pPr>
        <w:ind w:right="240" w:firstLine="656"/>
        <w:spacing w:after="0" w:line="272" w:lineRule="auto"/>
        <w:tabs>
          <w:tab w:leader="none" w:pos="1303" w:val="left"/>
        </w:tabs>
        <w:numPr>
          <w:ilvl w:val="0"/>
          <w:numId w:val="97"/>
        </w:numPr>
        <w:rPr>
          <w:rFonts w:ascii="Arial" w:cs="Arial" w:eastAsia="Arial" w:hAnsi="Arial"/>
          <w:sz w:val="17"/>
          <w:szCs w:val="17"/>
          <w:color w:val="auto"/>
        </w:rPr>
      </w:pPr>
      <w:r>
        <w:rPr>
          <w:rFonts w:ascii="Arial" w:cs="Arial" w:eastAsia="Arial" w:hAnsi="Arial"/>
          <w:sz w:val="17"/>
          <w:szCs w:val="17"/>
          <w:color w:val="auto"/>
        </w:rPr>
        <w:t>If, after giving effect to any arrangements for the purchase of the Securities of a defaulting Underwriter or Underwriters by the Representatives and the Partnership as provided in subsection (a) above, the aggregate number of such Securities which remains unpurchased does not exceed one-eleventh of the aggregate number of all the Securities to be purchased at such Time of Delivery, then the Partnership shall have the right to require each non-defaulting Underwriter to purchase the number of Securities which such Underwriter agreed to purchase hereunder at such Time of Delivery and, in addition, to require each non-defaulting Underwriter to purchase its pro rata share (based on the number of Securities which such Underwriter agreed to purchase hereunder) of the Securities of such defaulting Underwriter or Underwriters for which such arrangements have not been made; but nothing herein shall relieve a defaulting Underwriter from liability for its default.</w:t>
      </w:r>
    </w:p>
    <w:p>
      <w:pPr>
        <w:spacing w:after="0" w:line="177" w:lineRule="exact"/>
        <w:rPr>
          <w:rFonts w:ascii="Arial" w:cs="Arial" w:eastAsia="Arial" w:hAnsi="Arial"/>
          <w:sz w:val="17"/>
          <w:szCs w:val="17"/>
          <w:color w:val="auto"/>
        </w:rPr>
      </w:pPr>
    </w:p>
    <w:p>
      <w:pPr>
        <w:ind w:right="760" w:firstLine="656"/>
        <w:spacing w:after="0" w:line="342" w:lineRule="auto"/>
        <w:tabs>
          <w:tab w:leader="none" w:pos="1307" w:val="left"/>
        </w:tabs>
        <w:numPr>
          <w:ilvl w:val="0"/>
          <w:numId w:val="97"/>
        </w:numPr>
        <w:rPr>
          <w:rFonts w:ascii="Arial" w:cs="Arial" w:eastAsia="Arial" w:hAnsi="Arial"/>
          <w:sz w:val="16"/>
          <w:szCs w:val="16"/>
          <w:color w:val="auto"/>
        </w:rPr>
      </w:pPr>
      <w:r>
        <w:rPr>
          <w:rFonts w:ascii="Arial" w:cs="Arial" w:eastAsia="Arial" w:hAnsi="Arial"/>
          <w:sz w:val="16"/>
          <w:szCs w:val="16"/>
          <w:color w:val="auto"/>
        </w:rPr>
        <w:t>If, after giving effect to any arrangements for the purchase of the Securities of a defaulting Underwriter or Underwriters by the Representatives and the Partnership as provided in subsection (a) above, the aggregate number of such Securities which remains unpurchased</w:t>
      </w:r>
    </w:p>
    <w:p>
      <w:pPr>
        <w:spacing w:after="0" w:line="1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87" w:name="page88"/>
    <w:bookmarkEnd w:id="87"/>
    <w:p>
      <w:pPr>
        <w:spacing w:after="0" w:line="273" w:lineRule="auto"/>
        <w:rPr>
          <w:sz w:val="20"/>
          <w:szCs w:val="20"/>
          <w:color w:val="auto"/>
        </w:rPr>
      </w:pPr>
      <w:r>
        <w:rPr>
          <w:rFonts w:ascii="Arial" w:cs="Arial" w:eastAsia="Arial" w:hAnsi="Arial"/>
          <w:sz w:val="17"/>
          <w:szCs w:val="17"/>
          <w:color w:val="auto"/>
        </w:rPr>
        <w:t xml:space="preserve">exceeds one-eleventh of the aggregate number of all the Securities to be purchased at such Time of Delivery, or if the Partnership shall not exercise the right described in subsection (b) above to require non-defaulting Underwriters to purchase Securities of a defaulting Underwriter or Underwriters, then this Agreement (or, with respect to the Second Time of Delivery, the obligations of the Underwriters to purchase and of the Partnership to sell the Option Securities) shall thereupon terminate, without liability on the part of any non-defaulting Underwriter or the Partnership, except for the expenses to be borne by the Partnership Parties, as applicable, and the Underwriters as provided in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hereof and the indemnity and contribution agreements in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hereof; but nothing herein shall relieve a defaulting Underwriter from liability for its default.</w:t>
      </w:r>
    </w:p>
    <w:p>
      <w:pPr>
        <w:spacing w:after="0" w:line="178" w:lineRule="exact"/>
        <w:rPr>
          <w:sz w:val="20"/>
          <w:szCs w:val="20"/>
          <w:color w:val="auto"/>
        </w:rPr>
      </w:pPr>
    </w:p>
    <w:p>
      <w:pPr>
        <w:ind w:firstLine="656"/>
        <w:spacing w:after="0" w:line="257" w:lineRule="auto"/>
        <w:tabs>
          <w:tab w:leader="none" w:pos="1291"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respective indemnities, agreements, representations, warranties and other statements of the Partnership Parties and the several Underwriters, as set forth in this Agreement or made by or on behalf of them, respectively, pursuant to this Agreement, shall remain in full force and effect, regardless of any investigation (or any statement as to the results thereof) made by or on behalf of any Underwriter or any controlling person of any Underwriter, or the Partnership, or any officer or director or controlling person of the Partnership, and shall survive delivery of and payment for the Securities.</w:t>
      </w:r>
    </w:p>
    <w:p>
      <w:pPr>
        <w:spacing w:after="0" w:line="187" w:lineRule="exact"/>
        <w:rPr>
          <w:rFonts w:ascii="Arial" w:cs="Arial" w:eastAsia="Arial" w:hAnsi="Arial"/>
          <w:sz w:val="18"/>
          <w:szCs w:val="18"/>
          <w:color w:val="auto"/>
        </w:rPr>
      </w:pPr>
    </w:p>
    <w:p>
      <w:pPr>
        <w:ind w:right="100" w:firstLine="656"/>
        <w:spacing w:after="0" w:line="273" w:lineRule="auto"/>
        <w:tabs>
          <w:tab w:leader="none" w:pos="1291" w:val="left"/>
        </w:tabs>
        <w:numPr>
          <w:ilvl w:val="0"/>
          <w:numId w:val="98"/>
        </w:numPr>
        <w:rPr>
          <w:rFonts w:ascii="Arial" w:cs="Arial" w:eastAsia="Arial" w:hAnsi="Arial"/>
          <w:sz w:val="17"/>
          <w:szCs w:val="17"/>
          <w:color w:val="auto"/>
        </w:rPr>
      </w:pPr>
      <w:r>
        <w:rPr>
          <w:rFonts w:ascii="Arial" w:cs="Arial" w:eastAsia="Arial" w:hAnsi="Arial"/>
          <w:sz w:val="17"/>
          <w:szCs w:val="17"/>
          <w:color w:val="auto"/>
        </w:rPr>
        <w:t xml:space="preserve">If this Agreement shall be terminated pursuant to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hereof, the Partnership Parties, as applicable, shall not then be under any liability to any Underwriter except as provided in </w:t>
      </w:r>
      <w:r>
        <w:rPr>
          <w:rFonts w:ascii="Arial" w:cs="Arial" w:eastAsia="Arial" w:hAnsi="Arial"/>
          <w:sz w:val="17"/>
          <w:szCs w:val="17"/>
          <w:u w:val="single" w:color="auto"/>
          <w:color w:val="auto"/>
        </w:rPr>
        <w:t>Sections 7</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w:t>
      </w:r>
      <w:r>
        <w:rPr>
          <w:rFonts w:ascii="Arial" w:cs="Arial" w:eastAsia="Arial" w:hAnsi="Arial"/>
          <w:sz w:val="17"/>
          <w:szCs w:val="17"/>
          <w:color w:val="auto"/>
        </w:rPr>
        <w:t xml:space="preserve"> hereof; but, if for any other reason, any Securities are not delivered by or on behalf of the Partnership as provided herein, the Partnership Parties will reimburse the Representatives for all out-of-pocket expenses approved in writing by the Representatives, including fees and disbursements of counsel, reasonably incurred by the Underwriters in making preparations for the purchase, sale and delivery of the Securities not so delivered, but the Partnership Parties shall then be under no further liability in respect of the Securities not so delivered to any Underwriter except as provided in </w:t>
      </w:r>
      <w:r>
        <w:rPr>
          <w:rFonts w:ascii="Arial" w:cs="Arial" w:eastAsia="Arial" w:hAnsi="Arial"/>
          <w:sz w:val="17"/>
          <w:szCs w:val="17"/>
          <w:u w:val="single" w:color="auto"/>
          <w:color w:val="auto"/>
        </w:rPr>
        <w:t>Sections 7</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w:t>
      </w:r>
      <w:r>
        <w:rPr>
          <w:rFonts w:ascii="Arial" w:cs="Arial" w:eastAsia="Arial" w:hAnsi="Arial"/>
          <w:sz w:val="17"/>
          <w:szCs w:val="17"/>
          <w:color w:val="auto"/>
        </w:rPr>
        <w:t xml:space="preserve"> hereof.</w:t>
      </w:r>
    </w:p>
    <w:p>
      <w:pPr>
        <w:spacing w:after="0" w:line="177" w:lineRule="exact"/>
        <w:rPr>
          <w:rFonts w:ascii="Arial" w:cs="Arial" w:eastAsia="Arial" w:hAnsi="Arial"/>
          <w:sz w:val="17"/>
          <w:szCs w:val="17"/>
          <w:color w:val="auto"/>
        </w:rPr>
      </w:pPr>
    </w:p>
    <w:p>
      <w:pPr>
        <w:ind w:firstLine="656"/>
        <w:spacing w:after="0" w:line="308" w:lineRule="auto"/>
        <w:tabs>
          <w:tab w:leader="none" w:pos="1291" w:val="left"/>
        </w:tabs>
        <w:numPr>
          <w:ilvl w:val="0"/>
          <w:numId w:val="98"/>
        </w:numPr>
        <w:rPr>
          <w:rFonts w:ascii="Arial" w:cs="Arial" w:eastAsia="Arial" w:hAnsi="Arial"/>
          <w:sz w:val="17"/>
          <w:szCs w:val="17"/>
          <w:color w:val="auto"/>
        </w:rPr>
      </w:pPr>
      <w:r>
        <w:rPr>
          <w:rFonts w:ascii="Arial" w:cs="Arial" w:eastAsia="Arial" w:hAnsi="Arial"/>
          <w:sz w:val="17"/>
          <w:szCs w:val="17"/>
          <w:color w:val="auto"/>
        </w:rPr>
        <w:t>In all dealings hereunder, the Representatives shall act on behalf of each of the Underwriters, and the parties hereto shall be entitled to act and rely upon any statement, request, notice or agreement on behalf of any Underwriter made or given by the Representatives.</w:t>
      </w:r>
    </w:p>
    <w:p>
      <w:pPr>
        <w:spacing w:after="0" w:line="146"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All statements, requests, notices and agreements hereunder shall be in writing, and if to the Underwriters shall be delivered or sent by mail, telex or facsimile transmission to the Representatives at, in the case of [ ], to [ ], Attention: [ ], in the case of [ ], to [ ], Attention: [ ], and in the case of [ ], to [ ], Attention: [ ], Facsimile: [ ]; and if to the Partnership shall be delivered or sent by mail, telex or facsimile transmission to the address of the Partnership set forth in the Registration Statement, Attention: Chief Financial Officer.</w:t>
      </w:r>
    </w:p>
    <w:p>
      <w:pPr>
        <w:spacing w:after="0" w:line="187" w:lineRule="exact"/>
        <w:rPr>
          <w:sz w:val="20"/>
          <w:szCs w:val="20"/>
          <w:color w:val="auto"/>
        </w:rPr>
      </w:pPr>
    </w:p>
    <w:p>
      <w:pPr>
        <w:jc w:val="both"/>
        <w:ind w:right="40" w:firstLine="648"/>
        <w:spacing w:after="0" w:line="311" w:lineRule="auto"/>
        <w:rPr>
          <w:sz w:val="20"/>
          <w:szCs w:val="20"/>
          <w:color w:val="auto"/>
        </w:rPr>
      </w:pPr>
      <w:r>
        <w:rPr>
          <w:rFonts w:ascii="Arial" w:cs="Arial" w:eastAsia="Arial" w:hAnsi="Arial"/>
          <w:sz w:val="16"/>
          <w:szCs w:val="16"/>
          <w:color w:val="auto"/>
        </w:rPr>
        <w:t>In accordance with the requirements of the USA Patriot Act (Title III of Pub. L. 107-56 (signed into law October 26, 2001)), the Underwriters are required to obtain, verify and record information that identifies their respective clients, including the Partnership, which information may include the name and address of their respective clients, as well as other information that will allow the Underwriters to properly identify their respective clients.</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88" w:name="page89"/>
    <w:bookmarkEnd w:id="88"/>
    <w:p>
      <w:pPr>
        <w:ind w:left="-60" w:right="260" w:firstLine="656"/>
        <w:spacing w:after="0" w:line="301" w:lineRule="auto"/>
        <w:tabs>
          <w:tab w:leader="none" w:pos="1231" w:val="left"/>
        </w:tabs>
        <w:numPr>
          <w:ilvl w:val="0"/>
          <w:numId w:val="99"/>
        </w:numPr>
        <w:rPr>
          <w:rFonts w:ascii="Arial" w:cs="Arial" w:eastAsia="Arial" w:hAnsi="Arial"/>
          <w:sz w:val="16"/>
          <w:szCs w:val="16"/>
          <w:color w:val="auto"/>
        </w:rPr>
      </w:pPr>
      <w:r>
        <w:rPr>
          <w:rFonts w:ascii="Arial" w:cs="Arial" w:eastAsia="Arial" w:hAnsi="Arial"/>
          <w:sz w:val="16"/>
          <w:szCs w:val="16"/>
          <w:color w:val="auto"/>
        </w:rPr>
        <w:t xml:space="preserve">This Agreement shall be binding upon, and inure solely to the benefit of, the Underwriters, the Partnership Parties and, to the extent provided in </w:t>
      </w:r>
      <w:r>
        <w:rPr>
          <w:rFonts w:ascii="Arial" w:cs="Arial" w:eastAsia="Arial" w:hAnsi="Arial"/>
          <w:sz w:val="16"/>
          <w:szCs w:val="16"/>
          <w:u w:val="single" w:color="auto"/>
          <w:color w:val="auto"/>
        </w:rPr>
        <w:t>Sections 9</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12</w:t>
      </w:r>
      <w:r>
        <w:rPr>
          <w:rFonts w:ascii="Arial" w:cs="Arial" w:eastAsia="Arial" w:hAnsi="Arial"/>
          <w:sz w:val="16"/>
          <w:szCs w:val="16"/>
          <w:color w:val="auto"/>
        </w:rPr>
        <w:t xml:space="preserve"> hereof, the officers and directors of the Partnership and each person who controls the Partnership or any Underwriter, and their respective heirs, executors, administrators, successors and assigns, and no other person shall acquire or have any right under or by virtue of this Agreement. No purchaser of any of the Securities from any Underwriter shall be deemed a successor or assign by reason merely of such purchase.</w:t>
      </w:r>
    </w:p>
    <w:p>
      <w:pPr>
        <w:spacing w:after="0" w:line="157" w:lineRule="exact"/>
        <w:rPr>
          <w:rFonts w:ascii="Arial" w:cs="Arial" w:eastAsia="Arial" w:hAnsi="Arial"/>
          <w:sz w:val="16"/>
          <w:szCs w:val="16"/>
          <w:color w:val="auto"/>
        </w:rPr>
      </w:pPr>
    </w:p>
    <w:p>
      <w:pPr>
        <w:ind w:left="-60" w:right="320" w:firstLine="656"/>
        <w:spacing w:after="0" w:line="277" w:lineRule="auto"/>
        <w:tabs>
          <w:tab w:leader="none" w:pos="1231" w:val="left"/>
        </w:tabs>
        <w:numPr>
          <w:ilvl w:val="0"/>
          <w:numId w:val="99"/>
        </w:numPr>
        <w:rPr>
          <w:rFonts w:ascii="Arial" w:cs="Arial" w:eastAsia="Arial" w:hAnsi="Arial"/>
          <w:sz w:val="18"/>
          <w:szCs w:val="18"/>
          <w:color w:val="auto"/>
        </w:rPr>
      </w:pPr>
      <w:r>
        <w:rPr>
          <w:rFonts w:ascii="Arial" w:cs="Arial" w:eastAsia="Arial" w:hAnsi="Arial"/>
          <w:sz w:val="18"/>
          <w:szCs w:val="18"/>
          <w:color w:val="auto"/>
        </w:rPr>
        <w:t>Time shall be of the essence of this Agreement. As used herein, the term “business day” shall mean any day when the Commission’s office in Washington, D.C. is open for business.</w:t>
      </w:r>
    </w:p>
    <w:p>
      <w:pPr>
        <w:spacing w:after="0" w:line="170" w:lineRule="exact"/>
        <w:rPr>
          <w:rFonts w:ascii="Arial" w:cs="Arial" w:eastAsia="Arial" w:hAnsi="Arial"/>
          <w:sz w:val="18"/>
          <w:szCs w:val="18"/>
          <w:color w:val="auto"/>
        </w:rPr>
      </w:pPr>
    </w:p>
    <w:p>
      <w:pPr>
        <w:ind w:left="-60" w:firstLine="656"/>
        <w:spacing w:after="0" w:line="270" w:lineRule="auto"/>
        <w:tabs>
          <w:tab w:leader="none" w:pos="1231"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Partnership Parties acknowledge and agree that (i) the purchase and sale of the Securities pursuant to this Agreement is an arm’s-length commercial transaction between the Partnership Parties, on the one hand, and the several Underwriters, on the other, (ii) in connection therewith and with the process leading to such transaction each Underwriter is acting solely as a principal and not the agent or fiduciary of the Partnership Parties, (iii) no Underwriter has assumed an advisory or fiduciary responsibility in favor of the Partnership Parties with respect to the offering contemplated hereby or the process leading thereto (irrespective of whether such Underwriter has advised or is currently advising the Partnership Parties on other matters) or any other obligation to the Partnership Parties except the obligations expressly set forth in this Agreement and (iv) the Partnership Parties have consulted their own legal and financial advisors to the extent they deemed appropriate. The Partnership Parties agree that they will not claim that the Underwriters have rendered advisory services of any nature or respect, or owes a fiduciary or similar duty to the Partnership Parties, in connection with such transaction or the process leading thereto.</w:t>
      </w:r>
    </w:p>
    <w:p>
      <w:pPr>
        <w:spacing w:after="0" w:line="180" w:lineRule="exact"/>
        <w:rPr>
          <w:rFonts w:ascii="Arial" w:cs="Arial" w:eastAsia="Arial" w:hAnsi="Arial"/>
          <w:sz w:val="17"/>
          <w:szCs w:val="17"/>
          <w:color w:val="auto"/>
        </w:rPr>
      </w:pPr>
    </w:p>
    <w:p>
      <w:pPr>
        <w:ind w:left="-60" w:right="300" w:firstLine="656"/>
        <w:spacing w:after="0" w:line="277" w:lineRule="auto"/>
        <w:tabs>
          <w:tab w:leader="none" w:pos="1231"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This Agreement supersedes all prior agreements and understandings (whether written or oral) between the Partnership Parties and the Underwriters, or any of them, with respect to the subject matter hereof.</w:t>
      </w:r>
    </w:p>
    <w:p>
      <w:pPr>
        <w:spacing w:after="0" w:line="170" w:lineRule="exact"/>
        <w:rPr>
          <w:rFonts w:ascii="Arial" w:cs="Arial" w:eastAsia="Arial" w:hAnsi="Arial"/>
          <w:sz w:val="18"/>
          <w:szCs w:val="18"/>
          <w:color w:val="auto"/>
        </w:rPr>
      </w:pPr>
    </w:p>
    <w:p>
      <w:pPr>
        <w:ind w:left="-60" w:right="80" w:firstLine="656"/>
        <w:spacing w:after="0" w:line="273" w:lineRule="auto"/>
        <w:tabs>
          <w:tab w:leader="none" w:pos="1231"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THIS AGREEMENT AND ANY MATTERS RELATED TO THIS TRANSACTION SHALL BE GOVERNED BY AND CONSTRUED IN ACCORDANCE WITH THE LAWS OF THE STATE OF NEW YORK WITHOUT REGARD TO PRINCIPLES OF CONFLICT OF LAWS THAT WOULD RESULT IN THE APPLICATION OF ANY LAW OTHER THAN THE LAWS OF THE STATE OF NEW YORK. The Partnership Parties agree that any suit or proceeding arising in respect of this agreement or the engagement of the Representatives will be tried exclusively in the U.S. District Court for the Southern District of New York or, if that court does not have subject matter jurisdiction, in any state court located in The City and County of New York, and the Partnership Parties agree to submit to the jurisdiction of, and to venue in, such courts.</w:t>
      </w:r>
    </w:p>
    <w:p>
      <w:pPr>
        <w:spacing w:after="0" w:line="177" w:lineRule="exact"/>
        <w:rPr>
          <w:rFonts w:ascii="Arial" w:cs="Arial" w:eastAsia="Arial" w:hAnsi="Arial"/>
          <w:sz w:val="17"/>
          <w:szCs w:val="17"/>
          <w:color w:val="auto"/>
        </w:rPr>
      </w:pPr>
    </w:p>
    <w:p>
      <w:pPr>
        <w:ind w:left="-60" w:right="80" w:firstLine="656"/>
        <w:spacing w:after="0" w:line="259" w:lineRule="auto"/>
        <w:tabs>
          <w:tab w:leader="none" w:pos="1231"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Partnership has appointed Puglisi &amp; Associates as its authorized agent (the “</w:t>
      </w:r>
      <w:r>
        <w:rPr>
          <w:rFonts w:ascii="Arial" w:cs="Arial" w:eastAsia="Arial" w:hAnsi="Arial"/>
          <w:sz w:val="18"/>
          <w:szCs w:val="18"/>
          <w:u w:val="single" w:color="auto"/>
          <w:color w:val="auto"/>
        </w:rPr>
        <w:t>Authorized Agent</w:t>
      </w:r>
      <w:r>
        <w:rPr>
          <w:rFonts w:ascii="Arial" w:cs="Arial" w:eastAsia="Arial" w:hAnsi="Arial"/>
          <w:sz w:val="18"/>
          <w:szCs w:val="18"/>
          <w:color w:val="auto"/>
        </w:rPr>
        <w:t>”) upon whom process may be served in any suit, action or proceeding arising out of or based upon this Agreement or the transactions contemplated herein which may be instituted, by any Underwriter, the directors, officers, employees and agents of any Underwriter, or by any person who controls any Underwriter, and expressly accepts the non-exclusive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1532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40"/>
          </w:cols>
          <w:pgMar w:left="380" w:top="341" w:right="379" w:bottom="1440" w:gutter="0" w:footer="0" w:header="0"/>
        </w:sectPr>
      </w:pPr>
    </w:p>
    <w:bookmarkStart w:id="89" w:name="page90"/>
    <w:bookmarkEnd w:id="89"/>
    <w:p>
      <w:pPr>
        <w:ind w:right="120"/>
        <w:spacing w:after="0" w:line="279" w:lineRule="auto"/>
        <w:rPr>
          <w:sz w:val="20"/>
          <w:szCs w:val="20"/>
          <w:color w:val="auto"/>
        </w:rPr>
      </w:pPr>
      <w:r>
        <w:rPr>
          <w:rFonts w:ascii="Arial" w:cs="Arial" w:eastAsia="Arial" w:hAnsi="Arial"/>
          <w:sz w:val="17"/>
          <w:szCs w:val="17"/>
          <w:color w:val="auto"/>
        </w:rPr>
        <w:t>jurisdiction of any such court in respect of any such suit, action or proceeding. The Partnership hereby represents and warrants that the Authorized Agent has accepted such appointment and has agreed to act as said agent for service of process, and each of them agrees to take any and all action, including the filing of any and all documents that may be necessary to continue such appointment in full force and effect as aforesaid. Service of process upon the Authorized Agent shall be deemed, in every respect, effective service of process upon the Partnership.</w:t>
      </w:r>
    </w:p>
    <w:p>
      <w:pPr>
        <w:spacing w:after="0" w:line="171" w:lineRule="exact"/>
        <w:rPr>
          <w:sz w:val="20"/>
          <w:szCs w:val="20"/>
          <w:color w:val="auto"/>
        </w:rPr>
      </w:pPr>
    </w:p>
    <w:p>
      <w:pPr>
        <w:ind w:right="40" w:firstLine="656"/>
        <w:spacing w:after="0" w:line="308" w:lineRule="auto"/>
        <w:tabs>
          <w:tab w:leader="none" w:pos="1291"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Partnership Parties and each of the Underwriters hereby irrevocably waive, to the fullest extent permitted by applicable law, any and all right to trial by jury in any legal proceeding arising out of or relating to this Agreement or the transactions contemplated hereby.</w:t>
      </w:r>
    </w:p>
    <w:p>
      <w:pPr>
        <w:spacing w:after="0" w:line="146" w:lineRule="exact"/>
        <w:rPr>
          <w:rFonts w:ascii="Arial" w:cs="Arial" w:eastAsia="Arial" w:hAnsi="Arial"/>
          <w:sz w:val="17"/>
          <w:szCs w:val="17"/>
          <w:color w:val="auto"/>
        </w:rPr>
      </w:pPr>
    </w:p>
    <w:p>
      <w:pPr>
        <w:ind w:right="40" w:firstLine="656"/>
        <w:spacing w:after="0" w:line="277" w:lineRule="auto"/>
        <w:tabs>
          <w:tab w:leader="none" w:pos="1291"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This Agreement may be executed by any one or more of the parties hereto in any number of counterparts, each of which shall be deemed to be an original, but all such counterparts shall together constitute one and the same instrument.</w:t>
      </w:r>
    </w:p>
    <w:p>
      <w:pPr>
        <w:spacing w:after="0" w:line="170" w:lineRule="exact"/>
        <w:rPr>
          <w:rFonts w:ascii="Arial" w:cs="Arial" w:eastAsia="Arial" w:hAnsi="Arial"/>
          <w:sz w:val="18"/>
          <w:szCs w:val="18"/>
          <w:color w:val="auto"/>
        </w:rPr>
      </w:pPr>
    </w:p>
    <w:p>
      <w:pPr>
        <w:ind w:firstLine="656"/>
        <w:spacing w:after="0" w:line="275" w:lineRule="auto"/>
        <w:tabs>
          <w:tab w:leader="none" w:pos="1291" w:val="left"/>
        </w:tabs>
        <w:numPr>
          <w:ilvl w:val="0"/>
          <w:numId w:val="100"/>
        </w:numPr>
        <w:rPr>
          <w:rFonts w:ascii="Arial" w:cs="Arial" w:eastAsia="Arial" w:hAnsi="Arial"/>
          <w:sz w:val="17"/>
          <w:szCs w:val="17"/>
          <w:color w:val="auto"/>
        </w:rPr>
      </w:pPr>
      <w:r>
        <w:rPr>
          <w:rFonts w:ascii="Arial" w:cs="Arial" w:eastAsia="Arial" w:hAnsi="Arial"/>
          <w:sz w:val="17"/>
          <w:szCs w:val="17"/>
          <w:color w:val="auto"/>
        </w:rPr>
        <w:t>Each of the Underwriters confirms and the Partnership Parties acknowledge and agree that the statements regarding delivery of shares by the Underwriters set forth on the cover page of, and the concession and reallowance figures and the paragraph relating to stabilization by the Underwriters appearing under the caption “Underwriting” in, the most recent Preliminary Prospectus and the Prospectus are correct and constitute the only information concerning the Underwriters furnished in writing to the Partnership Parties by or on behalf of the Underwriters specifically for inclusion in any Preliminary Prospectus or any Issuer Free Writing Prospectus or in any amendment or supplement thereto.</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90" w:name="page91"/>
    <w:bookmarkEnd w:id="90"/>
    <w:p>
      <w:pPr>
        <w:ind w:firstLine="648"/>
        <w:spacing w:after="0" w:line="273" w:lineRule="auto"/>
        <w:rPr>
          <w:sz w:val="20"/>
          <w:szCs w:val="20"/>
          <w:color w:val="auto"/>
        </w:rPr>
      </w:pPr>
      <w:r>
        <w:rPr>
          <w:rFonts w:ascii="Arial" w:cs="Arial" w:eastAsia="Arial" w:hAnsi="Arial"/>
          <w:sz w:val="17"/>
          <w:szCs w:val="17"/>
          <w:color w:val="auto"/>
        </w:rPr>
        <w:t>If the foregoing is in accordance with the understanding of the Representatives, please sign and return to the Representatives one copy for each of the Partnership Parties and the Representatives plus one copy for each counsel counterparts hereof, and upon the acceptance hereof by the Representatives, on behalf of each of the Underwriters, this letter and such acceptance hereof shall constitute a binding agreement between each of the Underwriters and the Partnership Parties. It is understood that the acceptance by the Representatives of this letter on behalf of each of the Underwriters is pursuant to the authority set forth in a form of agreement among Underwriters, the form of which shall be submitted to the Partnership for examination upon request, but without warranty on the part of the Representatives as to the authority of the signers thereof.</w:t>
      </w:r>
    </w:p>
    <w:p>
      <w:pPr>
        <w:spacing w:after="0" w:line="17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GasLog Partners GP LLC</w:t>
      </w:r>
    </w:p>
    <w:p>
      <w:pPr>
        <w:spacing w:after="0" w:line="225" w:lineRule="exact"/>
        <w:rPr>
          <w:sz w:val="20"/>
          <w:szCs w:val="20"/>
          <w:color w:val="auto"/>
        </w:rPr>
      </w:pPr>
    </w:p>
    <w:p>
      <w:pPr>
        <w:ind w:left="5640"/>
        <w:spacing w:after="0"/>
        <w:tabs>
          <w:tab w:leader="none" w:pos="6140" w:val="left"/>
        </w:tabs>
        <w:rPr>
          <w:sz w:val="20"/>
          <w:szCs w:val="20"/>
          <w:color w:val="auto"/>
        </w:rPr>
      </w:pPr>
      <w:r>
        <w:rPr>
          <w:rFonts w:ascii="Arial" w:cs="Arial" w:eastAsia="Arial" w:hAnsi="Arial"/>
          <w:sz w:val="18"/>
          <w:szCs w:val="18"/>
          <w:color w:val="auto"/>
        </w:rPr>
        <w:t>By:</w:t>
        <w:tab/>
        <w:t>GasLog Ltd., as sole member</w:t>
      </w:r>
    </w:p>
    <w:p>
      <w:pPr>
        <w:spacing w:after="0" w:line="22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14605</wp:posOffset>
            </wp:positionV>
            <wp:extent cx="323151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9">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pacing w:after="0" w:line="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jc w:val="center"/>
        <w:ind w:left="14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GasLog Partners LP</w:t>
      </w:r>
    </w:p>
    <w:p>
      <w:pPr>
        <w:spacing w:after="0" w:line="22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14605</wp:posOffset>
            </wp:positionV>
            <wp:extent cx="323151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0">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pacing w:after="0" w:line="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GasLog Partners Holdings LLC</w:t>
      </w:r>
    </w:p>
    <w:p>
      <w:pPr>
        <w:spacing w:after="0" w:line="225" w:lineRule="exact"/>
        <w:rPr>
          <w:sz w:val="20"/>
          <w:szCs w:val="20"/>
          <w:color w:val="auto"/>
        </w:rPr>
      </w:pPr>
    </w:p>
    <w:p>
      <w:pPr>
        <w:ind w:left="5640"/>
        <w:spacing w:after="0"/>
        <w:tabs>
          <w:tab w:leader="none" w:pos="6140" w:val="left"/>
        </w:tabs>
        <w:rPr>
          <w:sz w:val="20"/>
          <w:szCs w:val="20"/>
          <w:color w:val="auto"/>
        </w:rPr>
      </w:pPr>
      <w:r>
        <w:rPr>
          <w:rFonts w:ascii="Arial" w:cs="Arial" w:eastAsia="Arial" w:hAnsi="Arial"/>
          <w:sz w:val="18"/>
          <w:szCs w:val="18"/>
          <w:color w:val="auto"/>
        </w:rPr>
        <w:t>By:</w:t>
        <w:tab/>
        <w:t>GasLog Partners LP, as sole member</w:t>
      </w:r>
    </w:p>
    <w:p>
      <w:pPr>
        <w:spacing w:after="0" w:line="22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14605</wp:posOffset>
            </wp:positionV>
            <wp:extent cx="323151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1">
                      <a:extLst>
                        <a:ext uri="{28A0092B-C50C-407E-A947-70E740481C1C}"/>
                      </a:extLst>
                    </a:blip>
                    <a:srcRect/>
                    <a:stretch>
                      <a:fillRect/>
                    </a:stretch>
                  </pic:blipFill>
                  <pic:spPr bwMode="auto">
                    <a:xfrm>
                      <a:off x="0" y="0"/>
                      <a:ext cx="3231515" cy="8890"/>
                    </a:xfrm>
                    <a:prstGeom prst="rect">
                      <a:avLst/>
                    </a:prstGeom>
                    <a:noFill/>
                  </pic:spPr>
                </pic:pic>
              </a:graphicData>
            </a:graphic>
          </wp:anchor>
        </w:drawing>
      </w:r>
    </w:p>
    <w:p>
      <w:pPr>
        <w:spacing w:after="0" w:line="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1532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91" w:name="page92"/>
    <w:bookmarkEnd w:id="91"/>
    <w:p>
      <w:pPr>
        <w:spacing w:after="0"/>
        <w:rPr>
          <w:sz w:val="20"/>
          <w:szCs w:val="20"/>
          <w:color w:val="auto"/>
        </w:rPr>
      </w:pPr>
      <w:r>
        <w:rPr>
          <w:rFonts w:ascii="Arial" w:cs="Arial" w:eastAsia="Arial" w:hAnsi="Arial"/>
          <w:sz w:val="18"/>
          <w:szCs w:val="18"/>
          <w:color w:val="auto"/>
        </w:rPr>
        <w:t>Accepted as of the date hereof:</w:t>
      </w:r>
    </w:p>
    <w:p>
      <w:pPr>
        <w:spacing w:after="0" w:line="225" w:lineRule="exact"/>
        <w:rPr>
          <w:sz w:val="20"/>
          <w:szCs w:val="20"/>
          <w:color w:val="auto"/>
        </w:rPr>
      </w:pPr>
    </w:p>
    <w:p>
      <w:pPr>
        <w:ind w:left="160" w:hanging="152"/>
        <w:spacing w:after="0"/>
        <w:tabs>
          <w:tab w:leader="none" w:pos="1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14605</wp:posOffset>
            </wp:positionV>
            <wp:extent cx="32232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3">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160" w:hanging="152"/>
        <w:spacing w:after="0"/>
        <w:tabs>
          <w:tab w:leader="none" w:pos="1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14605</wp:posOffset>
            </wp:positionV>
            <wp:extent cx="32232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4">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160" w:hanging="152"/>
        <w:spacing w:after="0"/>
        <w:tabs>
          <w:tab w:leader="none" w:pos="1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14605</wp:posOffset>
            </wp:positionV>
            <wp:extent cx="32232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5">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On behalf of each of the Underwriters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532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Schedule I</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vMerge w:val="restart"/>
          </w:tcPr>
          <w:p>
            <w:pPr>
              <w:jc w:val="center"/>
              <w:ind w:left="288"/>
              <w:spacing w:after="0"/>
              <w:rPr>
                <w:sz w:val="20"/>
                <w:szCs w:val="20"/>
                <w:color w:val="auto"/>
              </w:rPr>
            </w:pPr>
            <w:r>
              <w:rPr>
                <w:rFonts w:ascii="Arial" w:cs="Arial" w:eastAsia="Arial" w:hAnsi="Arial"/>
                <w:sz w:val="14"/>
                <w:szCs w:val="14"/>
                <w:b w:val="1"/>
                <w:bCs w:val="1"/>
                <w:color w:val="auto"/>
                <w:w w:val="93"/>
              </w:rPr>
              <w:t>Total Number of</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Optional Securities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92"/>
              </w:rPr>
              <w:t>[</w:t>
            </w:r>
            <w:r>
              <w:rPr>
                <w:rFonts w:ascii="Arial" w:cs="Arial" w:eastAsia="Arial" w:hAnsi="Arial"/>
                <w:sz w:val="14"/>
                <w:szCs w:val="14"/>
                <w:b w:val="1"/>
                <w:bCs w:val="1"/>
                <w:i w:val="1"/>
                <w:iCs w:val="1"/>
                <w:color w:val="auto"/>
                <w:w w:val="92"/>
              </w:rPr>
              <w:t>Insert Title of</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to be Purchased if</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Underwriter</w:t>
            </w:r>
          </w:p>
        </w:tc>
        <w:tc>
          <w:tcPr>
            <w:tcW w:w="1680" w:type="dxa"/>
            <w:vAlign w:val="bottom"/>
          </w:tcPr>
          <w:p>
            <w:pPr>
              <w:jc w:val="center"/>
              <w:ind w:left="288"/>
              <w:spacing w:after="0" w:line="149" w:lineRule="exact"/>
              <w:rPr>
                <w:sz w:val="20"/>
                <w:szCs w:val="20"/>
                <w:color w:val="auto"/>
              </w:rPr>
            </w:pPr>
            <w:r>
              <w:rPr>
                <w:rFonts w:ascii="Arial" w:cs="Arial" w:eastAsia="Arial" w:hAnsi="Arial"/>
                <w:sz w:val="14"/>
                <w:szCs w:val="14"/>
                <w:b w:val="1"/>
                <w:bCs w:val="1"/>
                <w:i w:val="1"/>
                <w:iCs w:val="1"/>
                <w:color w:val="auto"/>
                <w:w w:val="91"/>
              </w:rPr>
              <w:t>Offered Security</w:t>
            </w:r>
            <w:r>
              <w:rPr>
                <w:rFonts w:ascii="Arial" w:cs="Arial" w:eastAsia="Arial" w:hAnsi="Arial"/>
                <w:sz w:val="14"/>
                <w:szCs w:val="14"/>
                <w:b w:val="1"/>
                <w:bCs w:val="1"/>
                <w:color w:val="auto"/>
                <w:w w:val="91"/>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Maximum Option</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980" w:type="dxa"/>
            <w:vAlign w:val="bottom"/>
            <w:gridSpan w:val="3"/>
            <w:vMerge w:val="continue"/>
          </w:tcPr>
          <w:p>
            <w:pPr>
              <w:spacing w:after="0"/>
              <w:rPr>
                <w:sz w:val="14"/>
                <w:szCs w:val="14"/>
                <w:color w:val="auto"/>
              </w:rPr>
            </w:pPr>
          </w:p>
        </w:tc>
        <w:tc>
          <w:tcPr>
            <w:tcW w:w="1680" w:type="dxa"/>
            <w:vAlign w:val="bottom"/>
          </w:tcPr>
          <w:p>
            <w:pPr>
              <w:jc w:val="center"/>
              <w:ind w:left="288"/>
              <w:spacing w:after="0"/>
              <w:rPr>
                <w:sz w:val="20"/>
                <w:szCs w:val="20"/>
                <w:color w:val="auto"/>
              </w:rPr>
            </w:pPr>
            <w:r>
              <w:rPr>
                <w:rFonts w:ascii="Arial" w:cs="Arial" w:eastAsia="Arial" w:hAnsi="Arial"/>
                <w:sz w:val="14"/>
                <w:szCs w:val="14"/>
                <w:b w:val="1"/>
                <w:bCs w:val="1"/>
                <w:color w:val="auto"/>
                <w:w w:val="91"/>
              </w:rPr>
              <w:t>to be Purchased</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tcPr>
          <w:p>
            <w:pPr>
              <w:jc w:val="center"/>
              <w:ind w:left="40"/>
              <w:spacing w:after="0"/>
              <w:rPr>
                <w:sz w:val="20"/>
                <w:szCs w:val="20"/>
                <w:color w:val="auto"/>
              </w:rPr>
            </w:pPr>
            <w:r>
              <w:rPr>
                <w:rFonts w:ascii="Arial" w:cs="Arial" w:eastAsia="Arial" w:hAnsi="Arial"/>
                <w:sz w:val="14"/>
                <w:szCs w:val="14"/>
                <w:b w:val="1"/>
                <w:bCs w:val="1"/>
                <w:color w:val="auto"/>
                <w:w w:val="90"/>
              </w:rPr>
              <w:t>Exercised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40" w:type="dxa"/>
            <w:vAlign w:val="bottom"/>
            <w:tcBorders>
              <w:top w:val="single" w:sz="8" w:color="auto"/>
            </w:tcBorders>
            <w:shd w:val="clear" w:color="auto" w:fill="CCEEFF"/>
          </w:tcPr>
          <w:p>
            <w:pPr>
              <w:jc w:val="right"/>
              <w:ind w:right="645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6640" w:type="dxa"/>
            <w:vAlign w:val="bottom"/>
          </w:tcPr>
          <w:p>
            <w:pPr>
              <w:jc w:val="right"/>
              <w:ind w:right="64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40" w:type="dxa"/>
            <w:vAlign w:val="bottom"/>
            <w:shd w:val="clear" w:color="auto" w:fill="CCEEFF"/>
          </w:tcPr>
          <w:p>
            <w:pPr>
              <w:jc w:val="right"/>
              <w:ind w:right="64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980" w:type="dxa"/>
            <w:vAlign w:val="bottom"/>
            <w:gridSpan w:val="3"/>
          </w:tcPr>
          <w:p>
            <w:pPr>
              <w:spacing w:after="0"/>
              <w:rPr>
                <w:sz w:val="20"/>
                <w:szCs w:val="20"/>
                <w:color w:val="auto"/>
              </w:rPr>
            </w:pPr>
            <w:r>
              <w:rPr>
                <w:rFonts w:ascii="Arial" w:cs="Arial" w:eastAsia="Arial" w:hAnsi="Arial"/>
                <w:sz w:val="18"/>
                <w:szCs w:val="18"/>
                <w:color w:val="auto"/>
              </w:rPr>
              <w:t>Total</w:t>
            </w:r>
          </w:p>
        </w:tc>
        <w:tc>
          <w:tcPr>
            <w:tcW w:w="168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u w:val="single" w:color="auto"/>
          <w:color w:val="auto"/>
        </w:rPr>
        <w:t>Schedule 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[Pricing Term Sheet]</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81280</wp:posOffset>
            </wp:positionV>
            <wp:extent cx="715327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93" w:name="page94"/>
    <w:bookmarkEnd w:id="93"/>
    <w:p>
      <w:pPr>
        <w:jc w:val="center"/>
        <w:ind w:right="-1100"/>
        <w:spacing w:after="0"/>
        <w:rPr>
          <w:sz w:val="20"/>
          <w:szCs w:val="20"/>
          <w:color w:val="auto"/>
        </w:rPr>
      </w:pPr>
      <w:r>
        <w:rPr>
          <w:rFonts w:ascii="Arial" w:cs="Arial" w:eastAsia="Arial" w:hAnsi="Arial"/>
          <w:sz w:val="18"/>
          <w:szCs w:val="18"/>
          <w:b w:val="1"/>
          <w:bCs w:val="1"/>
          <w:u w:val="single" w:color="auto"/>
          <w:color w:val="auto"/>
        </w:rPr>
        <w:t>Schedule III</w:t>
      </w:r>
    </w:p>
    <w:p>
      <w:pPr>
        <w:spacing w:after="0" w:line="225" w:lineRule="exact"/>
        <w:rPr>
          <w:sz w:val="20"/>
          <w:szCs w:val="20"/>
          <w:color w:val="auto"/>
        </w:rPr>
      </w:pPr>
    </w:p>
    <w:p>
      <w:pPr>
        <w:jc w:val="right"/>
        <w:ind w:right="3579"/>
        <w:spacing w:after="0"/>
        <w:rPr>
          <w:sz w:val="20"/>
          <w:szCs w:val="20"/>
          <w:color w:val="auto"/>
        </w:rPr>
      </w:pPr>
      <w:r>
        <w:rPr>
          <w:rFonts w:ascii="Arial" w:cs="Arial" w:eastAsia="Arial" w:hAnsi="Arial"/>
          <w:sz w:val="18"/>
          <w:szCs w:val="18"/>
          <w:b w:val="1"/>
          <w:bCs w:val="1"/>
          <w:color w:val="auto"/>
        </w:rPr>
        <w:t>Free Writing Prospectus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25"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Schedule III-1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u w:val="single" w:color="auto"/>
          <w:color w:val="auto"/>
        </w:rPr>
        <w:t>Schedule IV(a)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Owned Vessels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40" w:type="dxa"/>
            <w:vAlign w:val="bottom"/>
            <w:gridSpan w:val="2"/>
          </w:tcPr>
          <w:p>
            <w:pPr>
              <w:spacing w:after="0"/>
              <w:rPr>
                <w:sz w:val="20"/>
                <w:szCs w:val="20"/>
                <w:color w:val="auto"/>
              </w:rPr>
            </w:pPr>
            <w:r>
              <w:rPr>
                <w:rFonts w:ascii="Arial" w:cs="Arial" w:eastAsia="Arial" w:hAnsi="Arial"/>
                <w:sz w:val="14"/>
                <w:szCs w:val="14"/>
                <w:b w:val="1"/>
                <w:bCs w:val="1"/>
                <w:color w:val="auto"/>
              </w:rPr>
              <w:t>Vessel</w:t>
            </w:r>
          </w:p>
        </w:tc>
        <w:tc>
          <w:tcPr>
            <w:tcW w:w="2540" w:type="dxa"/>
            <w:vAlign w:val="bottom"/>
            <w:gridSpan w:val="2"/>
          </w:tcPr>
          <w:p>
            <w:pPr>
              <w:ind w:left="1000"/>
              <w:spacing w:after="0"/>
              <w:rPr>
                <w:sz w:val="20"/>
                <w:szCs w:val="20"/>
                <w:color w:val="auto"/>
              </w:rPr>
            </w:pPr>
            <w:r>
              <w:rPr>
                <w:rFonts w:ascii="Arial" w:cs="Arial" w:eastAsia="Arial" w:hAnsi="Arial"/>
                <w:sz w:val="14"/>
                <w:szCs w:val="14"/>
                <w:b w:val="1"/>
                <w:bCs w:val="1"/>
                <w:color w:val="auto"/>
              </w:rPr>
              <w:t>Flag</w:t>
            </w:r>
          </w:p>
        </w:tc>
        <w:tc>
          <w:tcPr>
            <w:tcW w:w="2520" w:type="dxa"/>
            <w:vAlign w:val="bottom"/>
            <w:gridSpan w:val="2"/>
          </w:tcPr>
          <w:p>
            <w:pPr>
              <w:ind w:left="680"/>
              <w:spacing w:after="0"/>
              <w:rPr>
                <w:sz w:val="20"/>
                <w:szCs w:val="20"/>
                <w:color w:val="auto"/>
              </w:rPr>
            </w:pPr>
            <w:r>
              <w:rPr>
                <w:rFonts w:ascii="Arial" w:cs="Arial" w:eastAsia="Arial" w:hAnsi="Arial"/>
                <w:sz w:val="14"/>
                <w:szCs w:val="14"/>
                <w:b w:val="1"/>
                <w:bCs w:val="1"/>
                <w:color w:val="auto"/>
              </w:rPr>
              <w:t>Owning Entity</w:t>
            </w:r>
          </w:p>
        </w:tc>
        <w:tc>
          <w:tcPr>
            <w:tcW w:w="2240" w:type="dxa"/>
            <w:vAlign w:val="bottom"/>
          </w:tcPr>
          <w:p>
            <w:pPr>
              <w:jc w:val="right"/>
              <w:ind w:right="611"/>
              <w:spacing w:after="0"/>
              <w:rPr>
                <w:sz w:val="20"/>
                <w:szCs w:val="20"/>
                <w:color w:val="auto"/>
              </w:rPr>
            </w:pPr>
            <w:r>
              <w:rPr>
                <w:rFonts w:ascii="Arial" w:cs="Arial" w:eastAsia="Arial" w:hAnsi="Arial"/>
                <w:sz w:val="14"/>
                <w:szCs w:val="14"/>
                <w:b w:val="1"/>
                <w:bCs w:val="1"/>
                <w:color w:val="auto"/>
              </w:rPr>
              <w:t>IMO Number</w:t>
            </w:r>
          </w:p>
        </w:tc>
      </w:tr>
      <w:tr>
        <w:trPr>
          <w:trHeight w:val="209"/>
        </w:trPr>
        <w:tc>
          <w:tcPr>
            <w:tcW w:w="3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GasLog Shanghai</w:t>
            </w:r>
          </w:p>
        </w:tc>
        <w:tc>
          <w:tcPr>
            <w:tcW w:w="28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Bermuda</w:t>
            </w:r>
          </w:p>
        </w:tc>
        <w:tc>
          <w:tcPr>
            <w:tcW w:w="28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GAS-three Ltd.</w:t>
            </w:r>
          </w:p>
        </w:tc>
        <w:tc>
          <w:tcPr>
            <w:tcW w:w="28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right"/>
              <w:ind w:right="1531"/>
              <w:spacing w:after="0"/>
              <w:rPr>
                <w:sz w:val="20"/>
                <w:szCs w:val="20"/>
                <w:color w:val="auto"/>
              </w:rPr>
            </w:pPr>
            <w:r>
              <w:rPr>
                <w:rFonts w:ascii="Arial" w:cs="Arial" w:eastAsia="Arial" w:hAnsi="Arial"/>
                <w:sz w:val="18"/>
                <w:szCs w:val="18"/>
                <w:color w:val="auto"/>
                <w:w w:val="85"/>
              </w:rPr>
              <w:t>9600528</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i w:val="1"/>
                <w:iCs w:val="1"/>
                <w:color w:val="auto"/>
              </w:rPr>
              <w:t>GasLog Santiago</w:t>
            </w:r>
          </w:p>
        </w:tc>
        <w:tc>
          <w:tcPr>
            <w:tcW w:w="2540" w:type="dxa"/>
            <w:vAlign w:val="bottom"/>
            <w:gridSpan w:val="2"/>
          </w:tcPr>
          <w:p>
            <w:pPr>
              <w:ind w:left="20"/>
              <w:spacing w:after="0"/>
              <w:rPr>
                <w:sz w:val="20"/>
                <w:szCs w:val="20"/>
                <w:color w:val="auto"/>
              </w:rPr>
            </w:pPr>
            <w:r>
              <w:rPr>
                <w:rFonts w:ascii="Arial" w:cs="Arial" w:eastAsia="Arial" w:hAnsi="Arial"/>
                <w:sz w:val="18"/>
                <w:szCs w:val="18"/>
                <w:color w:val="auto"/>
              </w:rPr>
              <w:t>Bermuda</w:t>
            </w:r>
          </w:p>
        </w:tc>
        <w:tc>
          <w:tcPr>
            <w:tcW w:w="2520" w:type="dxa"/>
            <w:vAlign w:val="bottom"/>
            <w:gridSpan w:val="2"/>
          </w:tcPr>
          <w:p>
            <w:pPr>
              <w:spacing w:after="0"/>
              <w:rPr>
                <w:sz w:val="20"/>
                <w:szCs w:val="20"/>
                <w:color w:val="auto"/>
              </w:rPr>
            </w:pPr>
            <w:r>
              <w:rPr>
                <w:rFonts w:ascii="Arial" w:cs="Arial" w:eastAsia="Arial" w:hAnsi="Arial"/>
                <w:sz w:val="18"/>
                <w:szCs w:val="18"/>
                <w:color w:val="auto"/>
              </w:rPr>
              <w:t>GAS-four Ltd.</w:t>
            </w:r>
          </w:p>
        </w:tc>
        <w:tc>
          <w:tcPr>
            <w:tcW w:w="2240" w:type="dxa"/>
            <w:vAlign w:val="bottom"/>
          </w:tcPr>
          <w:p>
            <w:pPr>
              <w:jc w:val="right"/>
              <w:ind w:right="1531"/>
              <w:spacing w:after="0"/>
              <w:rPr>
                <w:sz w:val="20"/>
                <w:szCs w:val="20"/>
                <w:color w:val="auto"/>
              </w:rPr>
            </w:pPr>
            <w:r>
              <w:rPr>
                <w:rFonts w:ascii="Arial" w:cs="Arial" w:eastAsia="Arial" w:hAnsi="Arial"/>
                <w:sz w:val="18"/>
                <w:szCs w:val="18"/>
                <w:color w:val="auto"/>
                <w:w w:val="85"/>
              </w:rPr>
              <w:t>9600530</w:t>
            </w: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GasLog Sydney</w:t>
            </w:r>
          </w:p>
        </w:tc>
        <w:tc>
          <w:tcPr>
            <w:tcW w:w="2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Bermuda</w:t>
            </w: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GAS-five Ltd.</w:t>
            </w:r>
          </w:p>
        </w:tc>
        <w:tc>
          <w:tcPr>
            <w:tcW w:w="2240" w:type="dxa"/>
            <w:vAlign w:val="bottom"/>
            <w:shd w:val="clear" w:color="auto" w:fill="CCEEFF"/>
          </w:tcPr>
          <w:p>
            <w:pPr>
              <w:jc w:val="right"/>
              <w:ind w:right="1531"/>
              <w:spacing w:after="0"/>
              <w:rPr>
                <w:sz w:val="20"/>
                <w:szCs w:val="20"/>
                <w:color w:val="auto"/>
              </w:rPr>
            </w:pPr>
            <w:r>
              <w:rPr>
                <w:rFonts w:ascii="Arial" w:cs="Arial" w:eastAsia="Arial" w:hAnsi="Arial"/>
                <w:sz w:val="18"/>
                <w:szCs w:val="18"/>
                <w:color w:val="auto"/>
                <w:w w:val="85"/>
              </w:rPr>
              <w:t>9626273</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i w:val="1"/>
                <w:iCs w:val="1"/>
                <w:color w:val="auto"/>
              </w:rPr>
              <w:t>GasLog Seattle</w:t>
            </w:r>
          </w:p>
        </w:tc>
        <w:tc>
          <w:tcPr>
            <w:tcW w:w="2540" w:type="dxa"/>
            <w:vAlign w:val="bottom"/>
            <w:gridSpan w:val="2"/>
          </w:tcPr>
          <w:p>
            <w:pPr>
              <w:ind w:left="20"/>
              <w:spacing w:after="0"/>
              <w:rPr>
                <w:sz w:val="20"/>
                <w:szCs w:val="20"/>
                <w:color w:val="auto"/>
              </w:rPr>
            </w:pPr>
            <w:r>
              <w:rPr>
                <w:rFonts w:ascii="Arial" w:cs="Arial" w:eastAsia="Arial" w:hAnsi="Arial"/>
                <w:sz w:val="18"/>
                <w:szCs w:val="18"/>
                <w:color w:val="auto"/>
              </w:rPr>
              <w:t>Bermuda</w:t>
            </w:r>
          </w:p>
        </w:tc>
        <w:tc>
          <w:tcPr>
            <w:tcW w:w="2520" w:type="dxa"/>
            <w:vAlign w:val="bottom"/>
            <w:gridSpan w:val="2"/>
          </w:tcPr>
          <w:p>
            <w:pPr>
              <w:spacing w:after="0"/>
              <w:rPr>
                <w:sz w:val="20"/>
                <w:szCs w:val="20"/>
                <w:color w:val="auto"/>
              </w:rPr>
            </w:pPr>
            <w:r>
              <w:rPr>
                <w:rFonts w:ascii="Arial" w:cs="Arial" w:eastAsia="Arial" w:hAnsi="Arial"/>
                <w:sz w:val="18"/>
                <w:szCs w:val="18"/>
                <w:color w:val="auto"/>
              </w:rPr>
              <w:t>GAS-seven Ltd.</w:t>
            </w:r>
          </w:p>
        </w:tc>
        <w:tc>
          <w:tcPr>
            <w:tcW w:w="2240" w:type="dxa"/>
            <w:vAlign w:val="bottom"/>
          </w:tcPr>
          <w:p>
            <w:pPr>
              <w:jc w:val="right"/>
              <w:ind w:right="1531"/>
              <w:spacing w:after="0"/>
              <w:rPr>
                <w:sz w:val="20"/>
                <w:szCs w:val="20"/>
                <w:color w:val="auto"/>
              </w:rPr>
            </w:pPr>
            <w:r>
              <w:rPr>
                <w:rFonts w:ascii="Arial" w:cs="Arial" w:eastAsia="Arial" w:hAnsi="Arial"/>
                <w:sz w:val="18"/>
                <w:szCs w:val="18"/>
                <w:color w:val="auto"/>
                <w:w w:val="85"/>
              </w:rPr>
              <w:t>9634086</w:t>
            </w: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Solaris</w:t>
            </w:r>
          </w:p>
        </w:tc>
        <w:tc>
          <w:tcPr>
            <w:tcW w:w="2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Bermuda</w:t>
            </w: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GAS-eight Ltd.</w:t>
            </w:r>
          </w:p>
        </w:tc>
        <w:tc>
          <w:tcPr>
            <w:tcW w:w="2240" w:type="dxa"/>
            <w:vAlign w:val="bottom"/>
            <w:shd w:val="clear" w:color="auto" w:fill="CCEEFF"/>
          </w:tcPr>
          <w:p>
            <w:pPr>
              <w:jc w:val="right"/>
              <w:ind w:right="1531"/>
              <w:spacing w:after="0"/>
              <w:rPr>
                <w:sz w:val="20"/>
                <w:szCs w:val="20"/>
                <w:color w:val="auto"/>
              </w:rPr>
            </w:pPr>
            <w:r>
              <w:rPr>
                <w:rFonts w:ascii="Arial" w:cs="Arial" w:eastAsia="Arial" w:hAnsi="Arial"/>
                <w:sz w:val="18"/>
                <w:szCs w:val="18"/>
                <w:color w:val="auto"/>
                <w:w w:val="85"/>
              </w:rPr>
              <w:t>9634098</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i w:val="1"/>
                <w:iCs w:val="1"/>
                <w:color w:val="auto"/>
              </w:rPr>
              <w:t>GasLog Greece</w:t>
            </w:r>
          </w:p>
        </w:tc>
        <w:tc>
          <w:tcPr>
            <w:tcW w:w="2540" w:type="dxa"/>
            <w:vAlign w:val="bottom"/>
            <w:gridSpan w:val="2"/>
          </w:tcPr>
          <w:p>
            <w:pPr>
              <w:ind w:left="20"/>
              <w:spacing w:after="0"/>
              <w:rPr>
                <w:sz w:val="20"/>
                <w:szCs w:val="20"/>
                <w:color w:val="auto"/>
              </w:rPr>
            </w:pPr>
            <w:r>
              <w:rPr>
                <w:rFonts w:ascii="Arial" w:cs="Arial" w:eastAsia="Arial" w:hAnsi="Arial"/>
                <w:sz w:val="18"/>
                <w:szCs w:val="18"/>
                <w:color w:val="auto"/>
              </w:rPr>
              <w:t>Bermuda</w:t>
            </w:r>
          </w:p>
        </w:tc>
        <w:tc>
          <w:tcPr>
            <w:tcW w:w="2520" w:type="dxa"/>
            <w:vAlign w:val="bottom"/>
            <w:gridSpan w:val="2"/>
          </w:tcPr>
          <w:p>
            <w:pPr>
              <w:spacing w:after="0"/>
              <w:rPr>
                <w:sz w:val="20"/>
                <w:szCs w:val="20"/>
                <w:color w:val="auto"/>
              </w:rPr>
            </w:pPr>
            <w:r>
              <w:rPr>
                <w:rFonts w:ascii="Arial" w:cs="Arial" w:eastAsia="Arial" w:hAnsi="Arial"/>
                <w:sz w:val="18"/>
                <w:szCs w:val="18"/>
                <w:color w:val="auto"/>
              </w:rPr>
              <w:t>GAS-eleven Ltd.</w:t>
            </w:r>
          </w:p>
        </w:tc>
        <w:tc>
          <w:tcPr>
            <w:tcW w:w="2240" w:type="dxa"/>
            <w:vAlign w:val="bottom"/>
          </w:tcPr>
          <w:p>
            <w:pPr>
              <w:jc w:val="right"/>
              <w:ind w:right="1531"/>
              <w:spacing w:after="0"/>
              <w:rPr>
                <w:sz w:val="20"/>
                <w:szCs w:val="20"/>
                <w:color w:val="auto"/>
              </w:rPr>
            </w:pPr>
            <w:r>
              <w:rPr>
                <w:rFonts w:ascii="Arial" w:cs="Arial" w:eastAsia="Arial" w:hAnsi="Arial"/>
                <w:sz w:val="18"/>
                <w:szCs w:val="18"/>
                <w:color w:val="auto"/>
                <w:w w:val="85"/>
              </w:rPr>
              <w:t>9687019</w:t>
            </w: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GasLog Glasgow</w:t>
            </w:r>
          </w:p>
        </w:tc>
        <w:tc>
          <w:tcPr>
            <w:tcW w:w="2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Bermuda</w:t>
            </w: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GAS-twelve Ltd.</w:t>
            </w:r>
          </w:p>
        </w:tc>
        <w:tc>
          <w:tcPr>
            <w:tcW w:w="2240" w:type="dxa"/>
            <w:vAlign w:val="bottom"/>
            <w:shd w:val="clear" w:color="auto" w:fill="CCEEFF"/>
          </w:tcPr>
          <w:p>
            <w:pPr>
              <w:jc w:val="right"/>
              <w:ind w:right="1531"/>
              <w:spacing w:after="0"/>
              <w:rPr>
                <w:sz w:val="20"/>
                <w:szCs w:val="20"/>
                <w:color w:val="auto"/>
              </w:rPr>
            </w:pPr>
            <w:r>
              <w:rPr>
                <w:rFonts w:ascii="Arial" w:cs="Arial" w:eastAsia="Arial" w:hAnsi="Arial"/>
                <w:sz w:val="18"/>
                <w:szCs w:val="18"/>
                <w:color w:val="auto"/>
                <w:w w:val="85"/>
              </w:rPr>
              <w:t>9687021</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i w:val="1"/>
                <w:iCs w:val="1"/>
                <w:color w:val="auto"/>
              </w:rPr>
              <w:t>GasLog Geneva</w:t>
            </w:r>
          </w:p>
        </w:tc>
        <w:tc>
          <w:tcPr>
            <w:tcW w:w="2540" w:type="dxa"/>
            <w:vAlign w:val="bottom"/>
            <w:gridSpan w:val="2"/>
          </w:tcPr>
          <w:p>
            <w:pPr>
              <w:ind w:left="20"/>
              <w:spacing w:after="0"/>
              <w:rPr>
                <w:sz w:val="20"/>
                <w:szCs w:val="20"/>
                <w:color w:val="auto"/>
              </w:rPr>
            </w:pPr>
            <w:r>
              <w:rPr>
                <w:rFonts w:ascii="Arial" w:cs="Arial" w:eastAsia="Arial" w:hAnsi="Arial"/>
                <w:sz w:val="18"/>
                <w:szCs w:val="18"/>
                <w:color w:val="auto"/>
              </w:rPr>
              <w:t>Bermuda</w:t>
            </w:r>
          </w:p>
        </w:tc>
        <w:tc>
          <w:tcPr>
            <w:tcW w:w="2520" w:type="dxa"/>
            <w:vAlign w:val="bottom"/>
            <w:gridSpan w:val="2"/>
          </w:tcPr>
          <w:p>
            <w:pPr>
              <w:spacing w:after="0"/>
              <w:rPr>
                <w:sz w:val="20"/>
                <w:szCs w:val="20"/>
                <w:color w:val="auto"/>
              </w:rPr>
            </w:pPr>
            <w:r>
              <w:rPr>
                <w:rFonts w:ascii="Arial" w:cs="Arial" w:eastAsia="Arial" w:hAnsi="Arial"/>
                <w:sz w:val="18"/>
                <w:szCs w:val="18"/>
                <w:color w:val="auto"/>
              </w:rPr>
              <w:t>GAS-thirteen Ltd.</w:t>
            </w:r>
          </w:p>
        </w:tc>
        <w:tc>
          <w:tcPr>
            <w:tcW w:w="2240" w:type="dxa"/>
            <w:vAlign w:val="bottom"/>
          </w:tcPr>
          <w:p>
            <w:pPr>
              <w:jc w:val="right"/>
              <w:ind w:right="1531"/>
              <w:spacing w:after="0"/>
              <w:rPr>
                <w:sz w:val="20"/>
                <w:szCs w:val="20"/>
                <w:color w:val="auto"/>
              </w:rPr>
            </w:pPr>
            <w:r>
              <w:rPr>
                <w:rFonts w:ascii="Arial" w:cs="Arial" w:eastAsia="Arial" w:hAnsi="Arial"/>
                <w:sz w:val="18"/>
                <w:szCs w:val="18"/>
                <w:color w:val="auto"/>
                <w:w w:val="85"/>
              </w:rPr>
              <w:t>9707508</w:t>
            </w: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GasLog Gibraltar</w:t>
            </w:r>
          </w:p>
        </w:tc>
        <w:tc>
          <w:tcPr>
            <w:tcW w:w="2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Bermuda</w:t>
            </w: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GAS-fourteen Ltd.</w:t>
            </w:r>
          </w:p>
        </w:tc>
        <w:tc>
          <w:tcPr>
            <w:tcW w:w="2240" w:type="dxa"/>
            <w:vAlign w:val="bottom"/>
            <w:shd w:val="clear" w:color="auto" w:fill="CCEEFF"/>
          </w:tcPr>
          <w:p>
            <w:pPr>
              <w:jc w:val="right"/>
              <w:ind w:right="1531"/>
              <w:spacing w:after="0"/>
              <w:rPr>
                <w:sz w:val="20"/>
                <w:szCs w:val="20"/>
                <w:color w:val="auto"/>
              </w:rPr>
            </w:pPr>
            <w:r>
              <w:rPr>
                <w:rFonts w:ascii="Arial" w:cs="Arial" w:eastAsia="Arial" w:hAnsi="Arial"/>
                <w:sz w:val="18"/>
                <w:szCs w:val="18"/>
                <w:color w:val="auto"/>
                <w:w w:val="85"/>
              </w:rPr>
              <w:t>9707510</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i w:val="1"/>
                <w:iCs w:val="1"/>
                <w:color w:val="auto"/>
              </w:rPr>
              <w:t>Methane Rita Andrea</w:t>
            </w:r>
          </w:p>
        </w:tc>
        <w:tc>
          <w:tcPr>
            <w:tcW w:w="2540" w:type="dxa"/>
            <w:vAlign w:val="bottom"/>
            <w:gridSpan w:val="2"/>
          </w:tcPr>
          <w:p>
            <w:pPr>
              <w:ind w:left="20"/>
              <w:spacing w:after="0"/>
              <w:rPr>
                <w:sz w:val="20"/>
                <w:szCs w:val="20"/>
                <w:color w:val="auto"/>
              </w:rPr>
            </w:pPr>
            <w:r>
              <w:rPr>
                <w:rFonts w:ascii="Arial" w:cs="Arial" w:eastAsia="Arial" w:hAnsi="Arial"/>
                <w:sz w:val="18"/>
                <w:szCs w:val="18"/>
                <w:color w:val="auto"/>
              </w:rPr>
              <w:t>Bermuda</w:t>
            </w:r>
          </w:p>
        </w:tc>
        <w:tc>
          <w:tcPr>
            <w:tcW w:w="2520" w:type="dxa"/>
            <w:vAlign w:val="bottom"/>
            <w:gridSpan w:val="2"/>
          </w:tcPr>
          <w:p>
            <w:pPr>
              <w:spacing w:after="0"/>
              <w:rPr>
                <w:sz w:val="20"/>
                <w:szCs w:val="20"/>
                <w:color w:val="auto"/>
              </w:rPr>
            </w:pPr>
            <w:r>
              <w:rPr>
                <w:rFonts w:ascii="Arial" w:cs="Arial" w:eastAsia="Arial" w:hAnsi="Arial"/>
                <w:sz w:val="18"/>
                <w:szCs w:val="18"/>
                <w:color w:val="auto"/>
              </w:rPr>
              <w:t>GAS-sixteen Ltd.</w:t>
            </w:r>
          </w:p>
        </w:tc>
        <w:tc>
          <w:tcPr>
            <w:tcW w:w="2240" w:type="dxa"/>
            <w:vAlign w:val="bottom"/>
          </w:tcPr>
          <w:p>
            <w:pPr>
              <w:jc w:val="right"/>
              <w:ind w:right="1531"/>
              <w:spacing w:after="0"/>
              <w:rPr>
                <w:sz w:val="20"/>
                <w:szCs w:val="20"/>
                <w:color w:val="auto"/>
              </w:rPr>
            </w:pPr>
            <w:r>
              <w:rPr>
                <w:rFonts w:ascii="Arial" w:cs="Arial" w:eastAsia="Arial" w:hAnsi="Arial"/>
                <w:sz w:val="18"/>
                <w:szCs w:val="18"/>
                <w:color w:val="auto"/>
                <w:w w:val="85"/>
              </w:rPr>
              <w:t>9307188</w:t>
            </w: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Methane Jane Elizabeth</w:t>
            </w:r>
          </w:p>
        </w:tc>
        <w:tc>
          <w:tcPr>
            <w:tcW w:w="2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Bermuda</w:t>
            </w: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GAS-seventeen Ltd.</w:t>
            </w:r>
          </w:p>
        </w:tc>
        <w:tc>
          <w:tcPr>
            <w:tcW w:w="2240" w:type="dxa"/>
            <w:vAlign w:val="bottom"/>
            <w:shd w:val="clear" w:color="auto" w:fill="CCEEFF"/>
          </w:tcPr>
          <w:p>
            <w:pPr>
              <w:jc w:val="right"/>
              <w:ind w:right="1531"/>
              <w:spacing w:after="0"/>
              <w:rPr>
                <w:sz w:val="20"/>
                <w:szCs w:val="20"/>
                <w:color w:val="auto"/>
              </w:rPr>
            </w:pPr>
            <w:r>
              <w:rPr>
                <w:rFonts w:ascii="Arial" w:cs="Arial" w:eastAsia="Arial" w:hAnsi="Arial"/>
                <w:sz w:val="18"/>
                <w:szCs w:val="18"/>
                <w:color w:val="auto"/>
                <w:w w:val="85"/>
              </w:rPr>
              <w:t>9307190</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i w:val="1"/>
                <w:iCs w:val="1"/>
                <w:color w:val="auto"/>
              </w:rPr>
              <w:t>Methane Alison Victoria</w:t>
            </w:r>
          </w:p>
        </w:tc>
        <w:tc>
          <w:tcPr>
            <w:tcW w:w="2540" w:type="dxa"/>
            <w:vAlign w:val="bottom"/>
            <w:gridSpan w:val="2"/>
          </w:tcPr>
          <w:p>
            <w:pPr>
              <w:ind w:left="20"/>
              <w:spacing w:after="0"/>
              <w:rPr>
                <w:sz w:val="20"/>
                <w:szCs w:val="20"/>
                <w:color w:val="auto"/>
              </w:rPr>
            </w:pPr>
            <w:r>
              <w:rPr>
                <w:rFonts w:ascii="Arial" w:cs="Arial" w:eastAsia="Arial" w:hAnsi="Arial"/>
                <w:sz w:val="18"/>
                <w:szCs w:val="18"/>
                <w:color w:val="auto"/>
              </w:rPr>
              <w:t>Bermuda</w:t>
            </w:r>
          </w:p>
        </w:tc>
        <w:tc>
          <w:tcPr>
            <w:tcW w:w="2520" w:type="dxa"/>
            <w:vAlign w:val="bottom"/>
            <w:gridSpan w:val="2"/>
          </w:tcPr>
          <w:p>
            <w:pPr>
              <w:spacing w:after="0"/>
              <w:rPr>
                <w:sz w:val="20"/>
                <w:szCs w:val="20"/>
                <w:color w:val="auto"/>
              </w:rPr>
            </w:pPr>
            <w:r>
              <w:rPr>
                <w:rFonts w:ascii="Arial" w:cs="Arial" w:eastAsia="Arial" w:hAnsi="Arial"/>
                <w:sz w:val="18"/>
                <w:szCs w:val="18"/>
                <w:color w:val="auto"/>
              </w:rPr>
              <w:t>GAS-nineteen Ltd.</w:t>
            </w:r>
          </w:p>
        </w:tc>
        <w:tc>
          <w:tcPr>
            <w:tcW w:w="2240" w:type="dxa"/>
            <w:vAlign w:val="bottom"/>
          </w:tcPr>
          <w:p>
            <w:pPr>
              <w:jc w:val="right"/>
              <w:ind w:right="1531"/>
              <w:spacing w:after="0"/>
              <w:rPr>
                <w:sz w:val="20"/>
                <w:szCs w:val="20"/>
                <w:color w:val="auto"/>
              </w:rPr>
            </w:pPr>
            <w:r>
              <w:rPr>
                <w:rFonts w:ascii="Arial" w:cs="Arial" w:eastAsia="Arial" w:hAnsi="Arial"/>
                <w:sz w:val="18"/>
                <w:szCs w:val="18"/>
                <w:color w:val="auto"/>
                <w:w w:val="85"/>
              </w:rPr>
              <w:t>9321768</w:t>
            </w: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Methane Shirley Elisabeth</w:t>
            </w:r>
          </w:p>
        </w:tc>
        <w:tc>
          <w:tcPr>
            <w:tcW w:w="2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Bermuda</w:t>
            </w: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GAS-twenty Ltd.</w:t>
            </w:r>
          </w:p>
        </w:tc>
        <w:tc>
          <w:tcPr>
            <w:tcW w:w="2240" w:type="dxa"/>
            <w:vAlign w:val="bottom"/>
            <w:shd w:val="clear" w:color="auto" w:fill="CCEEFF"/>
          </w:tcPr>
          <w:p>
            <w:pPr>
              <w:jc w:val="right"/>
              <w:ind w:right="1531"/>
              <w:spacing w:after="0"/>
              <w:rPr>
                <w:sz w:val="20"/>
                <w:szCs w:val="20"/>
                <w:color w:val="auto"/>
              </w:rPr>
            </w:pPr>
            <w:r>
              <w:rPr>
                <w:rFonts w:ascii="Arial" w:cs="Arial" w:eastAsia="Arial" w:hAnsi="Arial"/>
                <w:sz w:val="18"/>
                <w:szCs w:val="18"/>
                <w:color w:val="auto"/>
                <w:w w:val="85"/>
              </w:rPr>
              <w:t>9321756</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i w:val="1"/>
                <w:iCs w:val="1"/>
                <w:color w:val="auto"/>
              </w:rPr>
              <w:t>Methane Heather Sally</w:t>
            </w:r>
          </w:p>
        </w:tc>
        <w:tc>
          <w:tcPr>
            <w:tcW w:w="2540" w:type="dxa"/>
            <w:vAlign w:val="bottom"/>
            <w:gridSpan w:val="2"/>
          </w:tcPr>
          <w:p>
            <w:pPr>
              <w:ind w:left="20"/>
              <w:spacing w:after="0"/>
              <w:rPr>
                <w:sz w:val="20"/>
                <w:szCs w:val="20"/>
                <w:color w:val="auto"/>
              </w:rPr>
            </w:pPr>
            <w:r>
              <w:rPr>
                <w:rFonts w:ascii="Arial" w:cs="Arial" w:eastAsia="Arial" w:hAnsi="Arial"/>
                <w:sz w:val="18"/>
                <w:szCs w:val="18"/>
                <w:color w:val="auto"/>
              </w:rPr>
              <w:t>Bermuda</w:t>
            </w:r>
          </w:p>
        </w:tc>
        <w:tc>
          <w:tcPr>
            <w:tcW w:w="2520" w:type="dxa"/>
            <w:vAlign w:val="bottom"/>
            <w:gridSpan w:val="2"/>
          </w:tcPr>
          <w:p>
            <w:pPr>
              <w:spacing w:after="0"/>
              <w:rPr>
                <w:sz w:val="20"/>
                <w:szCs w:val="20"/>
                <w:color w:val="auto"/>
              </w:rPr>
            </w:pPr>
            <w:r>
              <w:rPr>
                <w:rFonts w:ascii="Arial" w:cs="Arial" w:eastAsia="Arial" w:hAnsi="Arial"/>
                <w:sz w:val="18"/>
                <w:szCs w:val="18"/>
                <w:color w:val="auto"/>
              </w:rPr>
              <w:t>GAS-twenty one Ltd.</w:t>
            </w:r>
          </w:p>
        </w:tc>
        <w:tc>
          <w:tcPr>
            <w:tcW w:w="2240" w:type="dxa"/>
            <w:vAlign w:val="bottom"/>
          </w:tcPr>
          <w:p>
            <w:pPr>
              <w:jc w:val="right"/>
              <w:ind w:right="1531"/>
              <w:spacing w:after="0"/>
              <w:rPr>
                <w:sz w:val="20"/>
                <w:szCs w:val="20"/>
                <w:color w:val="auto"/>
              </w:rPr>
            </w:pPr>
            <w:r>
              <w:rPr>
                <w:rFonts w:ascii="Arial" w:cs="Arial" w:eastAsia="Arial" w:hAnsi="Arial"/>
                <w:sz w:val="18"/>
                <w:szCs w:val="18"/>
                <w:color w:val="auto"/>
                <w:w w:val="85"/>
              </w:rPr>
              <w:t>9321744</w:t>
            </w: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Methane Becki Anne</w:t>
            </w:r>
          </w:p>
        </w:tc>
        <w:tc>
          <w:tcPr>
            <w:tcW w:w="2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Bermuda</w:t>
            </w: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GAS-twenty seven Ltd.</w:t>
            </w:r>
          </w:p>
        </w:tc>
        <w:tc>
          <w:tcPr>
            <w:tcW w:w="2240" w:type="dxa"/>
            <w:vAlign w:val="bottom"/>
            <w:shd w:val="clear" w:color="auto" w:fill="CCEEFF"/>
          </w:tcPr>
          <w:p>
            <w:pPr>
              <w:jc w:val="right"/>
              <w:ind w:right="1531"/>
              <w:spacing w:after="0"/>
              <w:rPr>
                <w:sz w:val="20"/>
                <w:szCs w:val="20"/>
                <w:color w:val="auto"/>
              </w:rPr>
            </w:pPr>
            <w:r>
              <w:rPr>
                <w:rFonts w:ascii="Arial" w:cs="Arial" w:eastAsia="Arial" w:hAnsi="Arial"/>
                <w:sz w:val="18"/>
                <w:szCs w:val="18"/>
                <w:color w:val="auto"/>
                <w:w w:val="85"/>
              </w:rPr>
              <w:t>9516129</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Schedule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Lock-Up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Partners LP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Lock-Up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202[•]</w:t>
      </w:r>
    </w:p>
    <w:p>
      <w:pPr>
        <w:spacing w:after="0" w:line="229" w:lineRule="exact"/>
        <w:rPr>
          <w:sz w:val="20"/>
          <w:szCs w:val="20"/>
          <w:color w:val="auto"/>
        </w:rPr>
      </w:pPr>
    </w:p>
    <w:p>
      <w:pPr>
        <w:ind w:left="160" w:hanging="152"/>
        <w:spacing w:after="0"/>
        <w:tabs>
          <w:tab w:leader="none" w:pos="1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As Representatives of the several Underwriters</w:t>
      </w:r>
    </w:p>
    <w:p>
      <w:pPr>
        <w:spacing w:after="0" w:line="22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GasLog Partners LP - Lock-Up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 xml:space="preserve">The undersigned understands that [ ], [ ], and [ ], as representatives (the “Representatives”), propose to enter into an Underwriting Agreement on behalf of the several Underwriters named in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to such agreement (collectively, the “</w:t>
      </w:r>
      <w:r>
        <w:rPr>
          <w:rFonts w:ascii="Arial" w:cs="Arial" w:eastAsia="Arial" w:hAnsi="Arial"/>
          <w:sz w:val="17"/>
          <w:szCs w:val="17"/>
          <w:u w:val="single" w:color="auto"/>
          <w:color w:val="auto"/>
        </w:rPr>
        <w:t>Underwriters</w:t>
      </w:r>
      <w:r>
        <w:rPr>
          <w:rFonts w:ascii="Arial" w:cs="Arial" w:eastAsia="Arial" w:hAnsi="Arial"/>
          <w:sz w:val="17"/>
          <w:szCs w:val="17"/>
          <w:color w:val="auto"/>
        </w:rPr>
        <w:t>”), with GasLog Partners GP LLC, a limited liability company organized under the laws of the Republic of the Marshall Islands (the “</w:t>
      </w:r>
      <w:r>
        <w:rPr>
          <w:rFonts w:ascii="Arial" w:cs="Arial" w:eastAsia="Arial" w:hAnsi="Arial"/>
          <w:sz w:val="17"/>
          <w:szCs w:val="17"/>
          <w:u w:val="single" w:color="auto"/>
          <w:color w:val="auto"/>
        </w:rPr>
        <w:t>General Partner</w:t>
      </w:r>
      <w:r>
        <w:rPr>
          <w:rFonts w:ascii="Arial" w:cs="Arial" w:eastAsia="Arial" w:hAnsi="Arial"/>
          <w:sz w:val="17"/>
          <w:szCs w:val="17"/>
          <w:color w:val="auto"/>
        </w:rPr>
        <w:t>”), GasLog Partners LP, a limited partnership organized under the laws of the Republic of the Marshall Islands (the “</w:t>
      </w:r>
      <w:r>
        <w:rPr>
          <w:rFonts w:ascii="Arial" w:cs="Arial" w:eastAsia="Arial" w:hAnsi="Arial"/>
          <w:sz w:val="17"/>
          <w:szCs w:val="17"/>
          <w:u w:val="single" w:color="auto"/>
          <w:color w:val="auto"/>
        </w:rPr>
        <w:t>Partnership</w:t>
      </w:r>
      <w:r>
        <w:rPr>
          <w:rFonts w:ascii="Arial" w:cs="Arial" w:eastAsia="Arial" w:hAnsi="Arial"/>
          <w:sz w:val="17"/>
          <w:szCs w:val="17"/>
          <w:color w:val="auto"/>
        </w:rPr>
        <w:t>”), and GasLog Partners Holdings LLC, a limited liability company organized under the laws of the Republic of the Marshall Islands (the “</w:t>
      </w:r>
      <w:r>
        <w:rPr>
          <w:rFonts w:ascii="Arial" w:cs="Arial" w:eastAsia="Arial" w:hAnsi="Arial"/>
          <w:sz w:val="17"/>
          <w:szCs w:val="17"/>
          <w:u w:val="single" w:color="auto"/>
          <w:color w:val="auto"/>
        </w:rPr>
        <w:t>Operating Company</w:t>
      </w:r>
      <w:r>
        <w:rPr>
          <w:rFonts w:ascii="Arial" w:cs="Arial" w:eastAsia="Arial" w:hAnsi="Arial"/>
          <w:sz w:val="17"/>
          <w:szCs w:val="17"/>
          <w:color w:val="auto"/>
        </w:rPr>
        <w:t>” and together with the General Partner and the Partnership, the “</w:t>
      </w:r>
      <w:r>
        <w:rPr>
          <w:rFonts w:ascii="Arial" w:cs="Arial" w:eastAsia="Arial" w:hAnsi="Arial"/>
          <w:sz w:val="17"/>
          <w:szCs w:val="17"/>
          <w:u w:val="single" w:color="auto"/>
          <w:color w:val="auto"/>
        </w:rPr>
        <w:t>Partnership Parties</w:t>
      </w:r>
      <w:r>
        <w:rPr>
          <w:rFonts w:ascii="Arial" w:cs="Arial" w:eastAsia="Arial" w:hAnsi="Arial"/>
          <w:sz w:val="17"/>
          <w:szCs w:val="17"/>
          <w:color w:val="auto"/>
        </w:rPr>
        <w:t>”), providing for a public offering of the Partnership’s [Common/Preference/Other] units representing limited partner interests in the Partnership (the “[</w:t>
      </w:r>
      <w:r>
        <w:rPr>
          <w:rFonts w:ascii="Arial" w:cs="Arial" w:eastAsia="Arial" w:hAnsi="Arial"/>
          <w:sz w:val="17"/>
          <w:szCs w:val="17"/>
          <w:u w:val="single" w:color="auto"/>
          <w:color w:val="auto"/>
        </w:rPr>
        <w:t>Common/Preference/Other Units</w:t>
      </w:r>
      <w:r>
        <w:rPr>
          <w:rFonts w:ascii="Arial" w:cs="Arial" w:eastAsia="Arial" w:hAnsi="Arial"/>
          <w:sz w:val="17"/>
          <w:szCs w:val="17"/>
          <w:color w:val="auto"/>
        </w:rPr>
        <w:t>”) pursuant to a Registration Statement on Form F-3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filed with the Securities and Exchange Commission (the “</w:t>
      </w:r>
      <w:r>
        <w:rPr>
          <w:rFonts w:ascii="Arial" w:cs="Arial" w:eastAsia="Arial" w:hAnsi="Arial"/>
          <w:sz w:val="17"/>
          <w:szCs w:val="17"/>
          <w:u w:val="single" w:color="auto"/>
          <w:color w:val="auto"/>
        </w:rPr>
        <w:t>SEC</w:t>
      </w:r>
      <w:r>
        <w:rPr>
          <w:rFonts w:ascii="Arial" w:cs="Arial" w:eastAsia="Arial" w:hAnsi="Arial"/>
          <w:sz w:val="17"/>
          <w:szCs w:val="17"/>
          <w:color w:val="auto"/>
        </w:rPr>
        <w:t>”).</w:t>
      </w:r>
    </w:p>
    <w:p>
      <w:pPr>
        <w:spacing w:after="0" w:line="178"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In consideration of the agreement by the Underwriters to offer and sell the [Common/Preference/Other] Units, and for other good and valuable consideration the receipt and sufficiency of which is hereby acknowledged, the undersigned agrees that, during the period specified in the following paragraph (the “</w:t>
      </w:r>
      <w:r>
        <w:rPr>
          <w:rFonts w:ascii="Arial" w:cs="Arial" w:eastAsia="Arial" w:hAnsi="Arial"/>
          <w:sz w:val="17"/>
          <w:szCs w:val="17"/>
          <w:u w:val="single" w:color="auto"/>
          <w:color w:val="auto"/>
        </w:rPr>
        <w:t>Lock-Up Period</w:t>
      </w:r>
      <w:r>
        <w:rPr>
          <w:rFonts w:ascii="Arial" w:cs="Arial" w:eastAsia="Arial" w:hAnsi="Arial"/>
          <w:sz w:val="17"/>
          <w:szCs w:val="17"/>
          <w:color w:val="auto"/>
        </w:rPr>
        <w:t>”), the undersigned will not offer, sell, contract to sell, pledge, grant any option to purchase, make any short sale or otherwise dispose of any [Common/Preference/Other] Units of the Partnership, or any options or warrants to purchase any [Common/Preference/Other] Units of the Partnership, or any securities convertible into, exchangeable for or that represent the right to receive [Common/Preference/Other] Units of the Partnership, whether now owned or hereinafter acquired, owned directly by the undersigned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5" w:name="page96"/>
    <w:bookmarkEnd w:id="95"/>
    <w:p>
      <w:pPr>
        <w:ind w:right="60"/>
        <w:spacing w:after="0" w:line="254" w:lineRule="auto"/>
        <w:rPr>
          <w:sz w:val="20"/>
          <w:szCs w:val="20"/>
          <w:color w:val="auto"/>
        </w:rPr>
      </w:pPr>
      <w:r>
        <w:rPr>
          <w:rFonts w:ascii="Arial" w:cs="Arial" w:eastAsia="Arial" w:hAnsi="Arial"/>
          <w:sz w:val="18"/>
          <w:szCs w:val="18"/>
          <w:color w:val="auto"/>
        </w:rPr>
        <w:t>(including holding as a custodian) or with respect to which the undersigned has beneficial ownership within the rules and regulations of the SEC (collectively the “</w:t>
      </w:r>
      <w:r>
        <w:rPr>
          <w:rFonts w:ascii="Arial" w:cs="Arial" w:eastAsia="Arial" w:hAnsi="Arial"/>
          <w:sz w:val="18"/>
          <w:szCs w:val="18"/>
          <w:u w:val="single" w:color="auto"/>
          <w:color w:val="auto"/>
        </w:rPr>
        <w:t>Undersigned’s Units</w:t>
      </w:r>
      <w:r>
        <w:rPr>
          <w:rFonts w:ascii="Arial" w:cs="Arial" w:eastAsia="Arial" w:hAnsi="Arial"/>
          <w:sz w:val="18"/>
          <w:szCs w:val="18"/>
          <w:color w:val="auto"/>
        </w:rPr>
        <w:t>”). The foregoing restriction is expressly agreed to preclude the undersigned from engaging in any hedging or other transaction which is designed to or which reasonably could be expected to lead to or result in a sale or disposition of the Undersigned’s Units even if such [Common/Preference/Other] Units would be disposed of by someone other than the undersigned. Such prohibited hedging or other transactions would include without limitation any short sale or any purchase, sale or grant of any right (including without limitation any put or call option) with respect to any of the Undersigned’s Units or with respect to any security that includes, relates to, or derives any significant part of its value from such [Common/Preference/Other] Units.</w:t>
      </w:r>
    </w:p>
    <w:p>
      <w:pPr>
        <w:spacing w:after="0" w:line="19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initial Lock-Up Period will commence on the date of this Lock-Up Agreement and continue for [•] days after the public offering date set forth on the final prospectus used to sell the [Common/Preference/Other] Units (the “</w:t>
      </w:r>
      <w:r>
        <w:rPr>
          <w:rFonts w:ascii="Arial" w:cs="Arial" w:eastAsia="Arial" w:hAnsi="Arial"/>
          <w:sz w:val="17"/>
          <w:szCs w:val="17"/>
          <w:u w:val="single" w:color="auto"/>
          <w:color w:val="auto"/>
        </w:rPr>
        <w:t>Public Offering Date</w:t>
      </w:r>
      <w:r>
        <w:rPr>
          <w:rFonts w:ascii="Arial" w:cs="Arial" w:eastAsia="Arial" w:hAnsi="Arial"/>
          <w:sz w:val="17"/>
          <w:szCs w:val="17"/>
          <w:color w:val="auto"/>
        </w:rPr>
        <w:t>”) pursuant to the Underwriting Agreement.</w:t>
      </w:r>
    </w:p>
    <w:p>
      <w:pPr>
        <w:spacing w:after="0" w:line="146"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 xml:space="preserve">Notwithstanding the foregoing, the undersigned may transfer the Undersigned’s Units (i) as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gift or gifts, provided that the donee or donees thereof agree to be bound in writing by the restrictions set forth herein, (ii) to any trust for the direct or indirect benefit of the undersigned or the immediate family of the undersigned, provided that the trustee of the trust agrees to be bound in writing by the restrictions set forth herein, and provided further that any such transfer shall not involve a disposition for value, (iii) with the prior written consent of [ ] on behalf of the Underwriters, (iv) to any of its Affiliates (as such term is defined in Rule 405 under the U.S. Securities Act of 1933, as amended) or as distributions to members, general partners and limited partners or shareholders of the undersigned who, in any case under this clause (iv), agree to be bound by the terms of this Lock-Up Agreement, provided that no filing under Section 16(a) of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shall be required or shall be voluntarily made, or (v) in the establishment of a trading plan pursuant to Rule 10b5-1 under the Exchange Act for the transfer of [Common/Preference/Other] Units, provided that such plan does not provide for the transfer of [Common/Preference/Other] Units during the Lock-Up Period. For purposes of this Lock-Up Agreement, “</w:t>
      </w:r>
      <w:r>
        <w:rPr>
          <w:rFonts w:ascii="Arial" w:cs="Arial" w:eastAsia="Arial" w:hAnsi="Arial"/>
          <w:sz w:val="16"/>
          <w:szCs w:val="16"/>
          <w:u w:val="single" w:color="auto"/>
          <w:color w:val="auto"/>
        </w:rPr>
        <w:t>immediate family</w:t>
      </w:r>
      <w:r>
        <w:rPr>
          <w:rFonts w:ascii="Arial" w:cs="Arial" w:eastAsia="Arial" w:hAnsi="Arial"/>
          <w:sz w:val="16"/>
          <w:szCs w:val="16"/>
          <w:color w:val="auto"/>
        </w:rPr>
        <w:t xml:space="preserve">” shall mean any relationship by blood, marriage or adoption, not more remote than first cousin. In addition, notwithstanding the foregoing, if the undersigned is a corporation, the corporation may transfer the Undersigned’s Units to any wholly owned subsidiary of such corporation;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any such case, it shall be a condition to the transfer that the transferee execute an agreement stating that the transferee is receiving and holding such [Common/Preference/Other] Units subject to the provisions of this Lock-Up Agreement and there shall be no further transfer of such [Common/Preference/Other] Units except in accordance with this Lock-Up Agreement, and provided further that any such transfer shall not involve a disposition for value. The undersigned now has, and, except as contemplated by clauses (i) through (v) above, for the duration of this Lock-Up Agreement will have, good and marketable title to the Undersigned’s Units, free and clear of all liens, encumbrances, and claims whatsoever. The undersigned also agrees and consents to the entry of stop transfer instructions with the Partnership’s transfer agent and registrar against the transfer of the Undersigned’s Units except in compliance with the foregoing restrictions.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Schedule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96" w:name="page97"/>
    <w:bookmarkEnd w:id="96"/>
    <w:p>
      <w:pPr>
        <w:ind w:right="40" w:firstLine="648"/>
        <w:spacing w:after="0" w:line="263" w:lineRule="auto"/>
        <w:rPr>
          <w:sz w:val="20"/>
          <w:szCs w:val="20"/>
          <w:color w:val="auto"/>
        </w:rPr>
      </w:pPr>
      <w:r>
        <w:rPr>
          <w:rFonts w:ascii="Arial" w:cs="Arial" w:eastAsia="Arial" w:hAnsi="Arial"/>
          <w:sz w:val="18"/>
          <w:szCs w:val="18"/>
          <w:color w:val="auto"/>
        </w:rPr>
        <w:t>The undersigned understands that the Partnership Parties and the Representatives are relying upon this Lock-Up Agreement in proceeding toward consummation of the offering. The undersigned further understands that this Lock-Up Agreement is irrevocable and shall be binding upon the undersigned’s heirs, legal representatives, successors, and assigns.</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If (i) the Partnership notifies you in writing that it does not intend to proceed with the public offering, (ii) the Registration Statement filed with the SEC with respect to the public offering of the [Common/Preference/Other] Units is withdrawn or (iii) for any reason the Underwriting Agreement shall be terminated prior to the First Time of Delivery (as defined in the Underwriting Agreement), the provisions of this Lock-Up Agreement shall be terminated and the undersigned shall be released from its obligations hereunder.</w:t>
      </w:r>
    </w:p>
    <w:p>
      <w:pPr>
        <w:spacing w:after="0" w:line="18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[Exact Name of Unitholder]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-130175</wp:posOffset>
            </wp:positionV>
            <wp:extent cx="35661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-130175</wp:posOffset>
            </wp:positionV>
            <wp:extent cx="356616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-130175</wp:posOffset>
            </wp:positionV>
            <wp:extent cx="35661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Schedule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97" w:name="page98"/>
    <w:bookmarkEnd w:id="97"/>
    <w:p>
      <w:pPr>
        <w:jc w:val="center"/>
        <w:ind w:right="-1100"/>
        <w:spacing w:after="0"/>
        <w:rPr>
          <w:sz w:val="20"/>
          <w:szCs w:val="20"/>
          <w:color w:val="auto"/>
        </w:rPr>
      </w:pPr>
      <w:r>
        <w:rPr>
          <w:rFonts w:ascii="Arial" w:cs="Arial" w:eastAsia="Arial" w:hAnsi="Arial"/>
          <w:sz w:val="18"/>
          <w:szCs w:val="18"/>
          <w:b w:val="1"/>
          <w:bCs w:val="1"/>
          <w:u w:val="single" w:color="auto"/>
          <w:color w:val="auto"/>
        </w:rPr>
        <w:t>Schedule VI</w:t>
      </w:r>
    </w:p>
    <w:p>
      <w:pPr>
        <w:spacing w:after="0" w:line="225" w:lineRule="exact"/>
        <w:rPr>
          <w:sz w:val="20"/>
          <w:szCs w:val="20"/>
          <w:color w:val="auto"/>
        </w:rPr>
      </w:pPr>
    </w:p>
    <w:p>
      <w:pPr>
        <w:jc w:val="right"/>
        <w:ind w:right="2119"/>
        <w:spacing w:after="0"/>
        <w:rPr>
          <w:sz w:val="20"/>
          <w:szCs w:val="20"/>
          <w:color w:val="auto"/>
        </w:rPr>
      </w:pPr>
      <w:r>
        <w:rPr>
          <w:rFonts w:ascii="Arial" w:cs="Arial" w:eastAsia="Arial" w:hAnsi="Arial"/>
          <w:sz w:val="18"/>
          <w:szCs w:val="18"/>
          <w:b w:val="1"/>
          <w:bCs w:val="1"/>
          <w:color w:val="auto"/>
        </w:rPr>
        <w:t>List of Individuals and Entities Subject to Lock Up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25"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Schedule VI-1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98" w:name="page99"/>
    <w:bookmarkEnd w:id="98"/>
    <w:p>
      <w:pPr>
        <w:jc w:val="center"/>
        <w:ind w:right="-1100"/>
        <w:spacing w:after="0"/>
        <w:rPr>
          <w:sz w:val="20"/>
          <w:szCs w:val="20"/>
          <w:color w:val="auto"/>
        </w:rPr>
      </w:pPr>
      <w:r>
        <w:rPr>
          <w:rFonts w:ascii="Arial" w:cs="Arial" w:eastAsia="Arial" w:hAnsi="Arial"/>
          <w:sz w:val="18"/>
          <w:szCs w:val="18"/>
          <w:b w:val="1"/>
          <w:bCs w:val="1"/>
          <w:u w:val="single" w:color="auto"/>
          <w:color w:val="auto"/>
        </w:rPr>
        <w:t>Schedule VII</w:t>
      </w:r>
    </w:p>
    <w:p>
      <w:pPr>
        <w:spacing w:after="0" w:line="225" w:lineRule="exact"/>
        <w:rPr>
          <w:sz w:val="20"/>
          <w:szCs w:val="20"/>
          <w:color w:val="auto"/>
        </w:rPr>
      </w:pPr>
    </w:p>
    <w:p>
      <w:pPr>
        <w:jc w:val="right"/>
        <w:ind w:right="3719"/>
        <w:spacing w:after="0"/>
        <w:rPr>
          <w:sz w:val="20"/>
          <w:szCs w:val="20"/>
          <w:color w:val="auto"/>
        </w:rPr>
      </w:pPr>
      <w:r>
        <w:rPr>
          <w:rFonts w:ascii="Arial" w:cs="Arial" w:eastAsia="Arial" w:hAnsi="Arial"/>
          <w:sz w:val="18"/>
          <w:szCs w:val="18"/>
          <w:b w:val="1"/>
          <w:bCs w:val="1"/>
          <w:color w:val="auto"/>
        </w:rPr>
        <w:t>Covered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2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Schedule VII-1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99" w:name="page100"/>
    <w:bookmarkEnd w:id="99"/>
    <w:p>
      <w:pPr>
        <w:jc w:val="center"/>
        <w:ind w:right="-1100"/>
        <w:spacing w:after="0"/>
        <w:rPr>
          <w:sz w:val="20"/>
          <w:szCs w:val="20"/>
          <w:color w:val="auto"/>
        </w:rPr>
      </w:pPr>
      <w:r>
        <w:rPr>
          <w:rFonts w:ascii="Arial" w:cs="Arial" w:eastAsia="Arial" w:hAnsi="Arial"/>
          <w:sz w:val="18"/>
          <w:szCs w:val="18"/>
          <w:b w:val="1"/>
          <w:bCs w:val="1"/>
          <w:u w:val="single" w:color="auto"/>
          <w:color w:val="auto"/>
        </w:rPr>
        <w:t>Schedule VIII</w:t>
      </w:r>
    </w:p>
    <w:p>
      <w:pPr>
        <w:spacing w:after="0" w:line="225" w:lineRule="exact"/>
        <w:rPr>
          <w:sz w:val="20"/>
          <w:szCs w:val="20"/>
          <w:color w:val="auto"/>
        </w:rPr>
      </w:pPr>
    </w:p>
    <w:p>
      <w:pPr>
        <w:jc w:val="right"/>
        <w:ind w:right="3659"/>
        <w:spacing w:after="0"/>
        <w:rPr>
          <w:sz w:val="20"/>
          <w:szCs w:val="20"/>
          <w:color w:val="auto"/>
        </w:rPr>
      </w:pPr>
      <w:r>
        <w:rPr>
          <w:rFonts w:ascii="Arial" w:cs="Arial" w:eastAsia="Arial" w:hAnsi="Arial"/>
          <w:sz w:val="18"/>
          <w:szCs w:val="18"/>
          <w:b w:val="1"/>
          <w:bCs w:val="1"/>
          <w:color w:val="auto"/>
        </w:rPr>
        <w:t>Operative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25"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Schedule VIII-1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u w:val="single" w:color="auto"/>
          <w:color w:val="auto"/>
        </w:rPr>
        <w:t>Schedule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Specified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IX-1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U.S. COUNSEL OPINION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Annex II</w:t>
      </w:r>
    </w:p>
    <w:p>
      <w:pPr>
        <w:spacing w:after="0" w:line="229" w:lineRule="exact"/>
        <w:rPr>
          <w:sz w:val="20"/>
          <w:szCs w:val="20"/>
          <w:color w:val="auto"/>
        </w:rPr>
      </w:pPr>
    </w:p>
    <w:p>
      <w:pPr>
        <w:ind w:left="1940"/>
        <w:spacing w:after="0"/>
        <w:rPr>
          <w:sz w:val="20"/>
          <w:szCs w:val="20"/>
          <w:color w:val="auto"/>
        </w:rPr>
      </w:pPr>
      <w:r>
        <w:rPr>
          <w:rFonts w:ascii="Arial" w:cs="Arial" w:eastAsia="Arial" w:hAnsi="Arial"/>
          <w:sz w:val="18"/>
          <w:szCs w:val="18"/>
          <w:u w:val="single" w:color="auto"/>
          <w:color w:val="auto"/>
        </w:rPr>
        <w:t>MATTERS TO BE COVERED BY MARSHALL ISLANDS COUNSEL OPINION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2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Annex 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1532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Annex III</w:t>
      </w:r>
    </w:p>
    <w:p>
      <w:pPr>
        <w:spacing w:after="0" w:line="229" w:lineRule="exact"/>
        <w:rPr>
          <w:sz w:val="20"/>
          <w:szCs w:val="20"/>
          <w:color w:val="auto"/>
        </w:rPr>
      </w:pPr>
    </w:p>
    <w:p>
      <w:pPr>
        <w:ind w:left="2540"/>
        <w:spacing w:after="0"/>
        <w:rPr>
          <w:sz w:val="20"/>
          <w:szCs w:val="20"/>
          <w:color w:val="auto"/>
        </w:rPr>
      </w:pPr>
      <w:r>
        <w:rPr>
          <w:rFonts w:ascii="Arial" w:cs="Arial" w:eastAsia="Arial" w:hAnsi="Arial"/>
          <w:sz w:val="18"/>
          <w:szCs w:val="18"/>
          <w:u w:val="single" w:color="auto"/>
          <w:color w:val="auto"/>
        </w:rPr>
        <w:t>MATTERS TO BE COVERED BY BERMUDA COUNSEL OPINION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25"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Annex III-1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81280</wp:posOffset>
            </wp:positionV>
            <wp:extent cx="715327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40"/>
          </w:cols>
          <w:pgMar w:left="820" w:top="337"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Annex IV</w:t>
      </w:r>
    </w:p>
    <w:p>
      <w:pPr>
        <w:spacing w:after="0" w:line="229" w:lineRule="exact"/>
        <w:rPr>
          <w:sz w:val="20"/>
          <w:szCs w:val="20"/>
          <w:color w:val="auto"/>
        </w:rPr>
      </w:pPr>
    </w:p>
    <w:p>
      <w:pPr>
        <w:ind w:left="2440"/>
        <w:spacing w:after="0"/>
        <w:rPr>
          <w:sz w:val="20"/>
          <w:szCs w:val="20"/>
          <w:color w:val="auto"/>
        </w:rPr>
      </w:pPr>
      <w:r>
        <w:rPr>
          <w:rFonts w:ascii="Arial" w:cs="Arial" w:eastAsia="Arial" w:hAnsi="Arial"/>
          <w:sz w:val="18"/>
          <w:szCs w:val="18"/>
          <w:u w:val="single" w:color="auto"/>
          <w:color w:val="auto"/>
        </w:rPr>
        <w:t>MATTERS TO BE COVERED BY ENGLISH COUNSEL OPINION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Annex IV-1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15327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154305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ind w:right="1120"/>
        <w:spacing w:after="0"/>
        <w:rPr>
          <w:sz w:val="20"/>
          <w:szCs w:val="20"/>
          <w:color w:val="auto"/>
        </w:rPr>
      </w:pPr>
      <w:r>
        <w:rPr>
          <w:rFonts w:ascii="Arial" w:cs="Arial" w:eastAsia="Arial" w:hAnsi="Arial"/>
          <w:sz w:val="16"/>
          <w:szCs w:val="16"/>
          <w:color w:val="auto"/>
        </w:rPr>
        <w:t>GASLOG PARTNERS LP</w:t>
      </w:r>
    </w:p>
    <w:p>
      <w:pPr>
        <w:spacing w:after="0" w:line="248"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 ],</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FORM OF INDENTURE</w:t>
      </w:r>
    </w:p>
    <w:p>
      <w:pPr>
        <w:spacing w:after="0" w:line="237" w:lineRule="exact"/>
        <w:rPr>
          <w:sz w:val="20"/>
          <w:szCs w:val="20"/>
          <w:color w:val="auto"/>
        </w:rPr>
      </w:pPr>
    </w:p>
    <w:p>
      <w:pPr>
        <w:ind w:left="3760"/>
        <w:spacing w:after="0"/>
        <w:tabs>
          <w:tab w:leader="none" w:pos="5180" w:val="left"/>
        </w:tabs>
        <w:rPr>
          <w:sz w:val="20"/>
          <w:szCs w:val="20"/>
          <w:color w:val="auto"/>
        </w:rPr>
      </w:pPr>
      <w:r>
        <w:rPr>
          <w:rFonts w:ascii="Arial" w:cs="Arial" w:eastAsia="Arial" w:hAnsi="Arial"/>
          <w:sz w:val="18"/>
          <w:szCs w:val="18"/>
          <w:color w:val="auto"/>
        </w:rPr>
        <w:t>Dated as of</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288925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-707390</wp:posOffset>
            </wp:positionH>
            <wp:positionV relativeFrom="paragraph">
              <wp:posOffset>527050</wp:posOffset>
            </wp:positionV>
            <wp:extent cx="715327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20"/>
          </w:cols>
          <w:pgMar w:left="1440" w:top="364" w:right="3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30"/>
        </w:trPr>
        <w:tc>
          <w:tcPr>
            <w:tcW w:w="13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60" w:type="dxa"/>
            <w:vAlign w:val="bottom"/>
            <w:gridSpan w:val="9"/>
          </w:tcPr>
          <w:p>
            <w:pPr>
              <w:jc w:val="center"/>
              <w:ind w:right="3400"/>
              <w:spacing w:after="0"/>
              <w:rPr>
                <w:sz w:val="20"/>
                <w:szCs w:val="20"/>
                <w:color w:val="auto"/>
              </w:rPr>
            </w:pPr>
            <w:r>
              <w:rPr>
                <w:rFonts w:ascii="Arial" w:cs="Arial" w:eastAsia="Arial" w:hAnsi="Arial"/>
                <w:sz w:val="18"/>
                <w:szCs w:val="18"/>
                <w:color w:val="auto"/>
                <w:w w:val="95"/>
              </w:rPr>
              <w:t>TABLE OF CONTENTS</w:t>
            </w: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64"/>
        </w:trPr>
        <w:tc>
          <w:tcPr>
            <w:tcW w:w="13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Page</w:t>
            </w:r>
          </w:p>
        </w:tc>
      </w:tr>
      <w:tr>
        <w:trPr>
          <w:trHeight w:val="385"/>
        </w:trPr>
        <w:tc>
          <w:tcPr>
            <w:tcW w:w="13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80" w:type="dxa"/>
            <w:vAlign w:val="bottom"/>
            <w:gridSpan w:val="8"/>
          </w:tcPr>
          <w:p>
            <w:pPr>
              <w:jc w:val="center"/>
              <w:ind w:right="4400"/>
              <w:spacing w:after="0"/>
              <w:rPr>
                <w:sz w:val="20"/>
                <w:szCs w:val="20"/>
                <w:color w:val="auto"/>
              </w:rPr>
            </w:pPr>
            <w:r>
              <w:rPr>
                <w:rFonts w:ascii="Arial" w:cs="Arial" w:eastAsia="Arial" w:hAnsi="Arial"/>
                <w:sz w:val="18"/>
                <w:szCs w:val="18"/>
                <w:color w:val="auto"/>
                <w:w w:val="96"/>
              </w:rPr>
              <w:t>ARTICLE 1</w:t>
            </w:r>
          </w:p>
        </w:tc>
        <w:tc>
          <w:tcPr>
            <w:tcW w:w="7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13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5"/>
              </w:rPr>
              <w:t>Definitions</w:t>
            </w:r>
          </w:p>
        </w:tc>
        <w:tc>
          <w:tcPr>
            <w:tcW w:w="4400" w:type="dxa"/>
            <w:vAlign w:val="bottom"/>
            <w:gridSpan w:val="3"/>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1380" w:type="dxa"/>
            <w:vAlign w:val="bottom"/>
          </w:tcPr>
          <w:p>
            <w:pPr>
              <w:spacing w:after="0"/>
              <w:rPr>
                <w:sz w:val="20"/>
                <w:szCs w:val="20"/>
                <w:color w:val="auto"/>
              </w:rPr>
            </w:pPr>
            <w:r>
              <w:rPr>
                <w:rFonts w:ascii="Arial" w:cs="Arial" w:eastAsia="Arial" w:hAnsi="Arial"/>
                <w:sz w:val="18"/>
                <w:szCs w:val="18"/>
                <w:color w:val="auto"/>
              </w:rPr>
              <w:t>SECTION 1.01.</w:t>
            </w:r>
          </w:p>
        </w:tc>
        <w:tc>
          <w:tcPr>
            <w:tcW w:w="3840" w:type="dxa"/>
            <w:vAlign w:val="bottom"/>
            <w:gridSpan w:val="4"/>
          </w:tcPr>
          <w:p>
            <w:pPr>
              <w:ind w:left="200"/>
              <w:spacing w:after="0"/>
              <w:rPr>
                <w:sz w:val="20"/>
                <w:szCs w:val="20"/>
                <w:color w:val="auto"/>
              </w:rPr>
            </w:pPr>
            <w:r>
              <w:rPr>
                <w:rFonts w:ascii="Arial" w:cs="Arial" w:eastAsia="Arial" w:hAnsi="Arial"/>
                <w:sz w:val="18"/>
                <w:szCs w:val="18"/>
                <w:color w:val="auto"/>
              </w:rPr>
              <w:t>Certain Terms Defined</w:t>
            </w:r>
          </w:p>
        </w:tc>
        <w:tc>
          <w:tcPr>
            <w:tcW w:w="800" w:type="dxa"/>
            <w:vAlign w:val="bottom"/>
            <w:tcBorders>
              <w:top w:val="single" w:sz="8" w:color="auto"/>
            </w:tcBorders>
            <w:gridSpan w:val="3"/>
          </w:tcPr>
          <w:p>
            <w:pPr>
              <w:spacing w:after="0"/>
              <w:rPr>
                <w:sz w:val="24"/>
                <w:szCs w:val="24"/>
                <w:color w:val="auto"/>
              </w:rPr>
            </w:pPr>
          </w:p>
        </w:tc>
        <w:tc>
          <w:tcPr>
            <w:tcW w:w="4440" w:type="dxa"/>
            <w:vAlign w:val="bottom"/>
            <w:gridSpan w:val="4"/>
          </w:tcPr>
          <w:p>
            <w:pPr>
              <w:spacing w:after="0"/>
              <w:rPr>
                <w:sz w:val="24"/>
                <w:szCs w:val="2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391"/>
        </w:trPr>
        <w:tc>
          <w:tcPr>
            <w:tcW w:w="13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80" w:type="dxa"/>
            <w:vAlign w:val="bottom"/>
            <w:gridSpan w:val="8"/>
          </w:tcPr>
          <w:p>
            <w:pPr>
              <w:jc w:val="center"/>
              <w:ind w:right="4400"/>
              <w:spacing w:after="0"/>
              <w:rPr>
                <w:sz w:val="20"/>
                <w:szCs w:val="20"/>
                <w:color w:val="auto"/>
              </w:rPr>
            </w:pPr>
            <w:r>
              <w:rPr>
                <w:rFonts w:ascii="Arial" w:cs="Arial" w:eastAsia="Arial" w:hAnsi="Arial"/>
                <w:sz w:val="18"/>
                <w:szCs w:val="18"/>
                <w:color w:val="auto"/>
                <w:w w:val="96"/>
              </w:rPr>
              <w:t>ARTICLE 2</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13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1"/>
              </w:rPr>
              <w:t>Securities</w:t>
            </w:r>
          </w:p>
        </w:tc>
        <w:tc>
          <w:tcPr>
            <w:tcW w:w="80" w:type="dxa"/>
            <w:vAlign w:val="bottom"/>
            <w:tcBorders>
              <w:top w:val="single" w:sz="8" w:color="auto"/>
            </w:tcBorders>
            <w:gridSpan w:val="2"/>
          </w:tcPr>
          <w:p>
            <w:pPr>
              <w:spacing w:after="0"/>
              <w:rPr>
                <w:sz w:val="24"/>
                <w:szCs w:val="24"/>
                <w:color w:val="auto"/>
              </w:rPr>
            </w:pPr>
          </w:p>
        </w:tc>
        <w:tc>
          <w:tcPr>
            <w:tcW w:w="4400" w:type="dxa"/>
            <w:vAlign w:val="bottom"/>
            <w:gridSpan w:val="3"/>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8"/>
        </w:trPr>
        <w:tc>
          <w:tcPr>
            <w:tcW w:w="1380" w:type="dxa"/>
            <w:vAlign w:val="bottom"/>
          </w:tcPr>
          <w:p>
            <w:pPr>
              <w:spacing w:after="0"/>
              <w:rPr>
                <w:sz w:val="20"/>
                <w:szCs w:val="20"/>
                <w:color w:val="auto"/>
              </w:rPr>
            </w:pPr>
            <w:r>
              <w:rPr>
                <w:rFonts w:ascii="Arial" w:cs="Arial" w:eastAsia="Arial" w:hAnsi="Arial"/>
                <w:sz w:val="18"/>
                <w:szCs w:val="18"/>
                <w:color w:val="auto"/>
              </w:rPr>
              <w:t>SECTION 2.01.</w:t>
            </w:r>
          </w:p>
        </w:tc>
        <w:tc>
          <w:tcPr>
            <w:tcW w:w="9080" w:type="dxa"/>
            <w:vAlign w:val="bottom"/>
            <w:gridSpan w:val="11"/>
          </w:tcPr>
          <w:p>
            <w:pPr>
              <w:ind w:left="200"/>
              <w:spacing w:after="0"/>
              <w:rPr>
                <w:sz w:val="20"/>
                <w:szCs w:val="20"/>
                <w:color w:val="auto"/>
              </w:rPr>
            </w:pPr>
            <w:r>
              <w:rPr>
                <w:rFonts w:ascii="Arial" w:cs="Arial" w:eastAsia="Arial" w:hAnsi="Arial"/>
                <w:sz w:val="18"/>
                <w:szCs w:val="18"/>
                <w:color w:val="auto"/>
              </w:rPr>
              <w:t>Forms Generally</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2.02.</w:t>
            </w:r>
          </w:p>
        </w:tc>
        <w:tc>
          <w:tcPr>
            <w:tcW w:w="9080" w:type="dxa"/>
            <w:vAlign w:val="bottom"/>
            <w:gridSpan w:val="11"/>
          </w:tcPr>
          <w:p>
            <w:pPr>
              <w:ind w:left="200"/>
              <w:spacing w:after="0"/>
              <w:rPr>
                <w:sz w:val="20"/>
                <w:szCs w:val="20"/>
                <w:color w:val="auto"/>
              </w:rPr>
            </w:pPr>
            <w:r>
              <w:rPr>
                <w:rFonts w:ascii="Arial" w:cs="Arial" w:eastAsia="Arial" w:hAnsi="Arial"/>
                <w:sz w:val="18"/>
                <w:szCs w:val="18"/>
                <w:color w:val="auto"/>
              </w:rPr>
              <w:t>Form of Trustee’s Certification of Authentication</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2.03.</w:t>
            </w:r>
          </w:p>
        </w:tc>
        <w:tc>
          <w:tcPr>
            <w:tcW w:w="9080" w:type="dxa"/>
            <w:vAlign w:val="bottom"/>
            <w:gridSpan w:val="11"/>
          </w:tcPr>
          <w:p>
            <w:pPr>
              <w:ind w:left="200"/>
              <w:spacing w:after="0"/>
              <w:rPr>
                <w:sz w:val="20"/>
                <w:szCs w:val="20"/>
                <w:color w:val="auto"/>
              </w:rPr>
            </w:pPr>
            <w:r>
              <w:rPr>
                <w:rFonts w:ascii="Arial" w:cs="Arial" w:eastAsia="Arial" w:hAnsi="Arial"/>
                <w:sz w:val="18"/>
                <w:szCs w:val="18"/>
                <w:color w:val="auto"/>
              </w:rPr>
              <w:t>Amount Unlimited; Issuable in Series</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2.04.</w:t>
            </w:r>
          </w:p>
        </w:tc>
        <w:tc>
          <w:tcPr>
            <w:tcW w:w="9080" w:type="dxa"/>
            <w:vAlign w:val="bottom"/>
            <w:gridSpan w:val="11"/>
          </w:tcPr>
          <w:p>
            <w:pPr>
              <w:ind w:left="200"/>
              <w:spacing w:after="0"/>
              <w:rPr>
                <w:sz w:val="20"/>
                <w:szCs w:val="20"/>
                <w:color w:val="auto"/>
              </w:rPr>
            </w:pPr>
            <w:r>
              <w:rPr>
                <w:rFonts w:ascii="Arial" w:cs="Arial" w:eastAsia="Arial" w:hAnsi="Arial"/>
                <w:sz w:val="18"/>
                <w:szCs w:val="18"/>
                <w:color w:val="auto"/>
              </w:rPr>
              <w:t>Authentication and Delivery of Securities</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2.05.</w:t>
            </w:r>
          </w:p>
        </w:tc>
        <w:tc>
          <w:tcPr>
            <w:tcW w:w="9080" w:type="dxa"/>
            <w:vAlign w:val="bottom"/>
            <w:gridSpan w:val="11"/>
          </w:tcPr>
          <w:p>
            <w:pPr>
              <w:ind w:left="200"/>
              <w:spacing w:after="0"/>
              <w:rPr>
                <w:sz w:val="20"/>
                <w:szCs w:val="20"/>
                <w:color w:val="auto"/>
              </w:rPr>
            </w:pPr>
            <w:r>
              <w:rPr>
                <w:rFonts w:ascii="Arial" w:cs="Arial" w:eastAsia="Arial" w:hAnsi="Arial"/>
                <w:sz w:val="18"/>
                <w:szCs w:val="18"/>
                <w:color w:val="auto"/>
              </w:rPr>
              <w:t>Execution of Securities</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2.06.</w:t>
            </w:r>
          </w:p>
        </w:tc>
        <w:tc>
          <w:tcPr>
            <w:tcW w:w="9080" w:type="dxa"/>
            <w:vAlign w:val="bottom"/>
            <w:gridSpan w:val="11"/>
          </w:tcPr>
          <w:p>
            <w:pPr>
              <w:ind w:left="200"/>
              <w:spacing w:after="0"/>
              <w:rPr>
                <w:sz w:val="20"/>
                <w:szCs w:val="20"/>
                <w:color w:val="auto"/>
              </w:rPr>
            </w:pPr>
            <w:r>
              <w:rPr>
                <w:rFonts w:ascii="Arial" w:cs="Arial" w:eastAsia="Arial" w:hAnsi="Arial"/>
                <w:sz w:val="18"/>
                <w:szCs w:val="18"/>
                <w:color w:val="auto"/>
              </w:rPr>
              <w:t>Certificate of Authorization</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2.07.</w:t>
            </w:r>
          </w:p>
        </w:tc>
        <w:tc>
          <w:tcPr>
            <w:tcW w:w="9080" w:type="dxa"/>
            <w:vAlign w:val="bottom"/>
            <w:gridSpan w:val="11"/>
          </w:tcPr>
          <w:p>
            <w:pPr>
              <w:ind w:left="200"/>
              <w:spacing w:after="0"/>
              <w:rPr>
                <w:sz w:val="20"/>
                <w:szCs w:val="20"/>
                <w:color w:val="auto"/>
              </w:rPr>
            </w:pPr>
            <w:r>
              <w:rPr>
                <w:rFonts w:ascii="Arial" w:cs="Arial" w:eastAsia="Arial" w:hAnsi="Arial"/>
                <w:sz w:val="18"/>
                <w:szCs w:val="18"/>
                <w:color w:val="auto"/>
              </w:rPr>
              <w:t>Denomination and Date of Securities; Payments of Interest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2.08.</w:t>
            </w:r>
          </w:p>
        </w:tc>
        <w:tc>
          <w:tcPr>
            <w:tcW w:w="9080" w:type="dxa"/>
            <w:vAlign w:val="bottom"/>
            <w:gridSpan w:val="11"/>
          </w:tcPr>
          <w:p>
            <w:pPr>
              <w:ind w:left="200"/>
              <w:spacing w:after="0"/>
              <w:rPr>
                <w:sz w:val="20"/>
                <w:szCs w:val="20"/>
                <w:color w:val="auto"/>
              </w:rPr>
            </w:pPr>
            <w:r>
              <w:rPr>
                <w:rFonts w:ascii="Arial" w:cs="Arial" w:eastAsia="Arial" w:hAnsi="Arial"/>
                <w:sz w:val="18"/>
                <w:szCs w:val="18"/>
                <w:color w:val="auto"/>
              </w:rPr>
              <w:t>Regulation, Transfer and Exchange</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2.09.</w:t>
            </w:r>
          </w:p>
        </w:tc>
        <w:tc>
          <w:tcPr>
            <w:tcW w:w="9080" w:type="dxa"/>
            <w:vAlign w:val="bottom"/>
            <w:gridSpan w:val="11"/>
          </w:tcPr>
          <w:p>
            <w:pPr>
              <w:ind w:left="200"/>
              <w:spacing w:after="0"/>
              <w:rPr>
                <w:sz w:val="20"/>
                <w:szCs w:val="20"/>
                <w:color w:val="auto"/>
              </w:rPr>
            </w:pPr>
            <w:r>
              <w:rPr>
                <w:rFonts w:ascii="Arial" w:cs="Arial" w:eastAsia="Arial" w:hAnsi="Arial"/>
                <w:sz w:val="18"/>
                <w:szCs w:val="18"/>
                <w:color w:val="auto"/>
              </w:rPr>
              <w:t>Mutilated, Defaced, Destroyed, Lost and Stolen Securities</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2.10.</w:t>
            </w:r>
          </w:p>
        </w:tc>
        <w:tc>
          <w:tcPr>
            <w:tcW w:w="9080" w:type="dxa"/>
            <w:vAlign w:val="bottom"/>
            <w:gridSpan w:val="11"/>
          </w:tcPr>
          <w:p>
            <w:pPr>
              <w:ind w:left="200"/>
              <w:spacing w:after="0"/>
              <w:rPr>
                <w:sz w:val="20"/>
                <w:szCs w:val="20"/>
                <w:color w:val="auto"/>
              </w:rPr>
            </w:pPr>
            <w:r>
              <w:rPr>
                <w:rFonts w:ascii="Arial" w:cs="Arial" w:eastAsia="Arial" w:hAnsi="Arial"/>
                <w:sz w:val="18"/>
                <w:szCs w:val="18"/>
                <w:color w:val="auto"/>
              </w:rPr>
              <w:t>Cancellation of Securities</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2.11.</w:t>
            </w:r>
          </w:p>
        </w:tc>
        <w:tc>
          <w:tcPr>
            <w:tcW w:w="9080" w:type="dxa"/>
            <w:vAlign w:val="bottom"/>
            <w:gridSpan w:val="11"/>
          </w:tcPr>
          <w:p>
            <w:pPr>
              <w:ind w:left="200"/>
              <w:spacing w:after="0"/>
              <w:rPr>
                <w:sz w:val="20"/>
                <w:szCs w:val="20"/>
                <w:color w:val="auto"/>
              </w:rPr>
            </w:pPr>
            <w:r>
              <w:rPr>
                <w:rFonts w:ascii="Arial" w:cs="Arial" w:eastAsia="Arial" w:hAnsi="Arial"/>
                <w:sz w:val="18"/>
                <w:szCs w:val="18"/>
                <w:color w:val="auto"/>
              </w:rPr>
              <w:t>Temporary Securities</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230"/>
        </w:trPr>
        <w:tc>
          <w:tcPr>
            <w:tcW w:w="1380" w:type="dxa"/>
            <w:vAlign w:val="bottom"/>
          </w:tcPr>
          <w:p>
            <w:pPr>
              <w:spacing w:after="0"/>
              <w:rPr>
                <w:sz w:val="20"/>
                <w:szCs w:val="20"/>
                <w:color w:val="auto"/>
              </w:rPr>
            </w:pPr>
            <w:r>
              <w:rPr>
                <w:rFonts w:ascii="Arial" w:cs="Arial" w:eastAsia="Arial" w:hAnsi="Arial"/>
                <w:sz w:val="18"/>
                <w:szCs w:val="18"/>
                <w:color w:val="auto"/>
              </w:rPr>
              <w:t>SECTION 2.12.</w:t>
            </w:r>
          </w:p>
        </w:tc>
        <w:tc>
          <w:tcPr>
            <w:tcW w:w="9080" w:type="dxa"/>
            <w:vAlign w:val="bottom"/>
            <w:gridSpan w:val="11"/>
          </w:tcPr>
          <w:p>
            <w:pPr>
              <w:ind w:left="200"/>
              <w:spacing w:after="0"/>
              <w:rPr>
                <w:sz w:val="20"/>
                <w:szCs w:val="20"/>
                <w:color w:val="auto"/>
              </w:rPr>
            </w:pPr>
            <w:r>
              <w:rPr>
                <w:rFonts w:ascii="Arial" w:cs="Arial" w:eastAsia="Arial" w:hAnsi="Arial"/>
                <w:sz w:val="18"/>
                <w:szCs w:val="18"/>
                <w:color w:val="auto"/>
              </w:rPr>
              <w:t>CUSIP Numbers</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391"/>
        </w:trPr>
        <w:tc>
          <w:tcPr>
            <w:tcW w:w="13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80" w:type="dxa"/>
            <w:vAlign w:val="bottom"/>
            <w:gridSpan w:val="8"/>
          </w:tcPr>
          <w:p>
            <w:pPr>
              <w:jc w:val="center"/>
              <w:ind w:right="4400"/>
              <w:spacing w:after="0"/>
              <w:rPr>
                <w:sz w:val="20"/>
                <w:szCs w:val="20"/>
                <w:color w:val="auto"/>
              </w:rPr>
            </w:pPr>
            <w:r>
              <w:rPr>
                <w:rFonts w:ascii="Arial" w:cs="Arial" w:eastAsia="Arial" w:hAnsi="Arial"/>
                <w:sz w:val="18"/>
                <w:szCs w:val="18"/>
                <w:color w:val="auto"/>
                <w:w w:val="96"/>
              </w:rPr>
              <w:t>ARTICLE 3</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13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gridSpan w:val="5"/>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3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60" w:type="dxa"/>
            <w:vAlign w:val="bottom"/>
            <w:gridSpan w:val="9"/>
          </w:tcPr>
          <w:p>
            <w:pPr>
              <w:jc w:val="center"/>
              <w:ind w:right="3420"/>
              <w:spacing w:after="0"/>
              <w:rPr>
                <w:sz w:val="20"/>
                <w:szCs w:val="20"/>
                <w:color w:val="auto"/>
              </w:rPr>
            </w:pPr>
            <w:r>
              <w:rPr>
                <w:rFonts w:ascii="Arial" w:cs="Arial" w:eastAsia="Arial" w:hAnsi="Arial"/>
                <w:sz w:val="18"/>
                <w:szCs w:val="18"/>
                <w:color w:val="auto"/>
                <w:w w:val="88"/>
              </w:rPr>
              <w:t>Covenants of the Issuer and the Trustee</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8"/>
        </w:trPr>
        <w:tc>
          <w:tcPr>
            <w:tcW w:w="1380" w:type="dxa"/>
            <w:vAlign w:val="bottom"/>
          </w:tcPr>
          <w:p>
            <w:pPr>
              <w:spacing w:after="0"/>
              <w:rPr>
                <w:sz w:val="20"/>
                <w:szCs w:val="20"/>
                <w:color w:val="auto"/>
              </w:rPr>
            </w:pPr>
            <w:r>
              <w:rPr>
                <w:rFonts w:ascii="Arial" w:cs="Arial" w:eastAsia="Arial" w:hAnsi="Arial"/>
                <w:sz w:val="18"/>
                <w:szCs w:val="18"/>
                <w:color w:val="auto"/>
              </w:rPr>
              <w:t>SECTION 3.01.</w:t>
            </w:r>
          </w:p>
        </w:tc>
        <w:tc>
          <w:tcPr>
            <w:tcW w:w="2820" w:type="dxa"/>
            <w:vAlign w:val="bottom"/>
            <w:gridSpan w:val="2"/>
          </w:tcPr>
          <w:p>
            <w:pPr>
              <w:ind w:left="200"/>
              <w:spacing w:after="0"/>
              <w:rPr>
                <w:sz w:val="20"/>
                <w:szCs w:val="20"/>
                <w:color w:val="auto"/>
              </w:rPr>
            </w:pPr>
            <w:r>
              <w:rPr>
                <w:rFonts w:ascii="Arial" w:cs="Arial" w:eastAsia="Arial" w:hAnsi="Arial"/>
                <w:sz w:val="18"/>
                <w:szCs w:val="18"/>
                <w:color w:val="auto"/>
                <w:w w:val="98"/>
              </w:rPr>
              <w:t>Payment of Principal and Interest</w:t>
            </w:r>
          </w:p>
        </w:tc>
        <w:tc>
          <w:tcPr>
            <w:tcW w:w="2840" w:type="dxa"/>
            <w:vAlign w:val="bottom"/>
            <w:tcBorders>
              <w:top w:val="single" w:sz="8" w:color="auto"/>
            </w:tcBorders>
            <w:gridSpan w:val="7"/>
          </w:tcPr>
          <w:p>
            <w:pPr>
              <w:spacing w:after="0"/>
              <w:rPr>
                <w:sz w:val="24"/>
                <w:szCs w:val="24"/>
                <w:color w:val="auto"/>
              </w:rPr>
            </w:pPr>
          </w:p>
        </w:tc>
        <w:tc>
          <w:tcPr>
            <w:tcW w:w="3420" w:type="dxa"/>
            <w:vAlign w:val="bottom"/>
            <w:gridSpan w:val="2"/>
          </w:tcPr>
          <w:p>
            <w:pPr>
              <w:spacing w:after="0"/>
              <w:rPr>
                <w:sz w:val="24"/>
                <w:szCs w:val="2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3.02.</w:t>
            </w:r>
          </w:p>
        </w:tc>
        <w:tc>
          <w:tcPr>
            <w:tcW w:w="9080" w:type="dxa"/>
            <w:vAlign w:val="bottom"/>
            <w:gridSpan w:val="11"/>
          </w:tcPr>
          <w:p>
            <w:pPr>
              <w:ind w:left="200"/>
              <w:spacing w:after="0"/>
              <w:rPr>
                <w:sz w:val="20"/>
                <w:szCs w:val="20"/>
                <w:color w:val="auto"/>
              </w:rPr>
            </w:pPr>
            <w:r>
              <w:rPr>
                <w:rFonts w:ascii="Arial" w:cs="Arial" w:eastAsia="Arial" w:hAnsi="Arial"/>
                <w:sz w:val="18"/>
                <w:szCs w:val="18"/>
                <w:color w:val="auto"/>
              </w:rPr>
              <w:t>Offices for Payments, etc</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3.03.</w:t>
            </w:r>
          </w:p>
        </w:tc>
        <w:tc>
          <w:tcPr>
            <w:tcW w:w="9080" w:type="dxa"/>
            <w:vAlign w:val="bottom"/>
            <w:gridSpan w:val="11"/>
          </w:tcPr>
          <w:p>
            <w:pPr>
              <w:ind w:left="200"/>
              <w:spacing w:after="0"/>
              <w:rPr>
                <w:sz w:val="20"/>
                <w:szCs w:val="20"/>
                <w:color w:val="auto"/>
              </w:rPr>
            </w:pPr>
            <w:r>
              <w:rPr>
                <w:rFonts w:ascii="Arial" w:cs="Arial" w:eastAsia="Arial" w:hAnsi="Arial"/>
                <w:sz w:val="18"/>
                <w:szCs w:val="18"/>
                <w:color w:val="auto"/>
              </w:rPr>
              <w:t>Appointment to Fill a Vacancy in Office of Trustee</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3.04.</w:t>
            </w:r>
          </w:p>
        </w:tc>
        <w:tc>
          <w:tcPr>
            <w:tcW w:w="9080" w:type="dxa"/>
            <w:vAlign w:val="bottom"/>
            <w:gridSpan w:val="11"/>
          </w:tcPr>
          <w:p>
            <w:pPr>
              <w:ind w:left="200"/>
              <w:spacing w:after="0"/>
              <w:rPr>
                <w:sz w:val="20"/>
                <w:szCs w:val="20"/>
                <w:color w:val="auto"/>
              </w:rPr>
            </w:pPr>
            <w:r>
              <w:rPr>
                <w:rFonts w:ascii="Arial" w:cs="Arial" w:eastAsia="Arial" w:hAnsi="Arial"/>
                <w:sz w:val="18"/>
                <w:szCs w:val="18"/>
                <w:color w:val="auto"/>
              </w:rPr>
              <w:t>Paying Agents</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3.05.</w:t>
            </w:r>
          </w:p>
        </w:tc>
        <w:tc>
          <w:tcPr>
            <w:tcW w:w="9080" w:type="dxa"/>
            <w:vAlign w:val="bottom"/>
            <w:gridSpan w:val="11"/>
          </w:tcPr>
          <w:p>
            <w:pPr>
              <w:ind w:left="200"/>
              <w:spacing w:after="0"/>
              <w:rPr>
                <w:sz w:val="20"/>
                <w:szCs w:val="20"/>
                <w:color w:val="auto"/>
              </w:rPr>
            </w:pPr>
            <w:r>
              <w:rPr>
                <w:rFonts w:ascii="Arial" w:cs="Arial" w:eastAsia="Arial" w:hAnsi="Arial"/>
                <w:sz w:val="18"/>
                <w:szCs w:val="18"/>
                <w:color w:val="auto"/>
              </w:rPr>
              <w:t>Certificate of the Issuer</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3.06.</w:t>
            </w:r>
          </w:p>
        </w:tc>
        <w:tc>
          <w:tcPr>
            <w:tcW w:w="9080" w:type="dxa"/>
            <w:vAlign w:val="bottom"/>
            <w:gridSpan w:val="11"/>
          </w:tcPr>
          <w:p>
            <w:pPr>
              <w:ind w:left="200"/>
              <w:spacing w:after="0"/>
              <w:rPr>
                <w:sz w:val="20"/>
                <w:szCs w:val="20"/>
                <w:color w:val="auto"/>
              </w:rPr>
            </w:pPr>
            <w:r>
              <w:rPr>
                <w:rFonts w:ascii="Arial" w:cs="Arial" w:eastAsia="Arial" w:hAnsi="Arial"/>
                <w:sz w:val="18"/>
                <w:szCs w:val="18"/>
                <w:color w:val="auto"/>
              </w:rPr>
              <w:t>Securityholders Lists</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3.07.</w:t>
            </w:r>
          </w:p>
        </w:tc>
        <w:tc>
          <w:tcPr>
            <w:tcW w:w="9080" w:type="dxa"/>
            <w:vAlign w:val="bottom"/>
            <w:gridSpan w:val="11"/>
          </w:tcPr>
          <w:p>
            <w:pPr>
              <w:ind w:left="200"/>
              <w:spacing w:after="0"/>
              <w:rPr>
                <w:sz w:val="20"/>
                <w:szCs w:val="20"/>
                <w:color w:val="auto"/>
              </w:rPr>
            </w:pPr>
            <w:r>
              <w:rPr>
                <w:rFonts w:ascii="Arial" w:cs="Arial" w:eastAsia="Arial" w:hAnsi="Arial"/>
                <w:sz w:val="18"/>
                <w:szCs w:val="18"/>
                <w:color w:val="auto"/>
              </w:rPr>
              <w:t>Reports by the Issuer</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r>
      <w:tr>
        <w:trPr>
          <w:trHeight w:val="230"/>
        </w:trPr>
        <w:tc>
          <w:tcPr>
            <w:tcW w:w="1380" w:type="dxa"/>
            <w:vAlign w:val="bottom"/>
          </w:tcPr>
          <w:p>
            <w:pPr>
              <w:spacing w:after="0"/>
              <w:rPr>
                <w:sz w:val="20"/>
                <w:szCs w:val="20"/>
                <w:color w:val="auto"/>
              </w:rPr>
            </w:pPr>
            <w:r>
              <w:rPr>
                <w:rFonts w:ascii="Arial" w:cs="Arial" w:eastAsia="Arial" w:hAnsi="Arial"/>
                <w:sz w:val="18"/>
                <w:szCs w:val="18"/>
                <w:color w:val="auto"/>
              </w:rPr>
              <w:t>SECTION 3.08.</w:t>
            </w:r>
          </w:p>
        </w:tc>
        <w:tc>
          <w:tcPr>
            <w:tcW w:w="9080" w:type="dxa"/>
            <w:vAlign w:val="bottom"/>
            <w:gridSpan w:val="11"/>
          </w:tcPr>
          <w:p>
            <w:pPr>
              <w:ind w:left="200"/>
              <w:spacing w:after="0"/>
              <w:rPr>
                <w:sz w:val="20"/>
                <w:szCs w:val="20"/>
                <w:color w:val="auto"/>
              </w:rPr>
            </w:pPr>
            <w:r>
              <w:rPr>
                <w:rFonts w:ascii="Arial" w:cs="Arial" w:eastAsia="Arial" w:hAnsi="Arial"/>
                <w:sz w:val="18"/>
                <w:szCs w:val="18"/>
                <w:color w:val="auto"/>
              </w:rPr>
              <w:t>Reports by the Trustee</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r>
      <w:tr>
        <w:trPr>
          <w:trHeight w:val="391"/>
        </w:trPr>
        <w:tc>
          <w:tcPr>
            <w:tcW w:w="13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80" w:type="dxa"/>
            <w:vAlign w:val="bottom"/>
            <w:gridSpan w:val="8"/>
          </w:tcPr>
          <w:p>
            <w:pPr>
              <w:jc w:val="center"/>
              <w:ind w:right="4400"/>
              <w:spacing w:after="0"/>
              <w:rPr>
                <w:sz w:val="20"/>
                <w:szCs w:val="20"/>
                <w:color w:val="auto"/>
              </w:rPr>
            </w:pPr>
            <w:r>
              <w:rPr>
                <w:rFonts w:ascii="Arial" w:cs="Arial" w:eastAsia="Arial" w:hAnsi="Arial"/>
                <w:sz w:val="18"/>
                <w:szCs w:val="18"/>
                <w:color w:val="auto"/>
                <w:w w:val="96"/>
              </w:rPr>
              <w:t>ARTICLE 4</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13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880" w:type="dxa"/>
            <w:vAlign w:val="bottom"/>
            <w:gridSpan w:val="5"/>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3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700" w:type="dxa"/>
            <w:vAlign w:val="bottom"/>
            <w:tcBorders>
              <w:bottom w:val="single" w:sz="8" w:color="auto"/>
            </w:tcBorders>
            <w:gridSpan w:val="9"/>
          </w:tcPr>
          <w:p>
            <w:pPr>
              <w:jc w:val="center"/>
              <w:spacing w:after="0"/>
              <w:rPr>
                <w:sz w:val="20"/>
                <w:szCs w:val="20"/>
                <w:color w:val="auto"/>
              </w:rPr>
            </w:pPr>
            <w:r>
              <w:rPr>
                <w:rFonts w:ascii="Arial" w:cs="Arial" w:eastAsia="Arial" w:hAnsi="Arial"/>
                <w:sz w:val="18"/>
                <w:szCs w:val="18"/>
                <w:color w:val="auto"/>
                <w:w w:val="90"/>
              </w:rPr>
              <w:t>Remedies of the Trustee and Securityholders on Event of Default</w:t>
            </w:r>
          </w:p>
        </w:tc>
        <w:tc>
          <w:tcPr>
            <w:tcW w:w="2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1380" w:type="dxa"/>
            <w:vAlign w:val="bottom"/>
          </w:tcPr>
          <w:p>
            <w:pPr>
              <w:spacing w:after="0"/>
              <w:rPr>
                <w:sz w:val="20"/>
                <w:szCs w:val="20"/>
                <w:color w:val="auto"/>
              </w:rPr>
            </w:pPr>
            <w:r>
              <w:rPr>
                <w:rFonts w:ascii="Arial" w:cs="Arial" w:eastAsia="Arial" w:hAnsi="Arial"/>
                <w:sz w:val="18"/>
                <w:szCs w:val="18"/>
                <w:color w:val="auto"/>
              </w:rPr>
              <w:t>SECTION 4.01.</w:t>
            </w:r>
          </w:p>
        </w:tc>
        <w:tc>
          <w:tcPr>
            <w:tcW w:w="9080" w:type="dxa"/>
            <w:vAlign w:val="bottom"/>
            <w:gridSpan w:val="11"/>
          </w:tcPr>
          <w:p>
            <w:pPr>
              <w:ind w:left="200"/>
              <w:spacing w:after="0"/>
              <w:rPr>
                <w:sz w:val="20"/>
                <w:szCs w:val="20"/>
                <w:color w:val="auto"/>
              </w:rPr>
            </w:pPr>
            <w:r>
              <w:rPr>
                <w:rFonts w:ascii="Arial" w:cs="Arial" w:eastAsia="Arial" w:hAnsi="Arial"/>
                <w:sz w:val="18"/>
                <w:szCs w:val="18"/>
                <w:color w:val="auto"/>
              </w:rPr>
              <w:t>Event of Default; Acceleration of Maturity; Waiver of Default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r>
      <w:tr>
        <w:trPr>
          <w:trHeight w:val="432"/>
        </w:trPr>
        <w:tc>
          <w:tcPr>
            <w:tcW w:w="13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0" w:type="dxa"/>
            <w:vAlign w:val="bottom"/>
            <w:gridSpan w:val="6"/>
          </w:tcPr>
          <w:p>
            <w:pPr>
              <w:jc w:val="center"/>
              <w:ind w:right="4480"/>
              <w:spacing w:after="0"/>
              <w:rPr>
                <w:sz w:val="20"/>
                <w:szCs w:val="20"/>
                <w:color w:val="auto"/>
              </w:rPr>
            </w:pPr>
            <w:r>
              <w:rPr>
                <w:rFonts w:ascii="Arial" w:cs="Arial" w:eastAsia="Arial" w:hAnsi="Arial"/>
                <w:sz w:val="18"/>
                <w:szCs w:val="18"/>
                <w:color w:val="auto"/>
                <w:w w:val="98"/>
              </w:rPr>
              <w:t>i</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380" w:type="dxa"/>
            <w:vAlign w:val="bottom"/>
            <w:tcBorders>
              <w:bottom w:val="single" w:sz="8" w:color="808080"/>
            </w:tcBorders>
          </w:tcPr>
          <w:p>
            <w:pPr>
              <w:spacing w:after="0"/>
              <w:rPr>
                <w:sz w:val="11"/>
                <w:szCs w:val="11"/>
                <w:color w:val="auto"/>
              </w:rPr>
            </w:pPr>
          </w:p>
        </w:tc>
        <w:tc>
          <w:tcPr>
            <w:tcW w:w="190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248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41" w:right="29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4.02.</w:t>
            </w:r>
          </w:p>
        </w:tc>
        <w:tc>
          <w:tcPr>
            <w:tcW w:w="8500" w:type="dxa"/>
            <w:vAlign w:val="bottom"/>
            <w:gridSpan w:val="7"/>
          </w:tcPr>
          <w:p>
            <w:pPr>
              <w:ind w:left="200"/>
              <w:spacing w:after="0"/>
              <w:rPr>
                <w:sz w:val="20"/>
                <w:szCs w:val="20"/>
                <w:color w:val="auto"/>
              </w:rPr>
            </w:pPr>
            <w:r>
              <w:rPr>
                <w:rFonts w:ascii="Arial" w:cs="Arial" w:eastAsia="Arial" w:hAnsi="Arial"/>
                <w:sz w:val="18"/>
                <w:szCs w:val="18"/>
                <w:color w:val="auto"/>
              </w:rPr>
              <w:t>Collection of Indebtedness by Trustee; Trustee May Prove Debt</w:t>
            </w:r>
          </w:p>
        </w:tc>
        <w:tc>
          <w:tcPr>
            <w:tcW w:w="13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4.03.</w:t>
            </w:r>
          </w:p>
        </w:tc>
        <w:tc>
          <w:tcPr>
            <w:tcW w:w="8500" w:type="dxa"/>
            <w:vAlign w:val="bottom"/>
            <w:gridSpan w:val="7"/>
          </w:tcPr>
          <w:p>
            <w:pPr>
              <w:ind w:left="200"/>
              <w:spacing w:after="0"/>
              <w:rPr>
                <w:sz w:val="20"/>
                <w:szCs w:val="20"/>
                <w:color w:val="auto"/>
              </w:rPr>
            </w:pPr>
            <w:r>
              <w:rPr>
                <w:rFonts w:ascii="Arial" w:cs="Arial" w:eastAsia="Arial" w:hAnsi="Arial"/>
                <w:sz w:val="18"/>
                <w:szCs w:val="18"/>
                <w:color w:val="auto"/>
              </w:rPr>
              <w:t>Application of Proceeds</w:t>
            </w:r>
          </w:p>
        </w:tc>
        <w:tc>
          <w:tcPr>
            <w:tcW w:w="13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4.04.</w:t>
            </w:r>
          </w:p>
        </w:tc>
        <w:tc>
          <w:tcPr>
            <w:tcW w:w="8500" w:type="dxa"/>
            <w:vAlign w:val="bottom"/>
            <w:gridSpan w:val="7"/>
          </w:tcPr>
          <w:p>
            <w:pPr>
              <w:ind w:left="200"/>
              <w:spacing w:after="0"/>
              <w:rPr>
                <w:sz w:val="20"/>
                <w:szCs w:val="20"/>
                <w:color w:val="auto"/>
              </w:rPr>
            </w:pPr>
            <w:r>
              <w:rPr>
                <w:rFonts w:ascii="Arial" w:cs="Arial" w:eastAsia="Arial" w:hAnsi="Arial"/>
                <w:sz w:val="18"/>
                <w:szCs w:val="18"/>
                <w:color w:val="auto"/>
              </w:rPr>
              <w:t>Suits for Enforcement</w:t>
            </w:r>
          </w:p>
        </w:tc>
        <w:tc>
          <w:tcPr>
            <w:tcW w:w="13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4.05.</w:t>
            </w:r>
          </w:p>
        </w:tc>
        <w:tc>
          <w:tcPr>
            <w:tcW w:w="8500" w:type="dxa"/>
            <w:vAlign w:val="bottom"/>
            <w:gridSpan w:val="7"/>
          </w:tcPr>
          <w:p>
            <w:pPr>
              <w:ind w:left="200"/>
              <w:spacing w:after="0"/>
              <w:rPr>
                <w:sz w:val="20"/>
                <w:szCs w:val="20"/>
                <w:color w:val="auto"/>
              </w:rPr>
            </w:pPr>
            <w:r>
              <w:rPr>
                <w:rFonts w:ascii="Arial" w:cs="Arial" w:eastAsia="Arial" w:hAnsi="Arial"/>
                <w:sz w:val="18"/>
                <w:szCs w:val="18"/>
                <w:color w:val="auto"/>
              </w:rPr>
              <w:t>Restoration of Rights on Abandonment of Proceeding</w:t>
            </w:r>
          </w:p>
        </w:tc>
        <w:tc>
          <w:tcPr>
            <w:tcW w:w="13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4.06.</w:t>
            </w:r>
          </w:p>
        </w:tc>
        <w:tc>
          <w:tcPr>
            <w:tcW w:w="8500" w:type="dxa"/>
            <w:vAlign w:val="bottom"/>
            <w:gridSpan w:val="7"/>
          </w:tcPr>
          <w:p>
            <w:pPr>
              <w:ind w:left="200"/>
              <w:spacing w:after="0"/>
              <w:rPr>
                <w:sz w:val="20"/>
                <w:szCs w:val="20"/>
                <w:color w:val="auto"/>
              </w:rPr>
            </w:pPr>
            <w:r>
              <w:rPr>
                <w:rFonts w:ascii="Arial" w:cs="Arial" w:eastAsia="Arial" w:hAnsi="Arial"/>
                <w:sz w:val="18"/>
                <w:szCs w:val="18"/>
                <w:color w:val="auto"/>
              </w:rPr>
              <w:t>Limitations on Suits by Securityholder</w:t>
            </w:r>
          </w:p>
        </w:tc>
        <w:tc>
          <w:tcPr>
            <w:tcW w:w="13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4.07.</w:t>
            </w:r>
          </w:p>
        </w:tc>
        <w:tc>
          <w:tcPr>
            <w:tcW w:w="8500" w:type="dxa"/>
            <w:vAlign w:val="bottom"/>
            <w:gridSpan w:val="7"/>
          </w:tcPr>
          <w:p>
            <w:pPr>
              <w:ind w:left="200"/>
              <w:spacing w:after="0"/>
              <w:rPr>
                <w:sz w:val="20"/>
                <w:szCs w:val="20"/>
                <w:color w:val="auto"/>
              </w:rPr>
            </w:pPr>
            <w:r>
              <w:rPr>
                <w:rFonts w:ascii="Arial" w:cs="Arial" w:eastAsia="Arial" w:hAnsi="Arial"/>
                <w:sz w:val="18"/>
                <w:szCs w:val="18"/>
                <w:color w:val="auto"/>
              </w:rPr>
              <w:t>Unconditional Right of Securityholders to Institute Certain Suits</w:t>
            </w:r>
          </w:p>
        </w:tc>
        <w:tc>
          <w:tcPr>
            <w:tcW w:w="13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4.08.</w:t>
            </w:r>
          </w:p>
        </w:tc>
        <w:tc>
          <w:tcPr>
            <w:tcW w:w="8500" w:type="dxa"/>
            <w:vAlign w:val="bottom"/>
            <w:gridSpan w:val="7"/>
          </w:tcPr>
          <w:p>
            <w:pPr>
              <w:ind w:left="200"/>
              <w:spacing w:after="0"/>
              <w:rPr>
                <w:sz w:val="20"/>
                <w:szCs w:val="20"/>
                <w:color w:val="auto"/>
              </w:rPr>
            </w:pPr>
            <w:r>
              <w:rPr>
                <w:rFonts w:ascii="Arial" w:cs="Arial" w:eastAsia="Arial" w:hAnsi="Arial"/>
                <w:sz w:val="18"/>
                <w:szCs w:val="18"/>
                <w:color w:val="auto"/>
              </w:rPr>
              <w:t>Powers and Remedies Cumulative; Delay or Omission Not Waiver of Default</w:t>
            </w:r>
          </w:p>
        </w:tc>
        <w:tc>
          <w:tcPr>
            <w:tcW w:w="13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4.09.</w:t>
            </w:r>
          </w:p>
        </w:tc>
        <w:tc>
          <w:tcPr>
            <w:tcW w:w="8500" w:type="dxa"/>
            <w:vAlign w:val="bottom"/>
            <w:gridSpan w:val="7"/>
          </w:tcPr>
          <w:p>
            <w:pPr>
              <w:ind w:left="200"/>
              <w:spacing w:after="0"/>
              <w:rPr>
                <w:sz w:val="20"/>
                <w:szCs w:val="20"/>
                <w:color w:val="auto"/>
              </w:rPr>
            </w:pPr>
            <w:r>
              <w:rPr>
                <w:rFonts w:ascii="Arial" w:cs="Arial" w:eastAsia="Arial" w:hAnsi="Arial"/>
                <w:sz w:val="18"/>
                <w:szCs w:val="18"/>
                <w:color w:val="auto"/>
              </w:rPr>
              <w:t>Control by Securityholders</w:t>
            </w:r>
          </w:p>
        </w:tc>
        <w:tc>
          <w:tcPr>
            <w:tcW w:w="13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4.10.</w:t>
            </w:r>
          </w:p>
        </w:tc>
        <w:tc>
          <w:tcPr>
            <w:tcW w:w="8500" w:type="dxa"/>
            <w:vAlign w:val="bottom"/>
            <w:gridSpan w:val="7"/>
          </w:tcPr>
          <w:p>
            <w:pPr>
              <w:ind w:left="200"/>
              <w:spacing w:after="0"/>
              <w:rPr>
                <w:sz w:val="20"/>
                <w:szCs w:val="20"/>
                <w:color w:val="auto"/>
              </w:rPr>
            </w:pPr>
            <w:r>
              <w:rPr>
                <w:rFonts w:ascii="Arial" w:cs="Arial" w:eastAsia="Arial" w:hAnsi="Arial"/>
                <w:sz w:val="18"/>
                <w:szCs w:val="18"/>
                <w:color w:val="auto"/>
              </w:rPr>
              <w:t>Waiver of Past Defaults</w:t>
            </w:r>
          </w:p>
        </w:tc>
        <w:tc>
          <w:tcPr>
            <w:tcW w:w="13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4.11.</w:t>
            </w:r>
          </w:p>
        </w:tc>
        <w:tc>
          <w:tcPr>
            <w:tcW w:w="8500" w:type="dxa"/>
            <w:vAlign w:val="bottom"/>
            <w:gridSpan w:val="7"/>
          </w:tcPr>
          <w:p>
            <w:pPr>
              <w:ind w:left="200"/>
              <w:spacing w:after="0"/>
              <w:rPr>
                <w:sz w:val="20"/>
                <w:szCs w:val="20"/>
                <w:color w:val="auto"/>
              </w:rPr>
            </w:pPr>
            <w:r>
              <w:rPr>
                <w:rFonts w:ascii="Arial" w:cs="Arial" w:eastAsia="Arial" w:hAnsi="Arial"/>
                <w:sz w:val="18"/>
                <w:szCs w:val="18"/>
                <w:color w:val="auto"/>
              </w:rPr>
              <w:t>Trustee to Give Notice of Default, But May Withhold in Certain Circumstances</w:t>
            </w:r>
          </w:p>
        </w:tc>
        <w:tc>
          <w:tcPr>
            <w:tcW w:w="13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1380" w:type="dxa"/>
            <w:vAlign w:val="bottom"/>
          </w:tcPr>
          <w:p>
            <w:pPr>
              <w:spacing w:after="0"/>
              <w:rPr>
                <w:sz w:val="20"/>
                <w:szCs w:val="20"/>
                <w:color w:val="auto"/>
              </w:rPr>
            </w:pPr>
            <w:r>
              <w:rPr>
                <w:rFonts w:ascii="Arial" w:cs="Arial" w:eastAsia="Arial" w:hAnsi="Arial"/>
                <w:sz w:val="18"/>
                <w:szCs w:val="18"/>
                <w:color w:val="auto"/>
              </w:rPr>
              <w:t>SECTION 4.12.</w:t>
            </w:r>
          </w:p>
        </w:tc>
        <w:tc>
          <w:tcPr>
            <w:tcW w:w="8500" w:type="dxa"/>
            <w:vAlign w:val="bottom"/>
            <w:gridSpan w:val="7"/>
          </w:tcPr>
          <w:p>
            <w:pPr>
              <w:ind w:left="200"/>
              <w:spacing w:after="0"/>
              <w:rPr>
                <w:sz w:val="20"/>
                <w:szCs w:val="20"/>
                <w:color w:val="auto"/>
              </w:rPr>
            </w:pPr>
            <w:r>
              <w:rPr>
                <w:rFonts w:ascii="Arial" w:cs="Arial" w:eastAsia="Arial" w:hAnsi="Arial"/>
                <w:sz w:val="18"/>
                <w:szCs w:val="18"/>
                <w:color w:val="auto"/>
              </w:rPr>
              <w:t>Right of Court to Require Filing of Undertaking to Pay Costs</w:t>
            </w:r>
          </w:p>
        </w:tc>
        <w:tc>
          <w:tcPr>
            <w:tcW w:w="13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91"/>
        </w:trPr>
        <w:tc>
          <w:tcPr>
            <w:tcW w:w="13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700" w:type="dxa"/>
            <w:vAlign w:val="bottom"/>
            <w:gridSpan w:val="4"/>
          </w:tcPr>
          <w:p>
            <w:pPr>
              <w:jc w:val="center"/>
              <w:ind w:right="3820"/>
              <w:spacing w:after="0"/>
              <w:rPr>
                <w:sz w:val="20"/>
                <w:szCs w:val="20"/>
                <w:color w:val="auto"/>
              </w:rPr>
            </w:pPr>
            <w:r>
              <w:rPr>
                <w:rFonts w:ascii="Arial" w:cs="Arial" w:eastAsia="Arial" w:hAnsi="Arial"/>
                <w:sz w:val="18"/>
                <w:szCs w:val="18"/>
                <w:color w:val="auto"/>
                <w:w w:val="96"/>
              </w:rPr>
              <w:t>ARTICLE 5</w:t>
            </w:r>
          </w:p>
        </w:tc>
        <w:tc>
          <w:tcPr>
            <w:tcW w:w="1360" w:type="dxa"/>
            <w:vAlign w:val="bottom"/>
          </w:tcPr>
          <w:p>
            <w:pPr>
              <w:spacing w:after="0"/>
              <w:rPr>
                <w:sz w:val="24"/>
                <w:szCs w:val="24"/>
                <w:color w:val="auto"/>
              </w:rPr>
            </w:pPr>
          </w:p>
        </w:tc>
      </w:tr>
      <w:tr>
        <w:trPr>
          <w:trHeight w:val="20"/>
        </w:trPr>
        <w:tc>
          <w:tcPr>
            <w:tcW w:w="13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12"/>
        </w:trPr>
        <w:tc>
          <w:tcPr>
            <w:tcW w:w="13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100" w:type="dxa"/>
            <w:vAlign w:val="bottom"/>
            <w:gridSpan w:val="5"/>
          </w:tcPr>
          <w:p>
            <w:pPr>
              <w:jc w:val="center"/>
              <w:ind w:right="3420"/>
              <w:spacing w:after="0"/>
              <w:rPr>
                <w:sz w:val="20"/>
                <w:szCs w:val="20"/>
                <w:color w:val="auto"/>
              </w:rPr>
            </w:pPr>
            <w:r>
              <w:rPr>
                <w:rFonts w:ascii="Arial" w:cs="Arial" w:eastAsia="Arial" w:hAnsi="Arial"/>
                <w:sz w:val="18"/>
                <w:szCs w:val="18"/>
                <w:color w:val="auto"/>
                <w:w w:val="89"/>
              </w:rPr>
              <w:t>Concerning the Trustee</w:t>
            </w:r>
          </w:p>
        </w:tc>
        <w:tc>
          <w:tcPr>
            <w:tcW w:w="1360" w:type="dxa"/>
            <w:vAlign w:val="bottom"/>
          </w:tcPr>
          <w:p>
            <w:pPr>
              <w:spacing w:after="0"/>
              <w:rPr>
                <w:sz w:val="24"/>
                <w:szCs w:val="24"/>
                <w:color w:val="auto"/>
              </w:rPr>
            </w:pPr>
          </w:p>
        </w:tc>
      </w:tr>
      <w:tr>
        <w:trPr>
          <w:trHeight w:val="20"/>
        </w:trPr>
        <w:tc>
          <w:tcPr>
            <w:tcW w:w="13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80" w:type="dxa"/>
            <w:vAlign w:val="bottom"/>
            <w:gridSpan w:val="3"/>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38"/>
        </w:trPr>
        <w:tc>
          <w:tcPr>
            <w:tcW w:w="1380" w:type="dxa"/>
            <w:vAlign w:val="bottom"/>
          </w:tcPr>
          <w:p>
            <w:pPr>
              <w:spacing w:after="0"/>
              <w:rPr>
                <w:sz w:val="20"/>
                <w:szCs w:val="20"/>
                <w:color w:val="auto"/>
              </w:rPr>
            </w:pPr>
            <w:r>
              <w:rPr>
                <w:rFonts w:ascii="Arial" w:cs="Arial" w:eastAsia="Arial" w:hAnsi="Arial"/>
                <w:sz w:val="18"/>
                <w:szCs w:val="18"/>
                <w:color w:val="auto"/>
              </w:rPr>
              <w:t>SECTION 5.01.</w:t>
            </w:r>
          </w:p>
        </w:tc>
        <w:tc>
          <w:tcPr>
            <w:tcW w:w="8500" w:type="dxa"/>
            <w:vAlign w:val="bottom"/>
            <w:gridSpan w:val="7"/>
          </w:tcPr>
          <w:p>
            <w:pPr>
              <w:ind w:left="200"/>
              <w:spacing w:after="0"/>
              <w:rPr>
                <w:sz w:val="20"/>
                <w:szCs w:val="20"/>
                <w:color w:val="auto"/>
              </w:rPr>
            </w:pPr>
            <w:r>
              <w:rPr>
                <w:rFonts w:ascii="Arial" w:cs="Arial" w:eastAsia="Arial" w:hAnsi="Arial"/>
                <w:sz w:val="18"/>
                <w:szCs w:val="18"/>
                <w:color w:val="auto"/>
              </w:rPr>
              <w:t>Duties and Responsibilities of the Trustee; During Default; Prior to Default</w:t>
            </w:r>
          </w:p>
        </w:tc>
        <w:tc>
          <w:tcPr>
            <w:tcW w:w="13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5.02.</w:t>
            </w:r>
          </w:p>
        </w:tc>
        <w:tc>
          <w:tcPr>
            <w:tcW w:w="8500" w:type="dxa"/>
            <w:vAlign w:val="bottom"/>
            <w:gridSpan w:val="7"/>
          </w:tcPr>
          <w:p>
            <w:pPr>
              <w:ind w:left="200"/>
              <w:spacing w:after="0"/>
              <w:rPr>
                <w:sz w:val="20"/>
                <w:szCs w:val="20"/>
                <w:color w:val="auto"/>
              </w:rPr>
            </w:pPr>
            <w:r>
              <w:rPr>
                <w:rFonts w:ascii="Arial" w:cs="Arial" w:eastAsia="Arial" w:hAnsi="Arial"/>
                <w:sz w:val="18"/>
                <w:szCs w:val="18"/>
                <w:color w:val="auto"/>
              </w:rPr>
              <w:t>Certain Rights of the Trustee</w:t>
            </w:r>
          </w:p>
        </w:tc>
        <w:tc>
          <w:tcPr>
            <w:tcW w:w="13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5.03.</w:t>
            </w:r>
          </w:p>
        </w:tc>
        <w:tc>
          <w:tcPr>
            <w:tcW w:w="8500" w:type="dxa"/>
            <w:vAlign w:val="bottom"/>
            <w:gridSpan w:val="7"/>
          </w:tcPr>
          <w:p>
            <w:pPr>
              <w:ind w:left="200"/>
              <w:spacing w:after="0"/>
              <w:rPr>
                <w:sz w:val="20"/>
                <w:szCs w:val="20"/>
                <w:color w:val="auto"/>
              </w:rPr>
            </w:pPr>
            <w:r>
              <w:rPr>
                <w:rFonts w:ascii="Arial" w:cs="Arial" w:eastAsia="Arial" w:hAnsi="Arial"/>
                <w:sz w:val="18"/>
                <w:szCs w:val="18"/>
                <w:color w:val="auto"/>
              </w:rPr>
              <w:t>Trustee Not Responsible for Recitals, Disposition of Securities or Application of Proceeds Thereof</w:t>
            </w:r>
          </w:p>
        </w:tc>
        <w:tc>
          <w:tcPr>
            <w:tcW w:w="13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5.04.</w:t>
            </w:r>
          </w:p>
        </w:tc>
        <w:tc>
          <w:tcPr>
            <w:tcW w:w="8500" w:type="dxa"/>
            <w:vAlign w:val="bottom"/>
            <w:gridSpan w:val="7"/>
          </w:tcPr>
          <w:p>
            <w:pPr>
              <w:ind w:left="200"/>
              <w:spacing w:after="0"/>
              <w:rPr>
                <w:sz w:val="20"/>
                <w:szCs w:val="20"/>
                <w:color w:val="auto"/>
              </w:rPr>
            </w:pPr>
            <w:r>
              <w:rPr>
                <w:rFonts w:ascii="Arial" w:cs="Arial" w:eastAsia="Arial" w:hAnsi="Arial"/>
                <w:sz w:val="18"/>
                <w:szCs w:val="18"/>
                <w:color w:val="auto"/>
              </w:rPr>
              <w:t>Trustee and Agents May Hold Securities; Collections, etc</w:t>
            </w:r>
          </w:p>
        </w:tc>
        <w:tc>
          <w:tcPr>
            <w:tcW w:w="13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5.05.</w:t>
            </w:r>
          </w:p>
        </w:tc>
        <w:tc>
          <w:tcPr>
            <w:tcW w:w="8500" w:type="dxa"/>
            <w:vAlign w:val="bottom"/>
            <w:gridSpan w:val="7"/>
          </w:tcPr>
          <w:p>
            <w:pPr>
              <w:ind w:left="200"/>
              <w:spacing w:after="0"/>
              <w:rPr>
                <w:sz w:val="20"/>
                <w:szCs w:val="20"/>
                <w:color w:val="auto"/>
              </w:rPr>
            </w:pPr>
            <w:r>
              <w:rPr>
                <w:rFonts w:ascii="Arial" w:cs="Arial" w:eastAsia="Arial" w:hAnsi="Arial"/>
                <w:sz w:val="18"/>
                <w:szCs w:val="18"/>
                <w:color w:val="auto"/>
              </w:rPr>
              <w:t>Moneys Held by Trustee</w:t>
            </w:r>
          </w:p>
        </w:tc>
        <w:tc>
          <w:tcPr>
            <w:tcW w:w="13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5.06.</w:t>
            </w:r>
          </w:p>
        </w:tc>
        <w:tc>
          <w:tcPr>
            <w:tcW w:w="8500" w:type="dxa"/>
            <w:vAlign w:val="bottom"/>
            <w:gridSpan w:val="7"/>
          </w:tcPr>
          <w:p>
            <w:pPr>
              <w:ind w:left="200"/>
              <w:spacing w:after="0"/>
              <w:rPr>
                <w:sz w:val="20"/>
                <w:szCs w:val="20"/>
                <w:color w:val="auto"/>
              </w:rPr>
            </w:pPr>
            <w:r>
              <w:rPr>
                <w:rFonts w:ascii="Arial" w:cs="Arial" w:eastAsia="Arial" w:hAnsi="Arial"/>
                <w:sz w:val="18"/>
                <w:szCs w:val="18"/>
                <w:color w:val="auto"/>
              </w:rPr>
              <w:t>Compensation and Indemnification of Trustee and its Prior Claim</w:t>
            </w:r>
          </w:p>
        </w:tc>
        <w:tc>
          <w:tcPr>
            <w:tcW w:w="13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5.07.</w:t>
            </w:r>
          </w:p>
        </w:tc>
        <w:tc>
          <w:tcPr>
            <w:tcW w:w="8500" w:type="dxa"/>
            <w:vAlign w:val="bottom"/>
            <w:gridSpan w:val="7"/>
          </w:tcPr>
          <w:p>
            <w:pPr>
              <w:ind w:left="200"/>
              <w:spacing w:after="0"/>
              <w:rPr>
                <w:sz w:val="20"/>
                <w:szCs w:val="20"/>
                <w:color w:val="auto"/>
              </w:rPr>
            </w:pPr>
            <w:r>
              <w:rPr>
                <w:rFonts w:ascii="Arial" w:cs="Arial" w:eastAsia="Arial" w:hAnsi="Arial"/>
                <w:sz w:val="18"/>
                <w:szCs w:val="18"/>
                <w:color w:val="auto"/>
              </w:rPr>
              <w:t>Right of Trustee to Rely on Officers’ Certificate, etc</w:t>
            </w:r>
          </w:p>
        </w:tc>
        <w:tc>
          <w:tcPr>
            <w:tcW w:w="13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5.08.</w:t>
            </w:r>
          </w:p>
        </w:tc>
        <w:tc>
          <w:tcPr>
            <w:tcW w:w="8500" w:type="dxa"/>
            <w:vAlign w:val="bottom"/>
            <w:gridSpan w:val="7"/>
          </w:tcPr>
          <w:p>
            <w:pPr>
              <w:ind w:left="200"/>
              <w:spacing w:after="0"/>
              <w:rPr>
                <w:sz w:val="20"/>
                <w:szCs w:val="20"/>
                <w:color w:val="auto"/>
              </w:rPr>
            </w:pPr>
            <w:r>
              <w:rPr>
                <w:rFonts w:ascii="Arial" w:cs="Arial" w:eastAsia="Arial" w:hAnsi="Arial"/>
                <w:sz w:val="18"/>
                <w:szCs w:val="18"/>
                <w:color w:val="auto"/>
              </w:rPr>
              <w:t>Persons Eligible for Appointment as Trustee</w:t>
            </w:r>
          </w:p>
        </w:tc>
        <w:tc>
          <w:tcPr>
            <w:tcW w:w="13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5.09.</w:t>
            </w:r>
          </w:p>
        </w:tc>
        <w:tc>
          <w:tcPr>
            <w:tcW w:w="8500" w:type="dxa"/>
            <w:vAlign w:val="bottom"/>
            <w:gridSpan w:val="7"/>
          </w:tcPr>
          <w:p>
            <w:pPr>
              <w:ind w:left="200"/>
              <w:spacing w:after="0"/>
              <w:rPr>
                <w:sz w:val="20"/>
                <w:szCs w:val="20"/>
                <w:color w:val="auto"/>
              </w:rPr>
            </w:pPr>
            <w:r>
              <w:rPr>
                <w:rFonts w:ascii="Arial" w:cs="Arial" w:eastAsia="Arial" w:hAnsi="Arial"/>
                <w:sz w:val="18"/>
                <w:szCs w:val="18"/>
                <w:color w:val="auto"/>
              </w:rPr>
              <w:t>Resignation and Removal; Appointment of Successor Trustee</w:t>
            </w:r>
          </w:p>
        </w:tc>
        <w:tc>
          <w:tcPr>
            <w:tcW w:w="13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5.10.</w:t>
            </w:r>
          </w:p>
        </w:tc>
        <w:tc>
          <w:tcPr>
            <w:tcW w:w="8500" w:type="dxa"/>
            <w:vAlign w:val="bottom"/>
            <w:gridSpan w:val="7"/>
          </w:tcPr>
          <w:p>
            <w:pPr>
              <w:ind w:left="200"/>
              <w:spacing w:after="0"/>
              <w:rPr>
                <w:sz w:val="20"/>
                <w:szCs w:val="20"/>
                <w:color w:val="auto"/>
              </w:rPr>
            </w:pPr>
            <w:r>
              <w:rPr>
                <w:rFonts w:ascii="Arial" w:cs="Arial" w:eastAsia="Arial" w:hAnsi="Arial"/>
                <w:sz w:val="18"/>
                <w:szCs w:val="18"/>
                <w:color w:val="auto"/>
              </w:rPr>
              <w:t>Acceptance of Appointment by Successor Trustee</w:t>
            </w:r>
          </w:p>
        </w:tc>
        <w:tc>
          <w:tcPr>
            <w:tcW w:w="13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1380" w:type="dxa"/>
            <w:vAlign w:val="bottom"/>
          </w:tcPr>
          <w:p>
            <w:pPr>
              <w:spacing w:after="0"/>
              <w:rPr>
                <w:sz w:val="20"/>
                <w:szCs w:val="20"/>
                <w:color w:val="auto"/>
              </w:rPr>
            </w:pPr>
            <w:r>
              <w:rPr>
                <w:rFonts w:ascii="Arial" w:cs="Arial" w:eastAsia="Arial" w:hAnsi="Arial"/>
                <w:sz w:val="18"/>
                <w:szCs w:val="18"/>
                <w:color w:val="auto"/>
              </w:rPr>
              <w:t>SECTION 5.11.</w:t>
            </w:r>
          </w:p>
        </w:tc>
        <w:tc>
          <w:tcPr>
            <w:tcW w:w="8500" w:type="dxa"/>
            <w:vAlign w:val="bottom"/>
            <w:gridSpan w:val="7"/>
          </w:tcPr>
          <w:p>
            <w:pPr>
              <w:ind w:left="200"/>
              <w:spacing w:after="0"/>
              <w:rPr>
                <w:sz w:val="20"/>
                <w:szCs w:val="20"/>
                <w:color w:val="auto"/>
              </w:rPr>
            </w:pPr>
            <w:r>
              <w:rPr>
                <w:rFonts w:ascii="Arial" w:cs="Arial" w:eastAsia="Arial" w:hAnsi="Arial"/>
                <w:sz w:val="18"/>
                <w:szCs w:val="18"/>
                <w:color w:val="auto"/>
              </w:rPr>
              <w:t>Merger, Conversion, Consolidation or Succession to Business of Trustee</w:t>
            </w:r>
          </w:p>
        </w:tc>
        <w:tc>
          <w:tcPr>
            <w:tcW w:w="13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91"/>
        </w:trPr>
        <w:tc>
          <w:tcPr>
            <w:tcW w:w="13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700" w:type="dxa"/>
            <w:vAlign w:val="bottom"/>
            <w:gridSpan w:val="4"/>
          </w:tcPr>
          <w:p>
            <w:pPr>
              <w:jc w:val="center"/>
              <w:ind w:right="3820"/>
              <w:spacing w:after="0"/>
              <w:rPr>
                <w:sz w:val="20"/>
                <w:szCs w:val="20"/>
                <w:color w:val="auto"/>
              </w:rPr>
            </w:pPr>
            <w:r>
              <w:rPr>
                <w:rFonts w:ascii="Arial" w:cs="Arial" w:eastAsia="Arial" w:hAnsi="Arial"/>
                <w:sz w:val="18"/>
                <w:szCs w:val="18"/>
                <w:color w:val="auto"/>
                <w:w w:val="96"/>
              </w:rPr>
              <w:t>ARTICLE 6</w:t>
            </w:r>
          </w:p>
        </w:tc>
        <w:tc>
          <w:tcPr>
            <w:tcW w:w="1360" w:type="dxa"/>
            <w:vAlign w:val="bottom"/>
          </w:tcPr>
          <w:p>
            <w:pPr>
              <w:spacing w:after="0"/>
              <w:rPr>
                <w:sz w:val="24"/>
                <w:szCs w:val="24"/>
                <w:color w:val="auto"/>
              </w:rPr>
            </w:pPr>
          </w:p>
        </w:tc>
      </w:tr>
      <w:tr>
        <w:trPr>
          <w:trHeight w:val="20"/>
        </w:trPr>
        <w:tc>
          <w:tcPr>
            <w:tcW w:w="13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12"/>
        </w:trPr>
        <w:tc>
          <w:tcPr>
            <w:tcW w:w="13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5400" w:type="dxa"/>
            <w:vAlign w:val="bottom"/>
            <w:gridSpan w:val="6"/>
          </w:tcPr>
          <w:p>
            <w:pPr>
              <w:jc w:val="center"/>
              <w:ind w:right="3120"/>
              <w:spacing w:after="0"/>
              <w:rPr>
                <w:sz w:val="20"/>
                <w:szCs w:val="20"/>
                <w:color w:val="auto"/>
              </w:rPr>
            </w:pPr>
            <w:r>
              <w:rPr>
                <w:rFonts w:ascii="Arial" w:cs="Arial" w:eastAsia="Arial" w:hAnsi="Arial"/>
                <w:sz w:val="18"/>
                <w:szCs w:val="18"/>
                <w:color w:val="auto"/>
                <w:w w:val="90"/>
              </w:rPr>
              <w:t>Concerning the Securityholders</w:t>
            </w:r>
          </w:p>
        </w:tc>
        <w:tc>
          <w:tcPr>
            <w:tcW w:w="1360" w:type="dxa"/>
            <w:vAlign w:val="bottom"/>
          </w:tcPr>
          <w:p>
            <w:pPr>
              <w:spacing w:after="0"/>
              <w:rPr>
                <w:sz w:val="24"/>
                <w:szCs w:val="24"/>
                <w:color w:val="auto"/>
              </w:rPr>
            </w:pPr>
          </w:p>
        </w:tc>
      </w:tr>
      <w:tr>
        <w:trPr>
          <w:trHeight w:val="20"/>
        </w:trPr>
        <w:tc>
          <w:tcPr>
            <w:tcW w:w="13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280" w:type="dxa"/>
            <w:vAlign w:val="bottom"/>
            <w:gridSpan w:val="5"/>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38"/>
        </w:trPr>
        <w:tc>
          <w:tcPr>
            <w:tcW w:w="1380" w:type="dxa"/>
            <w:vAlign w:val="bottom"/>
          </w:tcPr>
          <w:p>
            <w:pPr>
              <w:spacing w:after="0"/>
              <w:rPr>
                <w:sz w:val="20"/>
                <w:szCs w:val="20"/>
                <w:color w:val="auto"/>
              </w:rPr>
            </w:pPr>
            <w:r>
              <w:rPr>
                <w:rFonts w:ascii="Arial" w:cs="Arial" w:eastAsia="Arial" w:hAnsi="Arial"/>
                <w:sz w:val="18"/>
                <w:szCs w:val="18"/>
                <w:color w:val="auto"/>
              </w:rPr>
              <w:t>SECTION 6.01.</w:t>
            </w:r>
          </w:p>
        </w:tc>
        <w:tc>
          <w:tcPr>
            <w:tcW w:w="8500" w:type="dxa"/>
            <w:vAlign w:val="bottom"/>
            <w:gridSpan w:val="7"/>
          </w:tcPr>
          <w:p>
            <w:pPr>
              <w:ind w:left="200"/>
              <w:spacing w:after="0"/>
              <w:rPr>
                <w:sz w:val="20"/>
                <w:szCs w:val="20"/>
                <w:color w:val="auto"/>
              </w:rPr>
            </w:pPr>
            <w:r>
              <w:rPr>
                <w:rFonts w:ascii="Arial" w:cs="Arial" w:eastAsia="Arial" w:hAnsi="Arial"/>
                <w:sz w:val="18"/>
                <w:szCs w:val="18"/>
                <w:color w:val="auto"/>
              </w:rPr>
              <w:t>Evidence of Action Taken by Securityholders</w:t>
            </w:r>
          </w:p>
        </w:tc>
        <w:tc>
          <w:tcPr>
            <w:tcW w:w="13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6.02.</w:t>
            </w:r>
          </w:p>
        </w:tc>
        <w:tc>
          <w:tcPr>
            <w:tcW w:w="8500" w:type="dxa"/>
            <w:vAlign w:val="bottom"/>
            <w:gridSpan w:val="7"/>
          </w:tcPr>
          <w:p>
            <w:pPr>
              <w:ind w:left="200"/>
              <w:spacing w:after="0"/>
              <w:rPr>
                <w:sz w:val="20"/>
                <w:szCs w:val="20"/>
                <w:color w:val="auto"/>
              </w:rPr>
            </w:pPr>
            <w:r>
              <w:rPr>
                <w:rFonts w:ascii="Arial" w:cs="Arial" w:eastAsia="Arial" w:hAnsi="Arial"/>
                <w:sz w:val="18"/>
                <w:szCs w:val="18"/>
                <w:color w:val="auto"/>
              </w:rPr>
              <w:t>Proof of Execution of Instruments and of Holding of Securities; Record Date</w:t>
            </w:r>
          </w:p>
        </w:tc>
        <w:tc>
          <w:tcPr>
            <w:tcW w:w="13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6.03.</w:t>
            </w:r>
          </w:p>
        </w:tc>
        <w:tc>
          <w:tcPr>
            <w:tcW w:w="8500" w:type="dxa"/>
            <w:vAlign w:val="bottom"/>
            <w:gridSpan w:val="7"/>
          </w:tcPr>
          <w:p>
            <w:pPr>
              <w:ind w:left="200"/>
              <w:spacing w:after="0"/>
              <w:rPr>
                <w:sz w:val="20"/>
                <w:szCs w:val="20"/>
                <w:color w:val="auto"/>
              </w:rPr>
            </w:pPr>
            <w:r>
              <w:rPr>
                <w:rFonts w:ascii="Arial" w:cs="Arial" w:eastAsia="Arial" w:hAnsi="Arial"/>
                <w:sz w:val="18"/>
                <w:szCs w:val="18"/>
                <w:color w:val="auto"/>
              </w:rPr>
              <w:t>Holders to be Treated as Owners</w:t>
            </w:r>
          </w:p>
        </w:tc>
        <w:tc>
          <w:tcPr>
            <w:tcW w:w="13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6.04.</w:t>
            </w:r>
          </w:p>
        </w:tc>
        <w:tc>
          <w:tcPr>
            <w:tcW w:w="8500" w:type="dxa"/>
            <w:vAlign w:val="bottom"/>
            <w:gridSpan w:val="7"/>
          </w:tcPr>
          <w:p>
            <w:pPr>
              <w:ind w:left="200"/>
              <w:spacing w:after="0"/>
              <w:rPr>
                <w:sz w:val="20"/>
                <w:szCs w:val="20"/>
                <w:color w:val="auto"/>
              </w:rPr>
            </w:pPr>
            <w:r>
              <w:rPr>
                <w:rFonts w:ascii="Arial" w:cs="Arial" w:eastAsia="Arial" w:hAnsi="Arial"/>
                <w:sz w:val="18"/>
                <w:szCs w:val="18"/>
                <w:color w:val="auto"/>
              </w:rPr>
              <w:t>Securities Owned by Issuer Deemed Not Outstanding</w:t>
            </w:r>
          </w:p>
        </w:tc>
        <w:tc>
          <w:tcPr>
            <w:tcW w:w="13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1380" w:type="dxa"/>
            <w:vAlign w:val="bottom"/>
          </w:tcPr>
          <w:p>
            <w:pPr>
              <w:spacing w:after="0"/>
              <w:rPr>
                <w:sz w:val="20"/>
                <w:szCs w:val="20"/>
                <w:color w:val="auto"/>
              </w:rPr>
            </w:pPr>
            <w:r>
              <w:rPr>
                <w:rFonts w:ascii="Arial" w:cs="Arial" w:eastAsia="Arial" w:hAnsi="Arial"/>
                <w:sz w:val="18"/>
                <w:szCs w:val="18"/>
                <w:color w:val="auto"/>
              </w:rPr>
              <w:t>SECTION 6.05.</w:t>
            </w:r>
          </w:p>
        </w:tc>
        <w:tc>
          <w:tcPr>
            <w:tcW w:w="8500" w:type="dxa"/>
            <w:vAlign w:val="bottom"/>
            <w:gridSpan w:val="7"/>
          </w:tcPr>
          <w:p>
            <w:pPr>
              <w:ind w:left="200"/>
              <w:spacing w:after="0"/>
              <w:rPr>
                <w:sz w:val="20"/>
                <w:szCs w:val="20"/>
                <w:color w:val="auto"/>
              </w:rPr>
            </w:pPr>
            <w:r>
              <w:rPr>
                <w:rFonts w:ascii="Arial" w:cs="Arial" w:eastAsia="Arial" w:hAnsi="Arial"/>
                <w:sz w:val="18"/>
                <w:szCs w:val="18"/>
                <w:color w:val="auto"/>
              </w:rPr>
              <w:t>Right of Revocation of Action Taken</w:t>
            </w:r>
          </w:p>
        </w:tc>
        <w:tc>
          <w:tcPr>
            <w:tcW w:w="1360" w:type="dxa"/>
            <w:vAlign w:val="bottom"/>
          </w:tcPr>
          <w:p>
            <w:pPr>
              <w:jc w:val="right"/>
              <w:spacing w:after="0"/>
              <w:rPr>
                <w:sz w:val="20"/>
                <w:szCs w:val="20"/>
                <w:color w:val="auto"/>
              </w:rPr>
            </w:pPr>
            <w:r>
              <w:rPr>
                <w:rFonts w:ascii="Arial" w:cs="Arial" w:eastAsia="Arial" w:hAnsi="Arial"/>
                <w:sz w:val="18"/>
                <w:szCs w:val="18"/>
                <w:color w:val="auto"/>
              </w:rPr>
              <w:t>34</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07"/>
        </w:trPr>
        <w:tc>
          <w:tcPr>
            <w:tcW w:w="14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500" w:type="dxa"/>
            <w:vAlign w:val="bottom"/>
            <w:gridSpan w:val="7"/>
          </w:tcPr>
          <w:p>
            <w:pPr>
              <w:jc w:val="center"/>
              <w:ind w:right="3620"/>
              <w:spacing w:after="0"/>
              <w:rPr>
                <w:sz w:val="20"/>
                <w:szCs w:val="20"/>
                <w:color w:val="auto"/>
              </w:rPr>
            </w:pPr>
            <w:r>
              <w:rPr>
                <w:rFonts w:ascii="Arial" w:cs="Arial" w:eastAsia="Arial" w:hAnsi="Arial"/>
                <w:sz w:val="18"/>
                <w:szCs w:val="18"/>
                <w:color w:val="auto"/>
                <w:w w:val="96"/>
              </w:rPr>
              <w:t>ARTICLE 7</w:t>
            </w:r>
          </w:p>
        </w:tc>
        <w:tc>
          <w:tcPr>
            <w:tcW w:w="1560" w:type="dxa"/>
            <w:vAlign w:val="bottom"/>
          </w:tcPr>
          <w:p>
            <w:pPr>
              <w:spacing w:after="0"/>
              <w:rPr>
                <w:sz w:val="17"/>
                <w:szCs w:val="17"/>
                <w:color w:val="auto"/>
              </w:rPr>
            </w:pPr>
          </w:p>
        </w:tc>
      </w:tr>
      <w:tr>
        <w:trPr>
          <w:trHeight w:val="20"/>
        </w:trPr>
        <w:tc>
          <w:tcPr>
            <w:tcW w:w="14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412"/>
        </w:trPr>
        <w:tc>
          <w:tcPr>
            <w:tcW w:w="14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60" w:type="dxa"/>
            <w:vAlign w:val="bottom"/>
            <w:gridSpan w:val="9"/>
          </w:tcPr>
          <w:p>
            <w:pPr>
              <w:jc w:val="center"/>
              <w:ind w:right="3160"/>
              <w:spacing w:after="0"/>
              <w:rPr>
                <w:sz w:val="20"/>
                <w:szCs w:val="20"/>
                <w:color w:val="auto"/>
              </w:rPr>
            </w:pPr>
            <w:r>
              <w:rPr>
                <w:rFonts w:ascii="Arial" w:cs="Arial" w:eastAsia="Arial" w:hAnsi="Arial"/>
                <w:sz w:val="18"/>
                <w:szCs w:val="18"/>
                <w:color w:val="auto"/>
                <w:w w:val="89"/>
              </w:rPr>
              <w:t>Supplemental Indentures</w:t>
            </w:r>
          </w:p>
        </w:tc>
        <w:tc>
          <w:tcPr>
            <w:tcW w:w="1560" w:type="dxa"/>
            <w:vAlign w:val="bottom"/>
          </w:tcPr>
          <w:p>
            <w:pPr>
              <w:spacing w:after="0"/>
              <w:rPr>
                <w:sz w:val="24"/>
                <w:szCs w:val="24"/>
                <w:color w:val="auto"/>
              </w:rPr>
            </w:pPr>
          </w:p>
        </w:tc>
      </w:tr>
      <w:tr>
        <w:trPr>
          <w:trHeight w:val="20"/>
        </w:trPr>
        <w:tc>
          <w:tcPr>
            <w:tcW w:w="14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80" w:type="dxa"/>
            <w:vAlign w:val="bottom"/>
            <w:gridSpan w:val="3"/>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438"/>
        </w:trPr>
        <w:tc>
          <w:tcPr>
            <w:tcW w:w="1420" w:type="dxa"/>
            <w:vAlign w:val="bottom"/>
          </w:tcPr>
          <w:p>
            <w:pPr>
              <w:spacing w:after="0"/>
              <w:rPr>
                <w:sz w:val="20"/>
                <w:szCs w:val="20"/>
                <w:color w:val="auto"/>
              </w:rPr>
            </w:pPr>
            <w:r>
              <w:rPr>
                <w:rFonts w:ascii="Arial" w:cs="Arial" w:eastAsia="Arial" w:hAnsi="Arial"/>
                <w:sz w:val="18"/>
                <w:szCs w:val="18"/>
                <w:color w:val="auto"/>
              </w:rPr>
              <w:t>SECTION 7.01.</w:t>
            </w:r>
          </w:p>
        </w:tc>
        <w:tc>
          <w:tcPr>
            <w:tcW w:w="8260" w:type="dxa"/>
            <w:vAlign w:val="bottom"/>
            <w:gridSpan w:val="13"/>
          </w:tcPr>
          <w:p>
            <w:pPr>
              <w:ind w:left="160"/>
              <w:spacing w:after="0"/>
              <w:rPr>
                <w:sz w:val="20"/>
                <w:szCs w:val="20"/>
                <w:color w:val="auto"/>
              </w:rPr>
            </w:pPr>
            <w:r>
              <w:rPr>
                <w:rFonts w:ascii="Arial" w:cs="Arial" w:eastAsia="Arial" w:hAnsi="Arial"/>
                <w:sz w:val="18"/>
                <w:szCs w:val="18"/>
                <w:color w:val="auto"/>
              </w:rPr>
              <w:t>Supplemental Indentures Without Consent of Securityholders</w:t>
            </w:r>
          </w:p>
        </w:tc>
        <w:tc>
          <w:tcPr>
            <w:tcW w:w="15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7.02.</w:t>
            </w:r>
          </w:p>
        </w:tc>
        <w:tc>
          <w:tcPr>
            <w:tcW w:w="8260" w:type="dxa"/>
            <w:vAlign w:val="bottom"/>
            <w:gridSpan w:val="13"/>
          </w:tcPr>
          <w:p>
            <w:pPr>
              <w:ind w:left="160"/>
              <w:spacing w:after="0"/>
              <w:rPr>
                <w:sz w:val="20"/>
                <w:szCs w:val="20"/>
                <w:color w:val="auto"/>
              </w:rPr>
            </w:pPr>
            <w:r>
              <w:rPr>
                <w:rFonts w:ascii="Arial" w:cs="Arial" w:eastAsia="Arial" w:hAnsi="Arial"/>
                <w:sz w:val="18"/>
                <w:szCs w:val="18"/>
                <w:color w:val="auto"/>
              </w:rPr>
              <w:t>Supplemental Indentures With Consent of Securityholders</w:t>
            </w:r>
          </w:p>
        </w:tc>
        <w:tc>
          <w:tcPr>
            <w:tcW w:w="15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7.03.</w:t>
            </w:r>
          </w:p>
        </w:tc>
        <w:tc>
          <w:tcPr>
            <w:tcW w:w="8260" w:type="dxa"/>
            <w:vAlign w:val="bottom"/>
            <w:gridSpan w:val="13"/>
          </w:tcPr>
          <w:p>
            <w:pPr>
              <w:ind w:left="160"/>
              <w:spacing w:after="0"/>
              <w:rPr>
                <w:sz w:val="20"/>
                <w:szCs w:val="20"/>
                <w:color w:val="auto"/>
              </w:rPr>
            </w:pPr>
            <w:r>
              <w:rPr>
                <w:rFonts w:ascii="Arial" w:cs="Arial" w:eastAsia="Arial" w:hAnsi="Arial"/>
                <w:sz w:val="18"/>
                <w:szCs w:val="18"/>
                <w:color w:val="auto"/>
              </w:rPr>
              <w:t>Effect of Supplemental Indenture</w:t>
            </w:r>
          </w:p>
        </w:tc>
        <w:tc>
          <w:tcPr>
            <w:tcW w:w="15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7.04.</w:t>
            </w:r>
          </w:p>
        </w:tc>
        <w:tc>
          <w:tcPr>
            <w:tcW w:w="8260" w:type="dxa"/>
            <w:vAlign w:val="bottom"/>
            <w:gridSpan w:val="13"/>
          </w:tcPr>
          <w:p>
            <w:pPr>
              <w:ind w:left="160"/>
              <w:spacing w:after="0"/>
              <w:rPr>
                <w:sz w:val="20"/>
                <w:szCs w:val="20"/>
                <w:color w:val="auto"/>
              </w:rPr>
            </w:pPr>
            <w:r>
              <w:rPr>
                <w:rFonts w:ascii="Arial" w:cs="Arial" w:eastAsia="Arial" w:hAnsi="Arial"/>
                <w:sz w:val="18"/>
                <w:szCs w:val="18"/>
                <w:color w:val="auto"/>
              </w:rPr>
              <w:t>Documents to Be Given to Trustee</w:t>
            </w:r>
          </w:p>
        </w:tc>
        <w:tc>
          <w:tcPr>
            <w:tcW w:w="15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1420" w:type="dxa"/>
            <w:vAlign w:val="bottom"/>
          </w:tcPr>
          <w:p>
            <w:pPr>
              <w:spacing w:after="0"/>
              <w:rPr>
                <w:sz w:val="20"/>
                <w:szCs w:val="20"/>
                <w:color w:val="auto"/>
              </w:rPr>
            </w:pPr>
            <w:r>
              <w:rPr>
                <w:rFonts w:ascii="Arial" w:cs="Arial" w:eastAsia="Arial" w:hAnsi="Arial"/>
                <w:sz w:val="18"/>
                <w:szCs w:val="18"/>
                <w:color w:val="auto"/>
              </w:rPr>
              <w:t>SECTION 7.05.</w:t>
            </w:r>
          </w:p>
        </w:tc>
        <w:tc>
          <w:tcPr>
            <w:tcW w:w="8260" w:type="dxa"/>
            <w:vAlign w:val="bottom"/>
            <w:gridSpan w:val="13"/>
          </w:tcPr>
          <w:p>
            <w:pPr>
              <w:ind w:left="160"/>
              <w:spacing w:after="0"/>
              <w:rPr>
                <w:sz w:val="20"/>
                <w:szCs w:val="20"/>
                <w:color w:val="auto"/>
              </w:rPr>
            </w:pPr>
            <w:r>
              <w:rPr>
                <w:rFonts w:ascii="Arial" w:cs="Arial" w:eastAsia="Arial" w:hAnsi="Arial"/>
                <w:sz w:val="18"/>
                <w:szCs w:val="18"/>
                <w:color w:val="auto"/>
              </w:rPr>
              <w:t>Notation on Securities in Respect of Supplemental Indentures</w:t>
            </w:r>
          </w:p>
        </w:tc>
        <w:tc>
          <w:tcPr>
            <w:tcW w:w="15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92"/>
        </w:trPr>
        <w:tc>
          <w:tcPr>
            <w:tcW w:w="14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500" w:type="dxa"/>
            <w:vAlign w:val="bottom"/>
            <w:gridSpan w:val="7"/>
          </w:tcPr>
          <w:p>
            <w:pPr>
              <w:jc w:val="center"/>
              <w:ind w:right="3620"/>
              <w:spacing w:after="0"/>
              <w:rPr>
                <w:sz w:val="20"/>
                <w:szCs w:val="20"/>
                <w:color w:val="auto"/>
              </w:rPr>
            </w:pPr>
            <w:r>
              <w:rPr>
                <w:rFonts w:ascii="Arial" w:cs="Arial" w:eastAsia="Arial" w:hAnsi="Arial"/>
                <w:sz w:val="18"/>
                <w:szCs w:val="18"/>
                <w:color w:val="auto"/>
                <w:w w:val="96"/>
              </w:rPr>
              <w:t>ARTICLE 8</w:t>
            </w:r>
          </w:p>
        </w:tc>
        <w:tc>
          <w:tcPr>
            <w:tcW w:w="1560" w:type="dxa"/>
            <w:vAlign w:val="bottom"/>
          </w:tcPr>
          <w:p>
            <w:pPr>
              <w:spacing w:after="0"/>
              <w:rPr>
                <w:sz w:val="24"/>
                <w:szCs w:val="24"/>
                <w:color w:val="auto"/>
              </w:rPr>
            </w:pPr>
          </w:p>
        </w:tc>
      </w:tr>
      <w:tr>
        <w:trPr>
          <w:trHeight w:val="20"/>
        </w:trPr>
        <w:tc>
          <w:tcPr>
            <w:tcW w:w="14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412"/>
        </w:trPr>
        <w:tc>
          <w:tcPr>
            <w:tcW w:w="14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140" w:type="dxa"/>
            <w:vAlign w:val="bottom"/>
            <w:tcBorders>
              <w:bottom w:val="single" w:sz="8" w:color="auto"/>
            </w:tcBorders>
            <w:gridSpan w:val="9"/>
          </w:tcPr>
          <w:p>
            <w:pPr>
              <w:jc w:val="center"/>
              <w:spacing w:after="0"/>
              <w:rPr>
                <w:sz w:val="20"/>
                <w:szCs w:val="20"/>
                <w:color w:val="auto"/>
              </w:rPr>
            </w:pPr>
            <w:r>
              <w:rPr>
                <w:rFonts w:ascii="Arial" w:cs="Arial" w:eastAsia="Arial" w:hAnsi="Arial"/>
                <w:sz w:val="18"/>
                <w:szCs w:val="18"/>
                <w:color w:val="auto"/>
                <w:w w:val="90"/>
              </w:rPr>
              <w:t>Consolidation, Merger, Sale or Conveyance</w:t>
            </w:r>
          </w:p>
        </w:tc>
        <w:tc>
          <w:tcPr>
            <w:tcW w:w="2480" w:type="dxa"/>
            <w:vAlign w:val="bottom"/>
            <w:gridSpan w:val="2"/>
          </w:tcPr>
          <w:p>
            <w:pPr>
              <w:spacing w:after="0"/>
              <w:rPr>
                <w:sz w:val="24"/>
                <w:szCs w:val="24"/>
                <w:color w:val="auto"/>
              </w:rPr>
            </w:pPr>
          </w:p>
        </w:tc>
        <w:tc>
          <w:tcPr>
            <w:tcW w:w="1560" w:type="dxa"/>
            <w:vAlign w:val="bottom"/>
          </w:tcPr>
          <w:p>
            <w:pPr>
              <w:spacing w:after="0"/>
              <w:rPr>
                <w:sz w:val="24"/>
                <w:szCs w:val="24"/>
                <w:color w:val="auto"/>
              </w:rPr>
            </w:pPr>
          </w:p>
        </w:tc>
      </w:tr>
      <w:tr>
        <w:trPr>
          <w:trHeight w:val="438"/>
        </w:trPr>
        <w:tc>
          <w:tcPr>
            <w:tcW w:w="1420" w:type="dxa"/>
            <w:vAlign w:val="bottom"/>
          </w:tcPr>
          <w:p>
            <w:pPr>
              <w:spacing w:after="0"/>
              <w:rPr>
                <w:sz w:val="20"/>
                <w:szCs w:val="20"/>
                <w:color w:val="auto"/>
              </w:rPr>
            </w:pPr>
            <w:r>
              <w:rPr>
                <w:rFonts w:ascii="Arial" w:cs="Arial" w:eastAsia="Arial" w:hAnsi="Arial"/>
                <w:sz w:val="18"/>
                <w:szCs w:val="18"/>
                <w:color w:val="auto"/>
              </w:rPr>
              <w:t>SECTION 8.01.</w:t>
            </w:r>
          </w:p>
        </w:tc>
        <w:tc>
          <w:tcPr>
            <w:tcW w:w="8260" w:type="dxa"/>
            <w:vAlign w:val="bottom"/>
            <w:gridSpan w:val="13"/>
          </w:tcPr>
          <w:p>
            <w:pPr>
              <w:ind w:left="160"/>
              <w:spacing w:after="0"/>
              <w:rPr>
                <w:sz w:val="20"/>
                <w:szCs w:val="20"/>
                <w:color w:val="auto"/>
              </w:rPr>
            </w:pPr>
            <w:r>
              <w:rPr>
                <w:rFonts w:ascii="Arial" w:cs="Arial" w:eastAsia="Arial" w:hAnsi="Arial"/>
                <w:sz w:val="18"/>
                <w:szCs w:val="18"/>
                <w:color w:val="auto"/>
              </w:rPr>
              <w:t>Issuer May Consolidate, etc., on Certain Terms</w:t>
            </w:r>
          </w:p>
        </w:tc>
        <w:tc>
          <w:tcPr>
            <w:tcW w:w="15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8.02.</w:t>
            </w:r>
          </w:p>
        </w:tc>
        <w:tc>
          <w:tcPr>
            <w:tcW w:w="8260" w:type="dxa"/>
            <w:vAlign w:val="bottom"/>
            <w:gridSpan w:val="13"/>
          </w:tcPr>
          <w:p>
            <w:pPr>
              <w:ind w:left="160"/>
              <w:spacing w:after="0"/>
              <w:rPr>
                <w:sz w:val="20"/>
                <w:szCs w:val="20"/>
                <w:color w:val="auto"/>
              </w:rPr>
            </w:pPr>
            <w:r>
              <w:rPr>
                <w:rFonts w:ascii="Arial" w:cs="Arial" w:eastAsia="Arial" w:hAnsi="Arial"/>
                <w:sz w:val="18"/>
                <w:szCs w:val="18"/>
                <w:color w:val="auto"/>
              </w:rPr>
              <w:t>Successor Substituted</w:t>
            </w:r>
          </w:p>
        </w:tc>
        <w:tc>
          <w:tcPr>
            <w:tcW w:w="15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1420" w:type="dxa"/>
            <w:vAlign w:val="bottom"/>
          </w:tcPr>
          <w:p>
            <w:pPr>
              <w:spacing w:after="0"/>
              <w:rPr>
                <w:sz w:val="20"/>
                <w:szCs w:val="20"/>
                <w:color w:val="auto"/>
              </w:rPr>
            </w:pPr>
            <w:r>
              <w:rPr>
                <w:rFonts w:ascii="Arial" w:cs="Arial" w:eastAsia="Arial" w:hAnsi="Arial"/>
                <w:sz w:val="18"/>
                <w:szCs w:val="18"/>
                <w:color w:val="auto"/>
              </w:rPr>
              <w:t>SECTION 8.03.</w:t>
            </w:r>
          </w:p>
        </w:tc>
        <w:tc>
          <w:tcPr>
            <w:tcW w:w="8260" w:type="dxa"/>
            <w:vAlign w:val="bottom"/>
            <w:gridSpan w:val="13"/>
          </w:tcPr>
          <w:p>
            <w:pPr>
              <w:ind w:left="160"/>
              <w:spacing w:after="0"/>
              <w:rPr>
                <w:sz w:val="20"/>
                <w:szCs w:val="20"/>
                <w:color w:val="auto"/>
              </w:rPr>
            </w:pPr>
            <w:r>
              <w:rPr>
                <w:rFonts w:ascii="Arial" w:cs="Arial" w:eastAsia="Arial" w:hAnsi="Arial"/>
                <w:sz w:val="18"/>
                <w:szCs w:val="18"/>
                <w:color w:val="auto"/>
              </w:rPr>
              <w:t>Opinion of Counsel to Trustee</w:t>
            </w:r>
          </w:p>
        </w:tc>
        <w:tc>
          <w:tcPr>
            <w:tcW w:w="15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91"/>
        </w:trPr>
        <w:tc>
          <w:tcPr>
            <w:tcW w:w="14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500" w:type="dxa"/>
            <w:vAlign w:val="bottom"/>
            <w:gridSpan w:val="7"/>
          </w:tcPr>
          <w:p>
            <w:pPr>
              <w:jc w:val="center"/>
              <w:ind w:right="3620"/>
              <w:spacing w:after="0"/>
              <w:rPr>
                <w:sz w:val="20"/>
                <w:szCs w:val="20"/>
                <w:color w:val="auto"/>
              </w:rPr>
            </w:pPr>
            <w:r>
              <w:rPr>
                <w:rFonts w:ascii="Arial" w:cs="Arial" w:eastAsia="Arial" w:hAnsi="Arial"/>
                <w:sz w:val="18"/>
                <w:szCs w:val="18"/>
                <w:color w:val="auto"/>
                <w:w w:val="96"/>
              </w:rPr>
              <w:t>ARTICLE 9</w:t>
            </w:r>
          </w:p>
        </w:tc>
        <w:tc>
          <w:tcPr>
            <w:tcW w:w="1560" w:type="dxa"/>
            <w:vAlign w:val="bottom"/>
          </w:tcPr>
          <w:p>
            <w:pPr>
              <w:spacing w:after="0"/>
              <w:rPr>
                <w:sz w:val="24"/>
                <w:szCs w:val="24"/>
                <w:color w:val="auto"/>
              </w:rPr>
            </w:pPr>
          </w:p>
        </w:tc>
      </w:tr>
      <w:tr>
        <w:trPr>
          <w:trHeight w:val="20"/>
        </w:trPr>
        <w:tc>
          <w:tcPr>
            <w:tcW w:w="14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412"/>
        </w:trPr>
        <w:tc>
          <w:tcPr>
            <w:tcW w:w="14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240" w:type="dxa"/>
            <w:vAlign w:val="bottom"/>
            <w:gridSpan w:val="12"/>
          </w:tcPr>
          <w:p>
            <w:pPr>
              <w:jc w:val="center"/>
              <w:ind w:right="1880"/>
              <w:spacing w:after="0"/>
              <w:rPr>
                <w:sz w:val="20"/>
                <w:szCs w:val="20"/>
                <w:color w:val="auto"/>
              </w:rPr>
            </w:pPr>
            <w:r>
              <w:rPr>
                <w:rFonts w:ascii="Arial" w:cs="Arial" w:eastAsia="Arial" w:hAnsi="Arial"/>
                <w:sz w:val="18"/>
                <w:szCs w:val="18"/>
                <w:color w:val="auto"/>
                <w:w w:val="91"/>
              </w:rPr>
              <w:t>Satisfaction and Discharge of Indenture; Unclaimed Moneys</w:t>
            </w:r>
          </w:p>
        </w:tc>
        <w:tc>
          <w:tcPr>
            <w:tcW w:w="1560" w:type="dxa"/>
            <w:vAlign w:val="bottom"/>
          </w:tcPr>
          <w:p>
            <w:pPr>
              <w:spacing w:after="0"/>
              <w:rPr>
                <w:sz w:val="24"/>
                <w:szCs w:val="24"/>
                <w:color w:val="auto"/>
              </w:rPr>
            </w:pPr>
          </w:p>
        </w:tc>
      </w:tr>
      <w:tr>
        <w:trPr>
          <w:trHeight w:val="20"/>
        </w:trPr>
        <w:tc>
          <w:tcPr>
            <w:tcW w:w="14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980" w:type="dxa"/>
            <w:vAlign w:val="bottom"/>
            <w:gridSpan w:val="3"/>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438"/>
        </w:trPr>
        <w:tc>
          <w:tcPr>
            <w:tcW w:w="1420" w:type="dxa"/>
            <w:vAlign w:val="bottom"/>
          </w:tcPr>
          <w:p>
            <w:pPr>
              <w:spacing w:after="0"/>
              <w:rPr>
                <w:sz w:val="20"/>
                <w:szCs w:val="20"/>
                <w:color w:val="auto"/>
              </w:rPr>
            </w:pPr>
            <w:r>
              <w:rPr>
                <w:rFonts w:ascii="Arial" w:cs="Arial" w:eastAsia="Arial" w:hAnsi="Arial"/>
                <w:sz w:val="18"/>
                <w:szCs w:val="18"/>
                <w:color w:val="auto"/>
              </w:rPr>
              <w:t>SECTION 9.01.</w:t>
            </w:r>
          </w:p>
        </w:tc>
        <w:tc>
          <w:tcPr>
            <w:tcW w:w="8260" w:type="dxa"/>
            <w:vAlign w:val="bottom"/>
            <w:gridSpan w:val="13"/>
          </w:tcPr>
          <w:p>
            <w:pPr>
              <w:ind w:left="160"/>
              <w:spacing w:after="0"/>
              <w:rPr>
                <w:sz w:val="20"/>
                <w:szCs w:val="20"/>
                <w:color w:val="auto"/>
              </w:rPr>
            </w:pPr>
            <w:r>
              <w:rPr>
                <w:rFonts w:ascii="Arial" w:cs="Arial" w:eastAsia="Arial" w:hAnsi="Arial"/>
                <w:sz w:val="18"/>
                <w:szCs w:val="18"/>
                <w:color w:val="auto"/>
              </w:rPr>
              <w:t>Satisfaction and Discharge of Indenture</w:t>
            </w:r>
          </w:p>
        </w:tc>
        <w:tc>
          <w:tcPr>
            <w:tcW w:w="15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9.02.</w:t>
            </w:r>
          </w:p>
        </w:tc>
        <w:tc>
          <w:tcPr>
            <w:tcW w:w="8260" w:type="dxa"/>
            <w:vAlign w:val="bottom"/>
            <w:gridSpan w:val="13"/>
          </w:tcPr>
          <w:p>
            <w:pPr>
              <w:ind w:left="160"/>
              <w:spacing w:after="0"/>
              <w:rPr>
                <w:sz w:val="20"/>
                <w:szCs w:val="20"/>
                <w:color w:val="auto"/>
              </w:rPr>
            </w:pPr>
            <w:r>
              <w:rPr>
                <w:rFonts w:ascii="Arial" w:cs="Arial" w:eastAsia="Arial" w:hAnsi="Arial"/>
                <w:sz w:val="18"/>
                <w:szCs w:val="18"/>
                <w:color w:val="auto"/>
              </w:rPr>
              <w:t>Application by Trustee of Funds Deposited for Payment of Securities</w:t>
            </w:r>
          </w:p>
        </w:tc>
        <w:tc>
          <w:tcPr>
            <w:tcW w:w="15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9.03.</w:t>
            </w:r>
          </w:p>
        </w:tc>
        <w:tc>
          <w:tcPr>
            <w:tcW w:w="8260" w:type="dxa"/>
            <w:vAlign w:val="bottom"/>
            <w:gridSpan w:val="13"/>
          </w:tcPr>
          <w:p>
            <w:pPr>
              <w:ind w:left="160"/>
              <w:spacing w:after="0"/>
              <w:rPr>
                <w:sz w:val="20"/>
                <w:szCs w:val="20"/>
                <w:color w:val="auto"/>
              </w:rPr>
            </w:pPr>
            <w:r>
              <w:rPr>
                <w:rFonts w:ascii="Arial" w:cs="Arial" w:eastAsia="Arial" w:hAnsi="Arial"/>
                <w:sz w:val="18"/>
                <w:szCs w:val="18"/>
                <w:color w:val="auto"/>
              </w:rPr>
              <w:t>Repayment of Moneys Held by Paying Agent</w:t>
            </w:r>
          </w:p>
        </w:tc>
        <w:tc>
          <w:tcPr>
            <w:tcW w:w="15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1420" w:type="dxa"/>
            <w:vAlign w:val="bottom"/>
          </w:tcPr>
          <w:p>
            <w:pPr>
              <w:spacing w:after="0"/>
              <w:rPr>
                <w:sz w:val="20"/>
                <w:szCs w:val="20"/>
                <w:color w:val="auto"/>
              </w:rPr>
            </w:pPr>
            <w:r>
              <w:rPr>
                <w:rFonts w:ascii="Arial" w:cs="Arial" w:eastAsia="Arial" w:hAnsi="Arial"/>
                <w:sz w:val="18"/>
                <w:szCs w:val="18"/>
                <w:color w:val="auto"/>
              </w:rPr>
              <w:t>SECTION 9.04.</w:t>
            </w:r>
          </w:p>
        </w:tc>
        <w:tc>
          <w:tcPr>
            <w:tcW w:w="8260" w:type="dxa"/>
            <w:vAlign w:val="bottom"/>
            <w:gridSpan w:val="13"/>
          </w:tcPr>
          <w:p>
            <w:pPr>
              <w:ind w:left="160"/>
              <w:spacing w:after="0"/>
              <w:rPr>
                <w:sz w:val="20"/>
                <w:szCs w:val="20"/>
                <w:color w:val="auto"/>
              </w:rPr>
            </w:pPr>
            <w:r>
              <w:rPr>
                <w:rFonts w:ascii="Arial" w:cs="Arial" w:eastAsia="Arial" w:hAnsi="Arial"/>
                <w:sz w:val="18"/>
                <w:szCs w:val="18"/>
                <w:color w:val="auto"/>
              </w:rPr>
              <w:t>Return of Moneys Held by Trustee and Paying Agent Unclaimed for Two Years</w:t>
            </w:r>
          </w:p>
        </w:tc>
        <w:tc>
          <w:tcPr>
            <w:tcW w:w="15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91"/>
        </w:trPr>
        <w:tc>
          <w:tcPr>
            <w:tcW w:w="14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6"/>
              </w:rPr>
              <w:t>ARTICLE 10</w:t>
            </w:r>
          </w:p>
        </w:tc>
        <w:tc>
          <w:tcPr>
            <w:tcW w:w="3560" w:type="dxa"/>
            <w:vAlign w:val="bottom"/>
            <w:gridSpan w:val="5"/>
          </w:tcPr>
          <w:p>
            <w:pPr>
              <w:spacing w:after="0"/>
              <w:rPr>
                <w:sz w:val="24"/>
                <w:szCs w:val="24"/>
                <w:color w:val="auto"/>
              </w:rPr>
            </w:pPr>
          </w:p>
        </w:tc>
        <w:tc>
          <w:tcPr>
            <w:tcW w:w="1560" w:type="dxa"/>
            <w:vAlign w:val="bottom"/>
          </w:tcPr>
          <w:p>
            <w:pPr>
              <w:spacing w:after="0"/>
              <w:rPr>
                <w:sz w:val="24"/>
                <w:szCs w:val="24"/>
                <w:color w:val="auto"/>
              </w:rPr>
            </w:pPr>
          </w:p>
        </w:tc>
      </w:tr>
      <w:tr>
        <w:trPr>
          <w:trHeight w:val="412"/>
        </w:trPr>
        <w:tc>
          <w:tcPr>
            <w:tcW w:w="14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980" w:type="dxa"/>
            <w:vAlign w:val="bottom"/>
            <w:gridSpan w:val="10"/>
          </w:tcPr>
          <w:p>
            <w:pPr>
              <w:jc w:val="center"/>
              <w:ind w:right="3140"/>
              <w:spacing w:after="0"/>
              <w:rPr>
                <w:sz w:val="20"/>
                <w:szCs w:val="20"/>
                <w:color w:val="auto"/>
              </w:rPr>
            </w:pPr>
            <w:r>
              <w:rPr>
                <w:rFonts w:ascii="Arial" w:cs="Arial" w:eastAsia="Arial" w:hAnsi="Arial"/>
                <w:sz w:val="18"/>
                <w:szCs w:val="18"/>
                <w:color w:val="auto"/>
                <w:w w:val="91"/>
              </w:rPr>
              <w:t>Miscellaneous Provisions</w:t>
            </w:r>
          </w:p>
        </w:tc>
        <w:tc>
          <w:tcPr>
            <w:tcW w:w="1560" w:type="dxa"/>
            <w:vAlign w:val="bottom"/>
          </w:tcPr>
          <w:p>
            <w:pPr>
              <w:spacing w:after="0"/>
              <w:rPr>
                <w:sz w:val="24"/>
                <w:szCs w:val="24"/>
                <w:color w:val="auto"/>
              </w:rPr>
            </w:pPr>
          </w:p>
        </w:tc>
      </w:tr>
      <w:tr>
        <w:trPr>
          <w:trHeight w:val="20"/>
        </w:trPr>
        <w:tc>
          <w:tcPr>
            <w:tcW w:w="1420" w:type="dxa"/>
            <w:vAlign w:val="bottom"/>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1840" w:type="dxa"/>
            <w:vAlign w:val="bottom"/>
            <w:gridSpan w:val="7"/>
            <w:shd w:val="clear" w:color="auto" w:fill="000000"/>
          </w:tcPr>
          <w:p>
            <w:pPr>
              <w:spacing w:after="0" w:line="20" w:lineRule="exact"/>
              <w:rPr>
                <w:sz w:val="1"/>
                <w:szCs w:val="1"/>
                <w:color w:val="auto"/>
              </w:rPr>
            </w:pPr>
          </w:p>
        </w:tc>
        <w:tc>
          <w:tcPr>
            <w:tcW w:w="314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438"/>
        </w:trPr>
        <w:tc>
          <w:tcPr>
            <w:tcW w:w="1420" w:type="dxa"/>
            <w:vAlign w:val="bottom"/>
          </w:tcPr>
          <w:p>
            <w:pPr>
              <w:spacing w:after="0"/>
              <w:rPr>
                <w:sz w:val="20"/>
                <w:szCs w:val="20"/>
                <w:color w:val="auto"/>
              </w:rPr>
            </w:pPr>
            <w:r>
              <w:rPr>
                <w:rFonts w:ascii="Arial" w:cs="Arial" w:eastAsia="Arial" w:hAnsi="Arial"/>
                <w:sz w:val="18"/>
                <w:szCs w:val="18"/>
                <w:color w:val="auto"/>
              </w:rPr>
              <w:t>SECTION 10.01.</w:t>
            </w:r>
          </w:p>
        </w:tc>
        <w:tc>
          <w:tcPr>
            <w:tcW w:w="8260" w:type="dxa"/>
            <w:vAlign w:val="bottom"/>
            <w:gridSpan w:val="13"/>
          </w:tcPr>
          <w:p>
            <w:pPr>
              <w:ind w:left="160"/>
              <w:spacing w:after="0"/>
              <w:rPr>
                <w:sz w:val="20"/>
                <w:szCs w:val="20"/>
                <w:color w:val="auto"/>
              </w:rPr>
            </w:pPr>
            <w:r>
              <w:rPr>
                <w:rFonts w:ascii="Arial" w:cs="Arial" w:eastAsia="Arial" w:hAnsi="Arial"/>
                <w:sz w:val="18"/>
                <w:szCs w:val="18"/>
                <w:color w:val="auto"/>
              </w:rPr>
              <w:t>General Partner, Members, Officers and Directors of Issuer Exempt from Individual Liability</w:t>
            </w:r>
          </w:p>
        </w:tc>
        <w:tc>
          <w:tcPr>
            <w:tcW w:w="15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10.02.</w:t>
            </w:r>
          </w:p>
        </w:tc>
        <w:tc>
          <w:tcPr>
            <w:tcW w:w="8260" w:type="dxa"/>
            <w:vAlign w:val="bottom"/>
            <w:gridSpan w:val="13"/>
          </w:tcPr>
          <w:p>
            <w:pPr>
              <w:ind w:left="160"/>
              <w:spacing w:after="0"/>
              <w:rPr>
                <w:sz w:val="20"/>
                <w:szCs w:val="20"/>
                <w:color w:val="auto"/>
              </w:rPr>
            </w:pPr>
            <w:r>
              <w:rPr>
                <w:rFonts w:ascii="Arial" w:cs="Arial" w:eastAsia="Arial" w:hAnsi="Arial"/>
                <w:sz w:val="18"/>
                <w:szCs w:val="18"/>
                <w:color w:val="auto"/>
              </w:rPr>
              <w:t>Provisions of Indenture for the Sole Benefit of Parties and Securityholders</w:t>
            </w:r>
          </w:p>
        </w:tc>
        <w:tc>
          <w:tcPr>
            <w:tcW w:w="15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10.03.</w:t>
            </w:r>
          </w:p>
        </w:tc>
        <w:tc>
          <w:tcPr>
            <w:tcW w:w="8260" w:type="dxa"/>
            <w:vAlign w:val="bottom"/>
            <w:gridSpan w:val="13"/>
          </w:tcPr>
          <w:p>
            <w:pPr>
              <w:ind w:left="160"/>
              <w:spacing w:after="0"/>
              <w:rPr>
                <w:sz w:val="20"/>
                <w:szCs w:val="20"/>
                <w:color w:val="auto"/>
              </w:rPr>
            </w:pPr>
            <w:r>
              <w:rPr>
                <w:rFonts w:ascii="Arial" w:cs="Arial" w:eastAsia="Arial" w:hAnsi="Arial"/>
                <w:sz w:val="18"/>
                <w:szCs w:val="18"/>
                <w:color w:val="auto"/>
              </w:rPr>
              <w:t>Successors and Assigns of Issuer Bound by Indenture</w:t>
            </w:r>
          </w:p>
        </w:tc>
        <w:tc>
          <w:tcPr>
            <w:tcW w:w="15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10.04.</w:t>
            </w:r>
          </w:p>
        </w:tc>
        <w:tc>
          <w:tcPr>
            <w:tcW w:w="8260" w:type="dxa"/>
            <w:vAlign w:val="bottom"/>
            <w:gridSpan w:val="13"/>
          </w:tcPr>
          <w:p>
            <w:pPr>
              <w:ind w:left="160"/>
              <w:spacing w:after="0"/>
              <w:rPr>
                <w:sz w:val="20"/>
                <w:szCs w:val="20"/>
                <w:color w:val="auto"/>
              </w:rPr>
            </w:pPr>
            <w:r>
              <w:rPr>
                <w:rFonts w:ascii="Arial" w:cs="Arial" w:eastAsia="Arial" w:hAnsi="Arial"/>
                <w:sz w:val="18"/>
                <w:szCs w:val="18"/>
                <w:color w:val="auto"/>
              </w:rPr>
              <w:t>Notices and Demands on Issuer, Trustee and Securityholders</w:t>
            </w:r>
          </w:p>
        </w:tc>
        <w:tc>
          <w:tcPr>
            <w:tcW w:w="15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10.05.</w:t>
            </w:r>
          </w:p>
        </w:tc>
        <w:tc>
          <w:tcPr>
            <w:tcW w:w="8260" w:type="dxa"/>
            <w:vAlign w:val="bottom"/>
            <w:gridSpan w:val="13"/>
          </w:tcPr>
          <w:p>
            <w:pPr>
              <w:ind w:left="160"/>
              <w:spacing w:after="0"/>
              <w:rPr>
                <w:sz w:val="20"/>
                <w:szCs w:val="20"/>
                <w:color w:val="auto"/>
              </w:rPr>
            </w:pPr>
            <w:r>
              <w:rPr>
                <w:rFonts w:ascii="Arial" w:cs="Arial" w:eastAsia="Arial" w:hAnsi="Arial"/>
                <w:sz w:val="18"/>
                <w:szCs w:val="18"/>
                <w:color w:val="auto"/>
              </w:rPr>
              <w:t>Communication by Securityholders with Other Securityholders.</w:t>
            </w:r>
          </w:p>
        </w:tc>
        <w:tc>
          <w:tcPr>
            <w:tcW w:w="15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1420" w:type="dxa"/>
            <w:vAlign w:val="bottom"/>
          </w:tcPr>
          <w:p>
            <w:pPr>
              <w:spacing w:after="0"/>
              <w:rPr>
                <w:sz w:val="20"/>
                <w:szCs w:val="20"/>
                <w:color w:val="auto"/>
              </w:rPr>
            </w:pPr>
            <w:r>
              <w:rPr>
                <w:rFonts w:ascii="Arial" w:cs="Arial" w:eastAsia="Arial" w:hAnsi="Arial"/>
                <w:sz w:val="18"/>
                <w:szCs w:val="18"/>
                <w:color w:val="auto"/>
              </w:rPr>
              <w:t>SECTION 10.06.</w:t>
            </w:r>
          </w:p>
        </w:tc>
        <w:tc>
          <w:tcPr>
            <w:tcW w:w="8260" w:type="dxa"/>
            <w:vAlign w:val="bottom"/>
            <w:gridSpan w:val="13"/>
          </w:tcPr>
          <w:p>
            <w:pPr>
              <w:ind w:left="160"/>
              <w:spacing w:after="0"/>
              <w:rPr>
                <w:sz w:val="20"/>
                <w:szCs w:val="20"/>
                <w:color w:val="auto"/>
              </w:rPr>
            </w:pPr>
            <w:r>
              <w:rPr>
                <w:rFonts w:ascii="Arial" w:cs="Arial" w:eastAsia="Arial" w:hAnsi="Arial"/>
                <w:sz w:val="18"/>
                <w:szCs w:val="18"/>
                <w:color w:val="auto"/>
              </w:rPr>
              <w:t>Officers’ Certificates and Opinions of Counsel; Statements to be Contained Therein</w:t>
            </w:r>
          </w:p>
        </w:tc>
        <w:tc>
          <w:tcPr>
            <w:tcW w:w="1560" w:type="dxa"/>
            <w:vAlign w:val="bottom"/>
          </w:tcPr>
          <w:p>
            <w:pPr>
              <w:jc w:val="right"/>
              <w:spacing w:after="0"/>
              <w:rPr>
                <w:sz w:val="20"/>
                <w:szCs w:val="20"/>
                <w:color w:val="auto"/>
              </w:rPr>
            </w:pPr>
            <w:r>
              <w:rPr>
                <w:rFonts w:ascii="Arial" w:cs="Arial" w:eastAsia="Arial" w:hAnsi="Arial"/>
                <w:sz w:val="18"/>
                <w:szCs w:val="18"/>
                <w:color w:val="auto"/>
              </w:rPr>
              <w:t>45</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16"/>
        </w:trPr>
        <w:tc>
          <w:tcPr>
            <w:tcW w:w="9100" w:type="dxa"/>
            <w:vAlign w:val="bottom"/>
            <w:gridSpan w:val="6"/>
          </w:tcPr>
          <w:p>
            <w:pPr>
              <w:spacing w:after="0"/>
              <w:rPr>
                <w:sz w:val="20"/>
                <w:szCs w:val="20"/>
                <w:color w:val="auto"/>
              </w:rPr>
            </w:pPr>
            <w:r>
              <w:rPr>
                <w:rFonts w:ascii="Arial" w:cs="Arial" w:eastAsia="Arial" w:hAnsi="Arial"/>
                <w:sz w:val="18"/>
                <w:szCs w:val="18"/>
                <w:color w:val="auto"/>
                <w:w w:val="89"/>
              </w:rPr>
              <w:t>SECTION 10.07.Payments Due on Saturdays, Sundays and Holidays</w:t>
            </w:r>
          </w:p>
        </w:tc>
        <w:tc>
          <w:tcPr>
            <w:tcW w:w="21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9100" w:type="dxa"/>
            <w:vAlign w:val="bottom"/>
            <w:gridSpan w:val="6"/>
          </w:tcPr>
          <w:p>
            <w:pPr>
              <w:spacing w:after="0"/>
              <w:rPr>
                <w:sz w:val="20"/>
                <w:szCs w:val="20"/>
                <w:color w:val="auto"/>
              </w:rPr>
            </w:pPr>
            <w:r>
              <w:rPr>
                <w:rFonts w:ascii="Arial" w:cs="Arial" w:eastAsia="Arial" w:hAnsi="Arial"/>
                <w:sz w:val="18"/>
                <w:szCs w:val="18"/>
                <w:color w:val="auto"/>
                <w:w w:val="93"/>
              </w:rPr>
              <w:t>SECTION 10.08.Conflict of any Provision of Indenture with Trust Indenture Act of 1939</w:t>
            </w:r>
          </w:p>
        </w:tc>
        <w:tc>
          <w:tcPr>
            <w:tcW w:w="21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9100" w:type="dxa"/>
            <w:vAlign w:val="bottom"/>
            <w:gridSpan w:val="6"/>
          </w:tcPr>
          <w:p>
            <w:pPr>
              <w:spacing w:after="0"/>
              <w:rPr>
                <w:sz w:val="20"/>
                <w:szCs w:val="20"/>
                <w:color w:val="auto"/>
              </w:rPr>
            </w:pPr>
            <w:r>
              <w:rPr>
                <w:rFonts w:ascii="Arial" w:cs="Arial" w:eastAsia="Arial" w:hAnsi="Arial"/>
                <w:sz w:val="18"/>
                <w:szCs w:val="18"/>
                <w:color w:val="auto"/>
                <w:w w:val="93"/>
              </w:rPr>
              <w:t>SECTION 10.09.New York Law to Govern</w:t>
            </w:r>
          </w:p>
        </w:tc>
        <w:tc>
          <w:tcPr>
            <w:tcW w:w="21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10.10.</w:t>
            </w:r>
          </w:p>
        </w:tc>
        <w:tc>
          <w:tcPr>
            <w:tcW w:w="7680" w:type="dxa"/>
            <w:vAlign w:val="bottom"/>
            <w:gridSpan w:val="5"/>
          </w:tcPr>
          <w:p>
            <w:pPr>
              <w:ind w:left="160"/>
              <w:spacing w:after="0"/>
              <w:rPr>
                <w:sz w:val="20"/>
                <w:szCs w:val="20"/>
                <w:color w:val="auto"/>
              </w:rPr>
            </w:pPr>
            <w:r>
              <w:rPr>
                <w:rFonts w:ascii="Arial" w:cs="Arial" w:eastAsia="Arial" w:hAnsi="Arial"/>
                <w:sz w:val="18"/>
                <w:szCs w:val="18"/>
                <w:color w:val="auto"/>
              </w:rPr>
              <w:t>Counterparts</w:t>
            </w:r>
          </w:p>
        </w:tc>
        <w:tc>
          <w:tcPr>
            <w:tcW w:w="21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10.11.</w:t>
            </w:r>
          </w:p>
        </w:tc>
        <w:tc>
          <w:tcPr>
            <w:tcW w:w="7680" w:type="dxa"/>
            <w:vAlign w:val="bottom"/>
            <w:gridSpan w:val="5"/>
          </w:tcPr>
          <w:p>
            <w:pPr>
              <w:ind w:left="160"/>
              <w:spacing w:after="0"/>
              <w:rPr>
                <w:sz w:val="20"/>
                <w:szCs w:val="20"/>
                <w:color w:val="auto"/>
              </w:rPr>
            </w:pPr>
            <w:r>
              <w:rPr>
                <w:rFonts w:ascii="Arial" w:cs="Arial" w:eastAsia="Arial" w:hAnsi="Arial"/>
                <w:sz w:val="18"/>
                <w:szCs w:val="18"/>
                <w:color w:val="auto"/>
              </w:rPr>
              <w:t>Effect of Headings</w:t>
            </w:r>
          </w:p>
        </w:tc>
        <w:tc>
          <w:tcPr>
            <w:tcW w:w="21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9100" w:type="dxa"/>
            <w:vAlign w:val="bottom"/>
            <w:gridSpan w:val="6"/>
          </w:tcPr>
          <w:p>
            <w:pPr>
              <w:spacing w:after="0"/>
              <w:rPr>
                <w:sz w:val="20"/>
                <w:szCs w:val="20"/>
                <w:color w:val="auto"/>
              </w:rPr>
            </w:pPr>
            <w:r>
              <w:rPr>
                <w:rFonts w:ascii="Arial" w:cs="Arial" w:eastAsia="Arial" w:hAnsi="Arial"/>
                <w:sz w:val="18"/>
                <w:szCs w:val="18"/>
                <w:color w:val="auto"/>
                <w:w w:val="91"/>
              </w:rPr>
              <w:t>SECTION 10.12.Securities in a Non-U.S. Currency</w:t>
            </w:r>
          </w:p>
        </w:tc>
        <w:tc>
          <w:tcPr>
            <w:tcW w:w="21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9100" w:type="dxa"/>
            <w:vAlign w:val="bottom"/>
            <w:gridSpan w:val="6"/>
          </w:tcPr>
          <w:p>
            <w:pPr>
              <w:spacing w:after="0"/>
              <w:rPr>
                <w:sz w:val="20"/>
                <w:szCs w:val="20"/>
                <w:color w:val="auto"/>
              </w:rPr>
            </w:pPr>
            <w:r>
              <w:rPr>
                <w:rFonts w:ascii="Arial" w:cs="Arial" w:eastAsia="Arial" w:hAnsi="Arial"/>
                <w:sz w:val="18"/>
                <w:szCs w:val="18"/>
                <w:color w:val="auto"/>
                <w:w w:val="92"/>
              </w:rPr>
              <w:t>SECTION 10.13.Submission to Jurisdiction</w:t>
            </w:r>
          </w:p>
        </w:tc>
        <w:tc>
          <w:tcPr>
            <w:tcW w:w="21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10.14.</w:t>
            </w:r>
          </w:p>
        </w:tc>
        <w:tc>
          <w:tcPr>
            <w:tcW w:w="7680" w:type="dxa"/>
            <w:vAlign w:val="bottom"/>
            <w:gridSpan w:val="5"/>
          </w:tcPr>
          <w:p>
            <w:pPr>
              <w:ind w:left="160"/>
              <w:spacing w:after="0"/>
              <w:rPr>
                <w:sz w:val="20"/>
                <w:szCs w:val="20"/>
                <w:color w:val="auto"/>
              </w:rPr>
            </w:pPr>
            <w:r>
              <w:rPr>
                <w:rFonts w:ascii="Arial" w:cs="Arial" w:eastAsia="Arial" w:hAnsi="Arial"/>
                <w:sz w:val="18"/>
                <w:szCs w:val="18"/>
                <w:color w:val="auto"/>
              </w:rPr>
              <w:t>Judgment Currency</w:t>
            </w:r>
          </w:p>
        </w:tc>
        <w:tc>
          <w:tcPr>
            <w:tcW w:w="21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10.15.</w:t>
            </w:r>
          </w:p>
        </w:tc>
        <w:tc>
          <w:tcPr>
            <w:tcW w:w="7680" w:type="dxa"/>
            <w:vAlign w:val="bottom"/>
            <w:gridSpan w:val="5"/>
          </w:tcPr>
          <w:p>
            <w:pPr>
              <w:ind w:left="160"/>
              <w:spacing w:after="0"/>
              <w:rPr>
                <w:sz w:val="20"/>
                <w:szCs w:val="20"/>
                <w:color w:val="auto"/>
              </w:rPr>
            </w:pPr>
            <w:r>
              <w:rPr>
                <w:rFonts w:ascii="Arial" w:cs="Arial" w:eastAsia="Arial" w:hAnsi="Arial"/>
                <w:sz w:val="18"/>
                <w:szCs w:val="18"/>
                <w:color w:val="auto"/>
              </w:rPr>
              <w:t>Waiver of Jury Trial</w:t>
            </w:r>
          </w:p>
        </w:tc>
        <w:tc>
          <w:tcPr>
            <w:tcW w:w="21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1420" w:type="dxa"/>
            <w:vAlign w:val="bottom"/>
          </w:tcPr>
          <w:p>
            <w:pPr>
              <w:spacing w:after="0"/>
              <w:rPr>
                <w:sz w:val="20"/>
                <w:szCs w:val="20"/>
                <w:color w:val="auto"/>
              </w:rPr>
            </w:pPr>
            <w:r>
              <w:rPr>
                <w:rFonts w:ascii="Arial" w:cs="Arial" w:eastAsia="Arial" w:hAnsi="Arial"/>
                <w:sz w:val="18"/>
                <w:szCs w:val="18"/>
                <w:color w:val="auto"/>
              </w:rPr>
              <w:t>SECTION 10.16.</w:t>
            </w:r>
          </w:p>
        </w:tc>
        <w:tc>
          <w:tcPr>
            <w:tcW w:w="7680" w:type="dxa"/>
            <w:vAlign w:val="bottom"/>
            <w:gridSpan w:val="5"/>
          </w:tcPr>
          <w:p>
            <w:pPr>
              <w:ind w:left="160"/>
              <w:spacing w:after="0"/>
              <w:rPr>
                <w:sz w:val="20"/>
                <w:szCs w:val="20"/>
                <w:color w:val="auto"/>
              </w:rPr>
            </w:pPr>
            <w:r>
              <w:rPr>
                <w:rFonts w:ascii="Arial" w:cs="Arial" w:eastAsia="Arial" w:hAnsi="Arial"/>
                <w:sz w:val="18"/>
                <w:szCs w:val="18"/>
                <w:color w:val="auto"/>
              </w:rPr>
              <w:t>Force Majeure</w:t>
            </w:r>
          </w:p>
        </w:tc>
        <w:tc>
          <w:tcPr>
            <w:tcW w:w="21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91"/>
        </w:trPr>
        <w:tc>
          <w:tcPr>
            <w:tcW w:w="14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960" w:type="dxa"/>
            <w:vAlign w:val="bottom"/>
            <w:gridSpan w:val="3"/>
          </w:tcPr>
          <w:p>
            <w:pPr>
              <w:jc w:val="center"/>
              <w:ind w:right="3000"/>
              <w:spacing w:after="0"/>
              <w:rPr>
                <w:sz w:val="20"/>
                <w:szCs w:val="20"/>
                <w:color w:val="auto"/>
              </w:rPr>
            </w:pPr>
            <w:r>
              <w:rPr>
                <w:rFonts w:ascii="Arial" w:cs="Arial" w:eastAsia="Arial" w:hAnsi="Arial"/>
                <w:sz w:val="18"/>
                <w:szCs w:val="18"/>
                <w:color w:val="auto"/>
                <w:w w:val="94"/>
              </w:rPr>
              <w:t>ARTICLE 11</w:t>
            </w:r>
          </w:p>
        </w:tc>
        <w:tc>
          <w:tcPr>
            <w:tcW w:w="2140" w:type="dxa"/>
            <w:vAlign w:val="bottom"/>
          </w:tcPr>
          <w:p>
            <w:pPr>
              <w:spacing w:after="0"/>
              <w:rPr>
                <w:sz w:val="24"/>
                <w:szCs w:val="24"/>
                <w:color w:val="auto"/>
              </w:rPr>
            </w:pPr>
          </w:p>
        </w:tc>
      </w:tr>
      <w:tr>
        <w:trPr>
          <w:trHeight w:val="20"/>
        </w:trPr>
        <w:tc>
          <w:tcPr>
            <w:tcW w:w="14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412"/>
        </w:trPr>
        <w:tc>
          <w:tcPr>
            <w:tcW w:w="14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8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Redemption of Securities</w:t>
            </w:r>
          </w:p>
        </w:tc>
        <w:tc>
          <w:tcPr>
            <w:tcW w:w="256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438"/>
        </w:trPr>
        <w:tc>
          <w:tcPr>
            <w:tcW w:w="1420" w:type="dxa"/>
            <w:vAlign w:val="bottom"/>
          </w:tcPr>
          <w:p>
            <w:pPr>
              <w:spacing w:after="0"/>
              <w:rPr>
                <w:sz w:val="20"/>
                <w:szCs w:val="20"/>
                <w:color w:val="auto"/>
              </w:rPr>
            </w:pPr>
            <w:r>
              <w:rPr>
                <w:rFonts w:ascii="Arial" w:cs="Arial" w:eastAsia="Arial" w:hAnsi="Arial"/>
                <w:sz w:val="18"/>
                <w:szCs w:val="18"/>
                <w:color w:val="auto"/>
              </w:rPr>
              <w:t>SECTION 11.01.</w:t>
            </w:r>
          </w:p>
        </w:tc>
        <w:tc>
          <w:tcPr>
            <w:tcW w:w="7680" w:type="dxa"/>
            <w:vAlign w:val="bottom"/>
            <w:gridSpan w:val="5"/>
          </w:tcPr>
          <w:p>
            <w:pPr>
              <w:ind w:left="160"/>
              <w:spacing w:after="0"/>
              <w:rPr>
                <w:sz w:val="20"/>
                <w:szCs w:val="20"/>
                <w:color w:val="auto"/>
              </w:rPr>
            </w:pPr>
            <w:r>
              <w:rPr>
                <w:rFonts w:ascii="Arial" w:cs="Arial" w:eastAsia="Arial" w:hAnsi="Arial"/>
                <w:sz w:val="18"/>
                <w:szCs w:val="18"/>
                <w:color w:val="auto"/>
              </w:rPr>
              <w:t>Applicability Of Article</w:t>
            </w:r>
          </w:p>
        </w:tc>
        <w:tc>
          <w:tcPr>
            <w:tcW w:w="21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11.02.</w:t>
            </w:r>
          </w:p>
        </w:tc>
        <w:tc>
          <w:tcPr>
            <w:tcW w:w="7680" w:type="dxa"/>
            <w:vAlign w:val="bottom"/>
            <w:gridSpan w:val="5"/>
          </w:tcPr>
          <w:p>
            <w:pPr>
              <w:ind w:left="160"/>
              <w:spacing w:after="0"/>
              <w:rPr>
                <w:sz w:val="20"/>
                <w:szCs w:val="20"/>
                <w:color w:val="auto"/>
              </w:rPr>
            </w:pPr>
            <w:r>
              <w:rPr>
                <w:rFonts w:ascii="Arial" w:cs="Arial" w:eastAsia="Arial" w:hAnsi="Arial"/>
                <w:sz w:val="18"/>
                <w:szCs w:val="18"/>
                <w:color w:val="auto"/>
              </w:rPr>
              <w:t>Notice Of Redemption; Partial Redemptions</w:t>
            </w:r>
          </w:p>
        </w:tc>
        <w:tc>
          <w:tcPr>
            <w:tcW w:w="21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11.03.</w:t>
            </w:r>
          </w:p>
        </w:tc>
        <w:tc>
          <w:tcPr>
            <w:tcW w:w="7680" w:type="dxa"/>
            <w:vAlign w:val="bottom"/>
            <w:gridSpan w:val="5"/>
          </w:tcPr>
          <w:p>
            <w:pPr>
              <w:ind w:left="160"/>
              <w:spacing w:after="0"/>
              <w:rPr>
                <w:sz w:val="20"/>
                <w:szCs w:val="20"/>
                <w:color w:val="auto"/>
              </w:rPr>
            </w:pPr>
            <w:r>
              <w:rPr>
                <w:rFonts w:ascii="Arial" w:cs="Arial" w:eastAsia="Arial" w:hAnsi="Arial"/>
                <w:sz w:val="18"/>
                <w:szCs w:val="18"/>
                <w:color w:val="auto"/>
              </w:rPr>
              <w:t>Payment of Securities Called for Redemption</w:t>
            </w:r>
          </w:p>
        </w:tc>
        <w:tc>
          <w:tcPr>
            <w:tcW w:w="21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1420" w:type="dxa"/>
            <w:vAlign w:val="bottom"/>
          </w:tcPr>
          <w:p>
            <w:pPr>
              <w:spacing w:after="0"/>
              <w:rPr>
                <w:sz w:val="20"/>
                <w:szCs w:val="20"/>
                <w:color w:val="auto"/>
              </w:rPr>
            </w:pPr>
            <w:r>
              <w:rPr>
                <w:rFonts w:ascii="Arial" w:cs="Arial" w:eastAsia="Arial" w:hAnsi="Arial"/>
                <w:sz w:val="18"/>
                <w:szCs w:val="18"/>
                <w:color w:val="auto"/>
              </w:rPr>
              <w:t>SECTION 11.04.</w:t>
            </w:r>
          </w:p>
        </w:tc>
        <w:tc>
          <w:tcPr>
            <w:tcW w:w="7680" w:type="dxa"/>
            <w:vAlign w:val="bottom"/>
            <w:gridSpan w:val="5"/>
          </w:tcPr>
          <w:p>
            <w:pPr>
              <w:ind w:left="160"/>
              <w:spacing w:after="0"/>
              <w:rPr>
                <w:sz w:val="20"/>
                <w:szCs w:val="20"/>
                <w:color w:val="auto"/>
              </w:rPr>
            </w:pPr>
            <w:r>
              <w:rPr>
                <w:rFonts w:ascii="Arial" w:cs="Arial" w:eastAsia="Arial" w:hAnsi="Arial"/>
                <w:sz w:val="18"/>
                <w:szCs w:val="18"/>
                <w:color w:val="auto"/>
              </w:rPr>
              <w:t>Exclusion of Certain Securities from Eligibility for Selection for Redemption</w:t>
            </w:r>
          </w:p>
        </w:tc>
        <w:tc>
          <w:tcPr>
            <w:tcW w:w="2140" w:type="dxa"/>
            <w:vAlign w:val="bottom"/>
          </w:tcPr>
          <w:p>
            <w:pPr>
              <w:jc w:val="right"/>
              <w:spacing w:after="0"/>
              <w:rPr>
                <w:sz w:val="20"/>
                <w:szCs w:val="20"/>
                <w:color w:val="auto"/>
              </w:rPr>
            </w:pPr>
            <w:r>
              <w:rPr>
                <w:rFonts w:ascii="Arial" w:cs="Arial" w:eastAsia="Arial" w:hAnsi="Arial"/>
                <w:sz w:val="18"/>
                <w:szCs w:val="18"/>
                <w:color w:val="auto"/>
              </w:rPr>
              <w:t>51</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34"/>
        </w:trPr>
        <w:tc>
          <w:tcPr>
            <w:tcW w:w="870" w:type="dxa"/>
            <w:vAlign w:val="bottom"/>
          </w:tcPr>
          <w:p>
            <w:pPr>
              <w:spacing w:after="0"/>
              <w:rPr>
                <w:sz w:val="20"/>
                <w:szCs w:val="20"/>
                <w:color w:val="auto"/>
              </w:rPr>
            </w:pPr>
          </w:p>
        </w:tc>
        <w:tc>
          <w:tcPr>
            <w:tcW w:w="2450" w:type="dxa"/>
            <w:vAlign w:val="bottom"/>
          </w:tcPr>
          <w:p>
            <w:pPr>
              <w:spacing w:after="0"/>
              <w:rPr>
                <w:sz w:val="20"/>
                <w:szCs w:val="20"/>
                <w:color w:val="auto"/>
              </w:rPr>
            </w:pPr>
          </w:p>
        </w:tc>
        <w:tc>
          <w:tcPr>
            <w:tcW w:w="7920" w:type="dxa"/>
            <w:vAlign w:val="bottom"/>
            <w:gridSpan w:val="3"/>
          </w:tcPr>
          <w:p>
            <w:pPr>
              <w:ind w:left="1060"/>
              <w:spacing w:after="0"/>
              <w:rPr>
                <w:sz w:val="20"/>
                <w:szCs w:val="20"/>
                <w:color w:val="auto"/>
              </w:rPr>
            </w:pPr>
            <w:r>
              <w:rPr>
                <w:rFonts w:ascii="Arial" w:cs="Arial" w:eastAsia="Arial" w:hAnsi="Arial"/>
                <w:sz w:val="18"/>
                <w:szCs w:val="18"/>
                <w:b w:val="1"/>
                <w:bCs w:val="1"/>
                <w:color w:val="auto"/>
              </w:rPr>
              <w:t>CROSS-REFERENCE TABLE*</w:t>
            </w:r>
          </w:p>
        </w:tc>
      </w:tr>
      <w:tr>
        <w:trPr>
          <w:trHeight w:val="364"/>
        </w:trPr>
        <w:tc>
          <w:tcPr>
            <w:tcW w:w="33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Trust Indenture Act Section</w:t>
            </w:r>
          </w:p>
        </w:tc>
        <w:tc>
          <w:tcPr>
            <w:tcW w:w="4120" w:type="dxa"/>
            <w:vAlign w:val="bottom"/>
            <w:tcBorders>
              <w:bottom w:val="single" w:sz="8" w:color="auto"/>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3600" w:type="dxa"/>
            <w:vAlign w:val="bottom"/>
            <w:tcBorders>
              <w:bottom w:val="single" w:sz="8" w:color="auto"/>
            </w:tcBorders>
          </w:tcPr>
          <w:p>
            <w:pPr>
              <w:ind w:left="1260"/>
              <w:spacing w:after="0"/>
              <w:rPr>
                <w:sz w:val="20"/>
                <w:szCs w:val="20"/>
                <w:color w:val="auto"/>
              </w:rPr>
            </w:pPr>
            <w:r>
              <w:rPr>
                <w:rFonts w:ascii="Arial" w:cs="Arial" w:eastAsia="Arial" w:hAnsi="Arial"/>
                <w:sz w:val="14"/>
                <w:szCs w:val="14"/>
                <w:b w:val="1"/>
                <w:bCs w:val="1"/>
                <w:color w:val="auto"/>
              </w:rPr>
              <w:t>Indenture Section</w:t>
            </w:r>
          </w:p>
        </w:tc>
      </w:tr>
      <w:tr>
        <w:trPr>
          <w:trHeight w:val="210"/>
        </w:trPr>
        <w:tc>
          <w:tcPr>
            <w:tcW w:w="870" w:type="dxa"/>
            <w:vAlign w:val="bottom"/>
            <w:shd w:val="clear" w:color="auto" w:fill="CCEEFF"/>
          </w:tcPr>
          <w:p>
            <w:pPr>
              <w:spacing w:after="0"/>
              <w:rPr>
                <w:sz w:val="20"/>
                <w:szCs w:val="20"/>
                <w:color w:val="auto"/>
              </w:rPr>
            </w:pPr>
            <w:r>
              <w:rPr>
                <w:rFonts w:ascii="Arial" w:cs="Arial" w:eastAsia="Arial" w:hAnsi="Arial"/>
                <w:sz w:val="18"/>
                <w:szCs w:val="18"/>
                <w:color w:val="auto"/>
              </w:rPr>
              <w:t>310</w:t>
            </w:r>
          </w:p>
        </w:tc>
        <w:tc>
          <w:tcPr>
            <w:tcW w:w="2450" w:type="dxa"/>
            <w:vAlign w:val="bottom"/>
            <w:shd w:val="clear" w:color="auto" w:fill="CCEEFF"/>
          </w:tcPr>
          <w:p>
            <w:pPr>
              <w:ind w:left="110"/>
              <w:spacing w:after="0"/>
              <w:rPr>
                <w:sz w:val="20"/>
                <w:szCs w:val="20"/>
                <w:color w:val="auto"/>
              </w:rPr>
            </w:pPr>
            <w:r>
              <w:rPr>
                <w:rFonts w:ascii="Arial" w:cs="Arial" w:eastAsia="Arial" w:hAnsi="Arial"/>
                <w:sz w:val="18"/>
                <w:szCs w:val="18"/>
                <w:color w:val="auto"/>
              </w:rPr>
              <w:t>(a)(1)</w:t>
            </w:r>
          </w:p>
        </w:tc>
        <w:tc>
          <w:tcPr>
            <w:tcW w:w="4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5.08</w:t>
            </w:r>
          </w:p>
        </w:tc>
      </w:tr>
      <w:tr>
        <w:trPr>
          <w:trHeight w:val="216"/>
        </w:trPr>
        <w:tc>
          <w:tcPr>
            <w:tcW w:w="870" w:type="dxa"/>
            <w:vAlign w:val="bottom"/>
            <w:shd w:val="clear" w:color="auto" w:fill="CCEEFF"/>
          </w:tcPr>
          <w:p>
            <w:pPr>
              <w:spacing w:after="0"/>
              <w:rPr>
                <w:sz w:val="18"/>
                <w:szCs w:val="18"/>
                <w:color w:val="auto"/>
              </w:rPr>
            </w:pPr>
          </w:p>
        </w:tc>
        <w:tc>
          <w:tcPr>
            <w:tcW w:w="2450" w:type="dxa"/>
            <w:vAlign w:val="bottom"/>
            <w:shd w:val="clear" w:color="auto" w:fill="CCEEFF"/>
          </w:tcPr>
          <w:p>
            <w:pPr>
              <w:ind w:left="110"/>
              <w:spacing w:after="0"/>
              <w:rPr>
                <w:sz w:val="20"/>
                <w:szCs w:val="20"/>
                <w:color w:val="auto"/>
              </w:rPr>
            </w:pPr>
            <w:r>
              <w:rPr>
                <w:rFonts w:ascii="Arial" w:cs="Arial" w:eastAsia="Arial" w:hAnsi="Arial"/>
                <w:sz w:val="18"/>
                <w:szCs w:val="18"/>
                <w:color w:val="auto"/>
              </w:rPr>
              <w:t>(a)(2)</w:t>
            </w:r>
          </w:p>
        </w:tc>
        <w:tc>
          <w:tcPr>
            <w:tcW w:w="7920" w:type="dxa"/>
            <w:vAlign w:val="bottom"/>
            <w:gridSpan w:val="3"/>
            <w:shd w:val="clear" w:color="auto" w:fill="CCEEFF"/>
          </w:tcPr>
          <w:p>
            <w:pPr>
              <w:jc w:val="center"/>
              <w:ind w:left="4230"/>
              <w:spacing w:after="0"/>
              <w:rPr>
                <w:sz w:val="20"/>
                <w:szCs w:val="20"/>
                <w:color w:val="auto"/>
              </w:rPr>
            </w:pPr>
            <w:r>
              <w:rPr>
                <w:rFonts w:ascii="Arial" w:cs="Arial" w:eastAsia="Arial" w:hAnsi="Arial"/>
                <w:sz w:val="18"/>
                <w:szCs w:val="18"/>
                <w:color w:val="auto"/>
                <w:w w:val="91"/>
              </w:rPr>
              <w:t>5.08</w:t>
            </w:r>
          </w:p>
        </w:tc>
      </w:tr>
      <w:tr>
        <w:trPr>
          <w:trHeight w:val="216"/>
        </w:trPr>
        <w:tc>
          <w:tcPr>
            <w:tcW w:w="870" w:type="dxa"/>
            <w:vAlign w:val="bottom"/>
            <w:shd w:val="clear" w:color="auto" w:fill="CCEEFF"/>
          </w:tcPr>
          <w:p>
            <w:pPr>
              <w:spacing w:after="0"/>
              <w:rPr>
                <w:sz w:val="18"/>
                <w:szCs w:val="18"/>
                <w:color w:val="auto"/>
              </w:rPr>
            </w:pPr>
          </w:p>
        </w:tc>
        <w:tc>
          <w:tcPr>
            <w:tcW w:w="2450" w:type="dxa"/>
            <w:vAlign w:val="bottom"/>
            <w:shd w:val="clear" w:color="auto" w:fill="CCEEFF"/>
          </w:tcPr>
          <w:p>
            <w:pPr>
              <w:ind w:left="110"/>
              <w:spacing w:after="0"/>
              <w:rPr>
                <w:sz w:val="20"/>
                <w:szCs w:val="20"/>
                <w:color w:val="auto"/>
              </w:rPr>
            </w:pPr>
            <w:r>
              <w:rPr>
                <w:rFonts w:ascii="Arial" w:cs="Arial" w:eastAsia="Arial" w:hAnsi="Arial"/>
                <w:sz w:val="18"/>
                <w:szCs w:val="18"/>
                <w:color w:val="auto"/>
              </w:rPr>
              <w:t>(a)(3)</w:t>
            </w:r>
          </w:p>
        </w:tc>
        <w:tc>
          <w:tcPr>
            <w:tcW w:w="4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Not Applicable</w:t>
            </w:r>
          </w:p>
        </w:tc>
      </w:tr>
      <w:tr>
        <w:trPr>
          <w:trHeight w:val="216"/>
        </w:trPr>
        <w:tc>
          <w:tcPr>
            <w:tcW w:w="870" w:type="dxa"/>
            <w:vAlign w:val="bottom"/>
            <w:shd w:val="clear" w:color="auto" w:fill="CCEEFF"/>
          </w:tcPr>
          <w:p>
            <w:pPr>
              <w:spacing w:after="0"/>
              <w:rPr>
                <w:sz w:val="18"/>
                <w:szCs w:val="18"/>
                <w:color w:val="auto"/>
              </w:rPr>
            </w:pPr>
          </w:p>
        </w:tc>
        <w:tc>
          <w:tcPr>
            <w:tcW w:w="2450" w:type="dxa"/>
            <w:vAlign w:val="bottom"/>
            <w:shd w:val="clear" w:color="auto" w:fill="CCEEFF"/>
          </w:tcPr>
          <w:p>
            <w:pPr>
              <w:ind w:left="110"/>
              <w:spacing w:after="0"/>
              <w:rPr>
                <w:sz w:val="20"/>
                <w:szCs w:val="20"/>
                <w:color w:val="auto"/>
              </w:rPr>
            </w:pPr>
            <w:r>
              <w:rPr>
                <w:rFonts w:ascii="Arial" w:cs="Arial" w:eastAsia="Arial" w:hAnsi="Arial"/>
                <w:sz w:val="18"/>
                <w:szCs w:val="18"/>
                <w:color w:val="auto"/>
              </w:rPr>
              <w:t>(a)(4)</w:t>
            </w:r>
          </w:p>
        </w:tc>
        <w:tc>
          <w:tcPr>
            <w:tcW w:w="4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Not Applicable</w:t>
            </w:r>
          </w:p>
        </w:tc>
      </w:tr>
      <w:tr>
        <w:trPr>
          <w:trHeight w:val="202"/>
        </w:trPr>
        <w:tc>
          <w:tcPr>
            <w:tcW w:w="870" w:type="dxa"/>
            <w:vAlign w:val="bottom"/>
            <w:shd w:val="clear" w:color="auto" w:fill="CCEEFF"/>
          </w:tcPr>
          <w:p>
            <w:pPr>
              <w:spacing w:after="0"/>
              <w:rPr>
                <w:sz w:val="17"/>
                <w:szCs w:val="17"/>
                <w:color w:val="auto"/>
              </w:rPr>
            </w:pPr>
          </w:p>
        </w:tc>
        <w:tc>
          <w:tcPr>
            <w:tcW w:w="2450" w:type="dxa"/>
            <w:vAlign w:val="bottom"/>
            <w:shd w:val="clear" w:color="auto" w:fill="CCEEFF"/>
          </w:tcPr>
          <w:p>
            <w:pPr>
              <w:ind w:left="110"/>
              <w:spacing w:after="0" w:line="201" w:lineRule="exact"/>
              <w:rPr>
                <w:sz w:val="20"/>
                <w:szCs w:val="20"/>
                <w:color w:val="auto"/>
              </w:rPr>
            </w:pPr>
            <w:r>
              <w:rPr>
                <w:rFonts w:ascii="Arial" w:cs="Arial" w:eastAsia="Arial" w:hAnsi="Arial"/>
                <w:sz w:val="18"/>
                <w:szCs w:val="18"/>
                <w:color w:val="auto"/>
              </w:rPr>
              <w:t>(a)(5)</w:t>
            </w:r>
          </w:p>
        </w:tc>
        <w:tc>
          <w:tcPr>
            <w:tcW w:w="4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5.08</w:t>
            </w:r>
          </w:p>
        </w:tc>
      </w:tr>
      <w:tr>
        <w:trPr>
          <w:trHeight w:val="216"/>
        </w:trPr>
        <w:tc>
          <w:tcPr>
            <w:tcW w:w="870" w:type="dxa"/>
            <w:vAlign w:val="bottom"/>
            <w:shd w:val="clear" w:color="auto" w:fill="CCEEFF"/>
          </w:tcPr>
          <w:p>
            <w:pPr>
              <w:spacing w:after="0"/>
              <w:rPr>
                <w:sz w:val="18"/>
                <w:szCs w:val="18"/>
                <w:color w:val="auto"/>
              </w:rPr>
            </w:pPr>
          </w:p>
        </w:tc>
        <w:tc>
          <w:tcPr>
            <w:tcW w:w="2450" w:type="dxa"/>
            <w:vAlign w:val="bottom"/>
            <w:shd w:val="clear" w:color="auto" w:fill="CCEEFF"/>
          </w:tcPr>
          <w:p>
            <w:pPr>
              <w:ind w:left="110"/>
              <w:spacing w:after="0"/>
              <w:rPr>
                <w:sz w:val="20"/>
                <w:szCs w:val="20"/>
                <w:color w:val="auto"/>
              </w:rPr>
            </w:pPr>
            <w:r>
              <w:rPr>
                <w:rFonts w:ascii="Arial" w:cs="Arial" w:eastAsia="Arial" w:hAnsi="Arial"/>
                <w:sz w:val="18"/>
                <w:szCs w:val="18"/>
                <w:color w:val="auto"/>
              </w:rPr>
              <w:t>(b)</w:t>
            </w:r>
          </w:p>
        </w:tc>
        <w:tc>
          <w:tcPr>
            <w:tcW w:w="4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5.09(b)</w:t>
            </w:r>
          </w:p>
        </w:tc>
      </w:tr>
      <w:tr>
        <w:trPr>
          <w:trHeight w:val="230"/>
        </w:trPr>
        <w:tc>
          <w:tcPr>
            <w:tcW w:w="870" w:type="dxa"/>
            <w:vAlign w:val="bottom"/>
            <w:shd w:val="clear" w:color="auto" w:fill="CCEEFF"/>
          </w:tcPr>
          <w:p>
            <w:pPr>
              <w:spacing w:after="0"/>
              <w:rPr>
                <w:sz w:val="20"/>
                <w:szCs w:val="20"/>
                <w:color w:val="auto"/>
              </w:rPr>
            </w:pPr>
          </w:p>
        </w:tc>
        <w:tc>
          <w:tcPr>
            <w:tcW w:w="2450" w:type="dxa"/>
            <w:vAlign w:val="bottom"/>
            <w:shd w:val="clear" w:color="auto" w:fill="CCEEFF"/>
          </w:tcPr>
          <w:p>
            <w:pPr>
              <w:ind w:left="110"/>
              <w:spacing w:after="0"/>
              <w:rPr>
                <w:sz w:val="20"/>
                <w:szCs w:val="20"/>
                <w:color w:val="auto"/>
              </w:rPr>
            </w:pPr>
            <w:r>
              <w:rPr>
                <w:rFonts w:ascii="Arial" w:cs="Arial" w:eastAsia="Arial" w:hAnsi="Arial"/>
                <w:sz w:val="18"/>
                <w:szCs w:val="18"/>
                <w:color w:val="auto"/>
              </w:rPr>
              <w:t>(c)</w:t>
            </w:r>
          </w:p>
        </w:tc>
        <w:tc>
          <w:tcPr>
            <w:tcW w:w="4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Not Applicable</w:t>
            </w:r>
          </w:p>
        </w:tc>
      </w:tr>
      <w:tr>
        <w:trPr>
          <w:trHeight w:val="202"/>
        </w:trPr>
        <w:tc>
          <w:tcPr>
            <w:tcW w:w="870" w:type="dxa"/>
            <w:vAlign w:val="bottom"/>
          </w:tcPr>
          <w:p>
            <w:pPr>
              <w:spacing w:after="0" w:line="201" w:lineRule="exact"/>
              <w:rPr>
                <w:sz w:val="20"/>
                <w:szCs w:val="20"/>
                <w:color w:val="auto"/>
              </w:rPr>
            </w:pPr>
            <w:r>
              <w:rPr>
                <w:rFonts w:ascii="Arial" w:cs="Arial" w:eastAsia="Arial" w:hAnsi="Arial"/>
                <w:sz w:val="18"/>
                <w:szCs w:val="18"/>
                <w:color w:val="auto"/>
              </w:rPr>
              <w:t>311</w:t>
            </w:r>
          </w:p>
        </w:tc>
        <w:tc>
          <w:tcPr>
            <w:tcW w:w="2450" w:type="dxa"/>
            <w:vAlign w:val="bottom"/>
          </w:tcPr>
          <w:p>
            <w:pPr>
              <w:ind w:left="110"/>
              <w:spacing w:after="0" w:line="201" w:lineRule="exact"/>
              <w:rPr>
                <w:sz w:val="20"/>
                <w:szCs w:val="20"/>
                <w:color w:val="auto"/>
              </w:rPr>
            </w:pPr>
            <w:r>
              <w:rPr>
                <w:rFonts w:ascii="Arial" w:cs="Arial" w:eastAsia="Arial" w:hAnsi="Arial"/>
                <w:sz w:val="18"/>
                <w:szCs w:val="18"/>
                <w:color w:val="auto"/>
              </w:rPr>
              <w:t>(a)</w:t>
            </w:r>
          </w:p>
        </w:tc>
        <w:tc>
          <w:tcPr>
            <w:tcW w:w="4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0" w:type="dxa"/>
            <w:vAlign w:val="bottom"/>
          </w:tcPr>
          <w:p>
            <w:pPr>
              <w:jc w:val="center"/>
              <w:spacing w:after="0" w:line="201" w:lineRule="exact"/>
              <w:rPr>
                <w:sz w:val="20"/>
                <w:szCs w:val="20"/>
                <w:color w:val="auto"/>
              </w:rPr>
            </w:pPr>
            <w:r>
              <w:rPr>
                <w:rFonts w:ascii="Arial" w:cs="Arial" w:eastAsia="Arial" w:hAnsi="Arial"/>
                <w:sz w:val="18"/>
                <w:szCs w:val="18"/>
                <w:color w:val="auto"/>
                <w:w w:val="91"/>
              </w:rPr>
              <w:t>5.04</w:t>
            </w:r>
          </w:p>
        </w:tc>
      </w:tr>
      <w:tr>
        <w:trPr>
          <w:trHeight w:val="216"/>
        </w:trPr>
        <w:tc>
          <w:tcPr>
            <w:tcW w:w="870" w:type="dxa"/>
            <w:vAlign w:val="bottom"/>
          </w:tcPr>
          <w:p>
            <w:pPr>
              <w:spacing w:after="0"/>
              <w:rPr>
                <w:sz w:val="18"/>
                <w:szCs w:val="18"/>
                <w:color w:val="auto"/>
              </w:rPr>
            </w:pPr>
          </w:p>
        </w:tc>
        <w:tc>
          <w:tcPr>
            <w:tcW w:w="2450" w:type="dxa"/>
            <w:vAlign w:val="bottom"/>
          </w:tcPr>
          <w:p>
            <w:pPr>
              <w:ind w:left="110"/>
              <w:spacing w:after="0"/>
              <w:rPr>
                <w:sz w:val="20"/>
                <w:szCs w:val="20"/>
                <w:color w:val="auto"/>
              </w:rPr>
            </w:pPr>
            <w:r>
              <w:rPr>
                <w:rFonts w:ascii="Arial" w:cs="Arial" w:eastAsia="Arial" w:hAnsi="Arial"/>
                <w:sz w:val="18"/>
                <w:szCs w:val="18"/>
                <w:color w:val="auto"/>
              </w:rPr>
              <w:t>(b)</w:t>
            </w:r>
          </w:p>
        </w:tc>
        <w:tc>
          <w:tcPr>
            <w:tcW w:w="7920" w:type="dxa"/>
            <w:vAlign w:val="bottom"/>
            <w:gridSpan w:val="3"/>
          </w:tcPr>
          <w:p>
            <w:pPr>
              <w:jc w:val="center"/>
              <w:ind w:left="4230"/>
              <w:spacing w:after="0"/>
              <w:rPr>
                <w:sz w:val="20"/>
                <w:szCs w:val="20"/>
                <w:color w:val="auto"/>
              </w:rPr>
            </w:pPr>
            <w:r>
              <w:rPr>
                <w:rFonts w:ascii="Arial" w:cs="Arial" w:eastAsia="Arial" w:hAnsi="Arial"/>
                <w:sz w:val="18"/>
                <w:szCs w:val="18"/>
                <w:color w:val="auto"/>
                <w:w w:val="91"/>
              </w:rPr>
              <w:t>5.04</w:t>
            </w:r>
          </w:p>
        </w:tc>
      </w:tr>
      <w:tr>
        <w:trPr>
          <w:trHeight w:val="230"/>
        </w:trPr>
        <w:tc>
          <w:tcPr>
            <w:tcW w:w="870" w:type="dxa"/>
            <w:vAlign w:val="bottom"/>
          </w:tcPr>
          <w:p>
            <w:pPr>
              <w:spacing w:after="0"/>
              <w:rPr>
                <w:sz w:val="20"/>
                <w:szCs w:val="20"/>
                <w:color w:val="auto"/>
              </w:rPr>
            </w:pPr>
          </w:p>
        </w:tc>
        <w:tc>
          <w:tcPr>
            <w:tcW w:w="2450" w:type="dxa"/>
            <w:vAlign w:val="bottom"/>
          </w:tcPr>
          <w:p>
            <w:pPr>
              <w:ind w:left="110"/>
              <w:spacing w:after="0"/>
              <w:rPr>
                <w:sz w:val="20"/>
                <w:szCs w:val="20"/>
                <w:color w:val="auto"/>
              </w:rPr>
            </w:pPr>
            <w:r>
              <w:rPr>
                <w:rFonts w:ascii="Arial" w:cs="Arial" w:eastAsia="Arial" w:hAnsi="Arial"/>
                <w:sz w:val="18"/>
                <w:szCs w:val="18"/>
                <w:color w:val="auto"/>
              </w:rPr>
              <w:t>(c)</w:t>
            </w:r>
          </w:p>
        </w:tc>
        <w:tc>
          <w:tcPr>
            <w:tcW w:w="4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ind w:left="1260"/>
              <w:spacing w:after="0"/>
              <w:rPr>
                <w:sz w:val="20"/>
                <w:szCs w:val="20"/>
                <w:color w:val="auto"/>
              </w:rPr>
            </w:pPr>
            <w:r>
              <w:rPr>
                <w:rFonts w:ascii="Arial" w:cs="Arial" w:eastAsia="Arial" w:hAnsi="Arial"/>
                <w:sz w:val="18"/>
                <w:szCs w:val="18"/>
                <w:color w:val="auto"/>
              </w:rPr>
              <w:t>Not Applicable</w:t>
            </w:r>
          </w:p>
        </w:tc>
      </w:tr>
      <w:tr>
        <w:trPr>
          <w:trHeight w:val="216"/>
        </w:trPr>
        <w:tc>
          <w:tcPr>
            <w:tcW w:w="870" w:type="dxa"/>
            <w:vAlign w:val="bottom"/>
            <w:shd w:val="clear" w:color="auto" w:fill="CCEEFF"/>
          </w:tcPr>
          <w:p>
            <w:pPr>
              <w:spacing w:after="0"/>
              <w:rPr>
                <w:sz w:val="20"/>
                <w:szCs w:val="20"/>
                <w:color w:val="auto"/>
              </w:rPr>
            </w:pPr>
            <w:r>
              <w:rPr>
                <w:rFonts w:ascii="Arial" w:cs="Arial" w:eastAsia="Arial" w:hAnsi="Arial"/>
                <w:sz w:val="18"/>
                <w:szCs w:val="18"/>
                <w:color w:val="auto"/>
              </w:rPr>
              <w:t>312</w:t>
            </w:r>
          </w:p>
        </w:tc>
        <w:tc>
          <w:tcPr>
            <w:tcW w:w="2450" w:type="dxa"/>
            <w:vAlign w:val="bottom"/>
            <w:shd w:val="clear" w:color="auto" w:fill="CCEEFF"/>
          </w:tcPr>
          <w:p>
            <w:pPr>
              <w:ind w:left="110"/>
              <w:spacing w:after="0"/>
              <w:rPr>
                <w:sz w:val="20"/>
                <w:szCs w:val="20"/>
                <w:color w:val="auto"/>
              </w:rPr>
            </w:pPr>
            <w:r>
              <w:rPr>
                <w:rFonts w:ascii="Arial" w:cs="Arial" w:eastAsia="Arial" w:hAnsi="Arial"/>
                <w:sz w:val="18"/>
                <w:szCs w:val="18"/>
                <w:color w:val="auto"/>
              </w:rPr>
              <w:t>(a)</w:t>
            </w:r>
          </w:p>
        </w:tc>
        <w:tc>
          <w:tcPr>
            <w:tcW w:w="7920" w:type="dxa"/>
            <w:vAlign w:val="bottom"/>
            <w:gridSpan w:val="3"/>
            <w:shd w:val="clear" w:color="auto" w:fill="CCEEFF"/>
          </w:tcPr>
          <w:p>
            <w:pPr>
              <w:jc w:val="center"/>
              <w:ind w:left="4230"/>
              <w:spacing w:after="0"/>
              <w:rPr>
                <w:sz w:val="20"/>
                <w:szCs w:val="20"/>
                <w:color w:val="auto"/>
              </w:rPr>
            </w:pPr>
            <w:r>
              <w:rPr>
                <w:rFonts w:ascii="Arial" w:cs="Arial" w:eastAsia="Arial" w:hAnsi="Arial"/>
                <w:sz w:val="18"/>
                <w:szCs w:val="18"/>
                <w:color w:val="auto"/>
                <w:w w:val="91"/>
              </w:rPr>
              <w:t>3.06</w:t>
            </w:r>
          </w:p>
        </w:tc>
      </w:tr>
      <w:tr>
        <w:trPr>
          <w:trHeight w:val="216"/>
        </w:trPr>
        <w:tc>
          <w:tcPr>
            <w:tcW w:w="870" w:type="dxa"/>
            <w:vAlign w:val="bottom"/>
            <w:shd w:val="clear" w:color="auto" w:fill="CCEEFF"/>
          </w:tcPr>
          <w:p>
            <w:pPr>
              <w:spacing w:after="0"/>
              <w:rPr>
                <w:sz w:val="18"/>
                <w:szCs w:val="18"/>
                <w:color w:val="auto"/>
              </w:rPr>
            </w:pPr>
          </w:p>
        </w:tc>
        <w:tc>
          <w:tcPr>
            <w:tcW w:w="2450" w:type="dxa"/>
            <w:vAlign w:val="bottom"/>
            <w:shd w:val="clear" w:color="auto" w:fill="CCEEFF"/>
          </w:tcPr>
          <w:p>
            <w:pPr>
              <w:ind w:left="110"/>
              <w:spacing w:after="0"/>
              <w:rPr>
                <w:sz w:val="20"/>
                <w:szCs w:val="20"/>
                <w:color w:val="auto"/>
              </w:rPr>
            </w:pPr>
            <w:r>
              <w:rPr>
                <w:rFonts w:ascii="Arial" w:cs="Arial" w:eastAsia="Arial" w:hAnsi="Arial"/>
                <w:sz w:val="18"/>
                <w:szCs w:val="18"/>
                <w:color w:val="auto"/>
              </w:rPr>
              <w:t>(b)</w:t>
            </w:r>
          </w:p>
        </w:tc>
        <w:tc>
          <w:tcPr>
            <w:tcW w:w="7920" w:type="dxa"/>
            <w:vAlign w:val="bottom"/>
            <w:gridSpan w:val="3"/>
            <w:shd w:val="clear" w:color="auto" w:fill="CCEEFF"/>
          </w:tcPr>
          <w:p>
            <w:pPr>
              <w:jc w:val="center"/>
              <w:ind w:left="4230"/>
              <w:spacing w:after="0"/>
              <w:rPr>
                <w:sz w:val="20"/>
                <w:szCs w:val="20"/>
                <w:color w:val="auto"/>
              </w:rPr>
            </w:pPr>
            <w:r>
              <w:rPr>
                <w:rFonts w:ascii="Arial" w:cs="Arial" w:eastAsia="Arial" w:hAnsi="Arial"/>
                <w:sz w:val="18"/>
                <w:szCs w:val="18"/>
                <w:color w:val="auto"/>
                <w:w w:val="88"/>
              </w:rPr>
              <w:t>10.05</w:t>
            </w:r>
          </w:p>
        </w:tc>
      </w:tr>
      <w:tr>
        <w:trPr>
          <w:trHeight w:val="216"/>
        </w:trPr>
        <w:tc>
          <w:tcPr>
            <w:tcW w:w="870" w:type="dxa"/>
            <w:vAlign w:val="bottom"/>
            <w:shd w:val="clear" w:color="auto" w:fill="CCEEFF"/>
          </w:tcPr>
          <w:p>
            <w:pPr>
              <w:spacing w:after="0"/>
              <w:rPr>
                <w:sz w:val="18"/>
                <w:szCs w:val="18"/>
                <w:color w:val="auto"/>
              </w:rPr>
            </w:pPr>
          </w:p>
        </w:tc>
        <w:tc>
          <w:tcPr>
            <w:tcW w:w="2450" w:type="dxa"/>
            <w:vAlign w:val="bottom"/>
            <w:shd w:val="clear" w:color="auto" w:fill="CCEEFF"/>
          </w:tcPr>
          <w:p>
            <w:pPr>
              <w:ind w:left="110"/>
              <w:spacing w:after="0"/>
              <w:rPr>
                <w:sz w:val="20"/>
                <w:szCs w:val="20"/>
                <w:color w:val="auto"/>
              </w:rPr>
            </w:pPr>
            <w:r>
              <w:rPr>
                <w:rFonts w:ascii="Arial" w:cs="Arial" w:eastAsia="Arial" w:hAnsi="Arial"/>
                <w:sz w:val="18"/>
                <w:szCs w:val="18"/>
                <w:color w:val="auto"/>
              </w:rPr>
              <w:t>(c)</w:t>
            </w:r>
          </w:p>
        </w:tc>
        <w:tc>
          <w:tcPr>
            <w:tcW w:w="7920" w:type="dxa"/>
            <w:vAlign w:val="bottom"/>
            <w:gridSpan w:val="3"/>
            <w:shd w:val="clear" w:color="auto" w:fill="CCEEFF"/>
          </w:tcPr>
          <w:p>
            <w:pPr>
              <w:jc w:val="center"/>
              <w:ind w:left="4230"/>
              <w:spacing w:after="0"/>
              <w:rPr>
                <w:sz w:val="20"/>
                <w:szCs w:val="20"/>
                <w:color w:val="auto"/>
              </w:rPr>
            </w:pPr>
            <w:r>
              <w:rPr>
                <w:rFonts w:ascii="Arial" w:cs="Arial" w:eastAsia="Arial" w:hAnsi="Arial"/>
                <w:sz w:val="18"/>
                <w:szCs w:val="18"/>
                <w:color w:val="auto"/>
                <w:w w:val="88"/>
              </w:rPr>
              <w:t>10.05</w:t>
            </w:r>
          </w:p>
        </w:tc>
      </w:tr>
      <w:tr>
        <w:trPr>
          <w:trHeight w:val="202"/>
        </w:trPr>
        <w:tc>
          <w:tcPr>
            <w:tcW w:w="870" w:type="dxa"/>
            <w:vAlign w:val="bottom"/>
          </w:tcPr>
          <w:p>
            <w:pPr>
              <w:spacing w:after="0" w:line="201" w:lineRule="exact"/>
              <w:rPr>
                <w:sz w:val="20"/>
                <w:szCs w:val="20"/>
                <w:color w:val="auto"/>
              </w:rPr>
            </w:pPr>
            <w:r>
              <w:rPr>
                <w:rFonts w:ascii="Arial" w:cs="Arial" w:eastAsia="Arial" w:hAnsi="Arial"/>
                <w:sz w:val="18"/>
                <w:szCs w:val="18"/>
                <w:color w:val="auto"/>
              </w:rPr>
              <w:t>313</w:t>
            </w:r>
          </w:p>
        </w:tc>
        <w:tc>
          <w:tcPr>
            <w:tcW w:w="2450" w:type="dxa"/>
            <w:vAlign w:val="bottom"/>
          </w:tcPr>
          <w:p>
            <w:pPr>
              <w:ind w:left="110"/>
              <w:spacing w:after="0" w:line="201" w:lineRule="exact"/>
              <w:rPr>
                <w:sz w:val="20"/>
                <w:szCs w:val="20"/>
                <w:color w:val="auto"/>
              </w:rPr>
            </w:pPr>
            <w:r>
              <w:rPr>
                <w:rFonts w:ascii="Arial" w:cs="Arial" w:eastAsia="Arial" w:hAnsi="Arial"/>
                <w:sz w:val="18"/>
                <w:szCs w:val="18"/>
                <w:color w:val="auto"/>
              </w:rPr>
              <w:t>(a)</w:t>
            </w:r>
          </w:p>
        </w:tc>
        <w:tc>
          <w:tcPr>
            <w:tcW w:w="7920" w:type="dxa"/>
            <w:vAlign w:val="bottom"/>
            <w:gridSpan w:val="3"/>
          </w:tcPr>
          <w:p>
            <w:pPr>
              <w:jc w:val="center"/>
              <w:ind w:left="4230"/>
              <w:spacing w:after="0" w:line="201" w:lineRule="exact"/>
              <w:rPr>
                <w:sz w:val="20"/>
                <w:szCs w:val="20"/>
                <w:color w:val="auto"/>
              </w:rPr>
            </w:pPr>
            <w:r>
              <w:rPr>
                <w:rFonts w:ascii="Arial" w:cs="Arial" w:eastAsia="Arial" w:hAnsi="Arial"/>
                <w:sz w:val="18"/>
                <w:szCs w:val="18"/>
                <w:color w:val="auto"/>
                <w:w w:val="91"/>
              </w:rPr>
              <w:t>3.08</w:t>
            </w:r>
          </w:p>
        </w:tc>
      </w:tr>
      <w:tr>
        <w:trPr>
          <w:trHeight w:val="216"/>
        </w:trPr>
        <w:tc>
          <w:tcPr>
            <w:tcW w:w="870" w:type="dxa"/>
            <w:vAlign w:val="bottom"/>
          </w:tcPr>
          <w:p>
            <w:pPr>
              <w:spacing w:after="0"/>
              <w:rPr>
                <w:sz w:val="18"/>
                <w:szCs w:val="18"/>
                <w:color w:val="auto"/>
              </w:rPr>
            </w:pPr>
          </w:p>
        </w:tc>
        <w:tc>
          <w:tcPr>
            <w:tcW w:w="2450" w:type="dxa"/>
            <w:vAlign w:val="bottom"/>
          </w:tcPr>
          <w:p>
            <w:pPr>
              <w:ind w:left="110"/>
              <w:spacing w:after="0"/>
              <w:rPr>
                <w:sz w:val="20"/>
                <w:szCs w:val="20"/>
                <w:color w:val="auto"/>
              </w:rPr>
            </w:pPr>
            <w:r>
              <w:rPr>
                <w:rFonts w:ascii="Arial" w:cs="Arial" w:eastAsia="Arial" w:hAnsi="Arial"/>
                <w:sz w:val="18"/>
                <w:szCs w:val="18"/>
                <w:color w:val="auto"/>
              </w:rPr>
              <w:t>(b)(1)</w:t>
            </w:r>
          </w:p>
        </w:tc>
        <w:tc>
          <w:tcPr>
            <w:tcW w:w="4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ind w:left="1260"/>
              <w:spacing w:after="0"/>
              <w:rPr>
                <w:sz w:val="20"/>
                <w:szCs w:val="20"/>
                <w:color w:val="auto"/>
              </w:rPr>
            </w:pPr>
            <w:r>
              <w:rPr>
                <w:rFonts w:ascii="Arial" w:cs="Arial" w:eastAsia="Arial" w:hAnsi="Arial"/>
                <w:sz w:val="18"/>
                <w:szCs w:val="18"/>
                <w:color w:val="auto"/>
              </w:rPr>
              <w:t>Not Applicable</w:t>
            </w:r>
          </w:p>
        </w:tc>
      </w:tr>
      <w:tr>
        <w:trPr>
          <w:trHeight w:val="216"/>
        </w:trPr>
        <w:tc>
          <w:tcPr>
            <w:tcW w:w="870" w:type="dxa"/>
            <w:vAlign w:val="bottom"/>
          </w:tcPr>
          <w:p>
            <w:pPr>
              <w:spacing w:after="0"/>
              <w:rPr>
                <w:sz w:val="18"/>
                <w:szCs w:val="18"/>
                <w:color w:val="auto"/>
              </w:rPr>
            </w:pPr>
          </w:p>
        </w:tc>
        <w:tc>
          <w:tcPr>
            <w:tcW w:w="2450" w:type="dxa"/>
            <w:vAlign w:val="bottom"/>
          </w:tcPr>
          <w:p>
            <w:pPr>
              <w:ind w:left="110"/>
              <w:spacing w:after="0"/>
              <w:rPr>
                <w:sz w:val="20"/>
                <w:szCs w:val="20"/>
                <w:color w:val="auto"/>
              </w:rPr>
            </w:pPr>
            <w:r>
              <w:rPr>
                <w:rFonts w:ascii="Arial" w:cs="Arial" w:eastAsia="Arial" w:hAnsi="Arial"/>
                <w:sz w:val="18"/>
                <w:szCs w:val="18"/>
                <w:color w:val="auto"/>
              </w:rPr>
              <w:t>(b)(2)</w:t>
            </w:r>
          </w:p>
        </w:tc>
        <w:tc>
          <w:tcPr>
            <w:tcW w:w="7920" w:type="dxa"/>
            <w:vAlign w:val="bottom"/>
            <w:gridSpan w:val="3"/>
          </w:tcPr>
          <w:p>
            <w:pPr>
              <w:jc w:val="center"/>
              <w:ind w:left="4230"/>
              <w:spacing w:after="0"/>
              <w:rPr>
                <w:sz w:val="20"/>
                <w:szCs w:val="20"/>
                <w:color w:val="auto"/>
              </w:rPr>
            </w:pPr>
            <w:r>
              <w:rPr>
                <w:rFonts w:ascii="Arial" w:cs="Arial" w:eastAsia="Arial" w:hAnsi="Arial"/>
                <w:sz w:val="18"/>
                <w:szCs w:val="18"/>
                <w:color w:val="auto"/>
                <w:w w:val="91"/>
              </w:rPr>
              <w:t>3.08</w:t>
            </w:r>
          </w:p>
        </w:tc>
      </w:tr>
      <w:tr>
        <w:trPr>
          <w:trHeight w:val="216"/>
        </w:trPr>
        <w:tc>
          <w:tcPr>
            <w:tcW w:w="870" w:type="dxa"/>
            <w:vAlign w:val="bottom"/>
          </w:tcPr>
          <w:p>
            <w:pPr>
              <w:spacing w:after="0"/>
              <w:rPr>
                <w:sz w:val="18"/>
                <w:szCs w:val="18"/>
                <w:color w:val="auto"/>
              </w:rPr>
            </w:pPr>
          </w:p>
        </w:tc>
        <w:tc>
          <w:tcPr>
            <w:tcW w:w="2450" w:type="dxa"/>
            <w:vAlign w:val="bottom"/>
          </w:tcPr>
          <w:p>
            <w:pPr>
              <w:ind w:left="110"/>
              <w:spacing w:after="0"/>
              <w:rPr>
                <w:sz w:val="20"/>
                <w:szCs w:val="20"/>
                <w:color w:val="auto"/>
              </w:rPr>
            </w:pPr>
            <w:r>
              <w:rPr>
                <w:rFonts w:ascii="Arial" w:cs="Arial" w:eastAsia="Arial" w:hAnsi="Arial"/>
                <w:sz w:val="18"/>
                <w:szCs w:val="18"/>
                <w:color w:val="auto"/>
              </w:rPr>
              <w:t>(c)</w:t>
            </w:r>
          </w:p>
        </w:tc>
        <w:tc>
          <w:tcPr>
            <w:tcW w:w="7920" w:type="dxa"/>
            <w:vAlign w:val="bottom"/>
            <w:gridSpan w:val="3"/>
          </w:tcPr>
          <w:p>
            <w:pPr>
              <w:jc w:val="center"/>
              <w:ind w:left="4250"/>
              <w:spacing w:after="0"/>
              <w:rPr>
                <w:sz w:val="20"/>
                <w:szCs w:val="20"/>
                <w:color w:val="auto"/>
              </w:rPr>
            </w:pPr>
            <w:r>
              <w:rPr>
                <w:rFonts w:ascii="Arial" w:cs="Arial" w:eastAsia="Arial" w:hAnsi="Arial"/>
                <w:sz w:val="18"/>
                <w:szCs w:val="18"/>
                <w:color w:val="auto"/>
                <w:w w:val="90"/>
              </w:rPr>
              <w:t>3.08; 10.02</w:t>
            </w:r>
          </w:p>
        </w:tc>
      </w:tr>
      <w:tr>
        <w:trPr>
          <w:trHeight w:val="230"/>
        </w:trPr>
        <w:tc>
          <w:tcPr>
            <w:tcW w:w="870" w:type="dxa"/>
            <w:vAlign w:val="bottom"/>
          </w:tcPr>
          <w:p>
            <w:pPr>
              <w:spacing w:after="0"/>
              <w:rPr>
                <w:sz w:val="20"/>
                <w:szCs w:val="20"/>
                <w:color w:val="auto"/>
              </w:rPr>
            </w:pPr>
          </w:p>
        </w:tc>
        <w:tc>
          <w:tcPr>
            <w:tcW w:w="2450" w:type="dxa"/>
            <w:vAlign w:val="bottom"/>
          </w:tcPr>
          <w:p>
            <w:pPr>
              <w:ind w:left="110"/>
              <w:spacing w:after="0"/>
              <w:rPr>
                <w:sz w:val="20"/>
                <w:szCs w:val="20"/>
                <w:color w:val="auto"/>
              </w:rPr>
            </w:pPr>
            <w:r>
              <w:rPr>
                <w:rFonts w:ascii="Arial" w:cs="Arial" w:eastAsia="Arial" w:hAnsi="Arial"/>
                <w:sz w:val="18"/>
                <w:szCs w:val="18"/>
                <w:color w:val="auto"/>
              </w:rPr>
              <w:t>(d)</w:t>
            </w:r>
          </w:p>
        </w:tc>
        <w:tc>
          <w:tcPr>
            <w:tcW w:w="7920" w:type="dxa"/>
            <w:vAlign w:val="bottom"/>
            <w:gridSpan w:val="3"/>
          </w:tcPr>
          <w:p>
            <w:pPr>
              <w:jc w:val="center"/>
              <w:ind w:left="4230"/>
              <w:spacing w:after="0"/>
              <w:rPr>
                <w:sz w:val="20"/>
                <w:szCs w:val="20"/>
                <w:color w:val="auto"/>
              </w:rPr>
            </w:pPr>
            <w:r>
              <w:rPr>
                <w:rFonts w:ascii="Arial" w:cs="Arial" w:eastAsia="Arial" w:hAnsi="Arial"/>
                <w:sz w:val="18"/>
                <w:szCs w:val="18"/>
                <w:color w:val="auto"/>
                <w:w w:val="91"/>
              </w:rPr>
              <w:t>3.08</w:t>
            </w:r>
          </w:p>
        </w:tc>
      </w:tr>
      <w:tr>
        <w:trPr>
          <w:trHeight w:val="216"/>
        </w:trPr>
        <w:tc>
          <w:tcPr>
            <w:tcW w:w="870" w:type="dxa"/>
            <w:vAlign w:val="bottom"/>
            <w:shd w:val="clear" w:color="auto" w:fill="CCEEFF"/>
          </w:tcPr>
          <w:p>
            <w:pPr>
              <w:spacing w:after="0"/>
              <w:rPr>
                <w:sz w:val="20"/>
                <w:szCs w:val="20"/>
                <w:color w:val="auto"/>
              </w:rPr>
            </w:pPr>
            <w:r>
              <w:rPr>
                <w:rFonts w:ascii="Arial" w:cs="Arial" w:eastAsia="Arial" w:hAnsi="Arial"/>
                <w:sz w:val="18"/>
                <w:szCs w:val="18"/>
                <w:color w:val="auto"/>
              </w:rPr>
              <w:t>314</w:t>
            </w:r>
          </w:p>
        </w:tc>
        <w:tc>
          <w:tcPr>
            <w:tcW w:w="2450" w:type="dxa"/>
            <w:vAlign w:val="bottom"/>
            <w:shd w:val="clear" w:color="auto" w:fill="CCEEFF"/>
          </w:tcPr>
          <w:p>
            <w:pPr>
              <w:ind w:left="110"/>
              <w:spacing w:after="0"/>
              <w:rPr>
                <w:sz w:val="20"/>
                <w:szCs w:val="20"/>
                <w:color w:val="auto"/>
              </w:rPr>
            </w:pPr>
            <w:r>
              <w:rPr>
                <w:rFonts w:ascii="Arial" w:cs="Arial" w:eastAsia="Arial" w:hAnsi="Arial"/>
                <w:sz w:val="18"/>
                <w:szCs w:val="18"/>
                <w:color w:val="auto"/>
              </w:rPr>
              <w:t>(a)</w:t>
            </w:r>
          </w:p>
        </w:tc>
        <w:tc>
          <w:tcPr>
            <w:tcW w:w="7920" w:type="dxa"/>
            <w:vAlign w:val="bottom"/>
            <w:gridSpan w:val="3"/>
            <w:shd w:val="clear" w:color="auto" w:fill="CCEEFF"/>
          </w:tcPr>
          <w:p>
            <w:pPr>
              <w:jc w:val="center"/>
              <w:ind w:left="4230"/>
              <w:spacing w:after="0"/>
              <w:rPr>
                <w:sz w:val="20"/>
                <w:szCs w:val="20"/>
                <w:color w:val="auto"/>
              </w:rPr>
            </w:pPr>
            <w:r>
              <w:rPr>
                <w:rFonts w:ascii="Arial" w:cs="Arial" w:eastAsia="Arial" w:hAnsi="Arial"/>
                <w:sz w:val="18"/>
                <w:szCs w:val="18"/>
                <w:color w:val="auto"/>
                <w:w w:val="89"/>
              </w:rPr>
              <w:t>3.05; 3.07</w:t>
            </w:r>
          </w:p>
        </w:tc>
      </w:tr>
      <w:tr>
        <w:trPr>
          <w:trHeight w:val="216"/>
        </w:trPr>
        <w:tc>
          <w:tcPr>
            <w:tcW w:w="870" w:type="dxa"/>
            <w:vAlign w:val="bottom"/>
            <w:shd w:val="clear" w:color="auto" w:fill="CCEEFF"/>
          </w:tcPr>
          <w:p>
            <w:pPr>
              <w:spacing w:after="0"/>
              <w:rPr>
                <w:sz w:val="18"/>
                <w:szCs w:val="18"/>
                <w:color w:val="auto"/>
              </w:rPr>
            </w:pPr>
          </w:p>
        </w:tc>
        <w:tc>
          <w:tcPr>
            <w:tcW w:w="2450" w:type="dxa"/>
            <w:vAlign w:val="bottom"/>
            <w:shd w:val="clear" w:color="auto" w:fill="CCEEFF"/>
          </w:tcPr>
          <w:p>
            <w:pPr>
              <w:ind w:left="110"/>
              <w:spacing w:after="0"/>
              <w:rPr>
                <w:sz w:val="20"/>
                <w:szCs w:val="20"/>
                <w:color w:val="auto"/>
              </w:rPr>
            </w:pPr>
            <w:r>
              <w:rPr>
                <w:rFonts w:ascii="Arial" w:cs="Arial" w:eastAsia="Arial" w:hAnsi="Arial"/>
                <w:sz w:val="18"/>
                <w:szCs w:val="18"/>
                <w:color w:val="auto"/>
              </w:rPr>
              <w:t>(b)</w:t>
            </w:r>
          </w:p>
        </w:tc>
        <w:tc>
          <w:tcPr>
            <w:tcW w:w="4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Not Applicable</w:t>
            </w:r>
          </w:p>
        </w:tc>
      </w:tr>
      <w:tr>
        <w:trPr>
          <w:trHeight w:val="216"/>
        </w:trPr>
        <w:tc>
          <w:tcPr>
            <w:tcW w:w="870" w:type="dxa"/>
            <w:vAlign w:val="bottom"/>
            <w:shd w:val="clear" w:color="auto" w:fill="CCEEFF"/>
          </w:tcPr>
          <w:p>
            <w:pPr>
              <w:spacing w:after="0"/>
              <w:rPr>
                <w:sz w:val="18"/>
                <w:szCs w:val="18"/>
                <w:color w:val="auto"/>
              </w:rPr>
            </w:pPr>
          </w:p>
        </w:tc>
        <w:tc>
          <w:tcPr>
            <w:tcW w:w="2450" w:type="dxa"/>
            <w:vAlign w:val="bottom"/>
            <w:shd w:val="clear" w:color="auto" w:fill="CCEEFF"/>
          </w:tcPr>
          <w:p>
            <w:pPr>
              <w:ind w:left="110"/>
              <w:spacing w:after="0"/>
              <w:rPr>
                <w:sz w:val="20"/>
                <w:szCs w:val="20"/>
                <w:color w:val="auto"/>
              </w:rPr>
            </w:pPr>
            <w:r>
              <w:rPr>
                <w:rFonts w:ascii="Arial" w:cs="Arial" w:eastAsia="Arial" w:hAnsi="Arial"/>
                <w:sz w:val="18"/>
                <w:szCs w:val="18"/>
                <w:color w:val="auto"/>
              </w:rPr>
              <w:t>(c)(1)</w:t>
            </w:r>
          </w:p>
        </w:tc>
        <w:tc>
          <w:tcPr>
            <w:tcW w:w="412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8"/>
              </w:rPr>
              <w:t>10.06</w:t>
            </w:r>
          </w:p>
        </w:tc>
      </w:tr>
      <w:tr>
        <w:trPr>
          <w:trHeight w:val="216"/>
        </w:trPr>
        <w:tc>
          <w:tcPr>
            <w:tcW w:w="870" w:type="dxa"/>
            <w:vAlign w:val="bottom"/>
            <w:shd w:val="clear" w:color="auto" w:fill="CCEEFF"/>
          </w:tcPr>
          <w:p>
            <w:pPr>
              <w:spacing w:after="0"/>
              <w:rPr>
                <w:sz w:val="18"/>
                <w:szCs w:val="18"/>
                <w:color w:val="auto"/>
              </w:rPr>
            </w:pPr>
          </w:p>
        </w:tc>
        <w:tc>
          <w:tcPr>
            <w:tcW w:w="2450" w:type="dxa"/>
            <w:vAlign w:val="bottom"/>
            <w:shd w:val="clear" w:color="auto" w:fill="CCEEFF"/>
          </w:tcPr>
          <w:p>
            <w:pPr>
              <w:ind w:left="110"/>
              <w:spacing w:after="0"/>
              <w:rPr>
                <w:sz w:val="20"/>
                <w:szCs w:val="20"/>
                <w:color w:val="auto"/>
              </w:rPr>
            </w:pPr>
            <w:r>
              <w:rPr>
                <w:rFonts w:ascii="Arial" w:cs="Arial" w:eastAsia="Arial" w:hAnsi="Arial"/>
                <w:sz w:val="18"/>
                <w:szCs w:val="18"/>
                <w:color w:val="auto"/>
              </w:rPr>
              <w:t>(c)(2)</w:t>
            </w:r>
          </w:p>
        </w:tc>
        <w:tc>
          <w:tcPr>
            <w:tcW w:w="4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10.06</w:t>
            </w:r>
          </w:p>
        </w:tc>
      </w:tr>
      <w:tr>
        <w:trPr>
          <w:trHeight w:val="202"/>
        </w:trPr>
        <w:tc>
          <w:tcPr>
            <w:tcW w:w="870" w:type="dxa"/>
            <w:vAlign w:val="bottom"/>
            <w:shd w:val="clear" w:color="auto" w:fill="CCEEFF"/>
          </w:tcPr>
          <w:p>
            <w:pPr>
              <w:spacing w:after="0"/>
              <w:rPr>
                <w:sz w:val="17"/>
                <w:szCs w:val="17"/>
                <w:color w:val="auto"/>
              </w:rPr>
            </w:pPr>
          </w:p>
        </w:tc>
        <w:tc>
          <w:tcPr>
            <w:tcW w:w="2450" w:type="dxa"/>
            <w:vAlign w:val="bottom"/>
            <w:shd w:val="clear" w:color="auto" w:fill="CCEEFF"/>
          </w:tcPr>
          <w:p>
            <w:pPr>
              <w:ind w:left="110"/>
              <w:spacing w:after="0" w:line="201" w:lineRule="exact"/>
              <w:rPr>
                <w:sz w:val="20"/>
                <w:szCs w:val="20"/>
                <w:color w:val="auto"/>
              </w:rPr>
            </w:pPr>
            <w:r>
              <w:rPr>
                <w:rFonts w:ascii="Arial" w:cs="Arial" w:eastAsia="Arial" w:hAnsi="Arial"/>
                <w:sz w:val="18"/>
                <w:szCs w:val="18"/>
                <w:color w:val="auto"/>
              </w:rPr>
              <w:t>(c)(3)</w:t>
            </w:r>
          </w:p>
        </w:tc>
        <w:tc>
          <w:tcPr>
            <w:tcW w:w="4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10.06</w:t>
            </w:r>
          </w:p>
        </w:tc>
      </w:tr>
      <w:tr>
        <w:trPr>
          <w:trHeight w:val="216"/>
        </w:trPr>
        <w:tc>
          <w:tcPr>
            <w:tcW w:w="870" w:type="dxa"/>
            <w:vAlign w:val="bottom"/>
            <w:shd w:val="clear" w:color="auto" w:fill="CCEEFF"/>
          </w:tcPr>
          <w:p>
            <w:pPr>
              <w:spacing w:after="0"/>
              <w:rPr>
                <w:sz w:val="18"/>
                <w:szCs w:val="18"/>
                <w:color w:val="auto"/>
              </w:rPr>
            </w:pPr>
          </w:p>
        </w:tc>
        <w:tc>
          <w:tcPr>
            <w:tcW w:w="2450" w:type="dxa"/>
            <w:vAlign w:val="bottom"/>
            <w:shd w:val="clear" w:color="auto" w:fill="CCEEFF"/>
          </w:tcPr>
          <w:p>
            <w:pPr>
              <w:ind w:left="110"/>
              <w:spacing w:after="0"/>
              <w:rPr>
                <w:sz w:val="20"/>
                <w:szCs w:val="20"/>
                <w:color w:val="auto"/>
              </w:rPr>
            </w:pPr>
            <w:r>
              <w:rPr>
                <w:rFonts w:ascii="Arial" w:cs="Arial" w:eastAsia="Arial" w:hAnsi="Arial"/>
                <w:sz w:val="18"/>
                <w:szCs w:val="18"/>
                <w:color w:val="auto"/>
              </w:rPr>
              <w:t>(d)</w:t>
            </w:r>
          </w:p>
        </w:tc>
        <w:tc>
          <w:tcPr>
            <w:tcW w:w="4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Not Applicable</w:t>
            </w:r>
          </w:p>
        </w:tc>
      </w:tr>
      <w:tr>
        <w:trPr>
          <w:trHeight w:val="216"/>
        </w:trPr>
        <w:tc>
          <w:tcPr>
            <w:tcW w:w="870" w:type="dxa"/>
            <w:vAlign w:val="bottom"/>
            <w:shd w:val="clear" w:color="auto" w:fill="CCEEFF"/>
          </w:tcPr>
          <w:p>
            <w:pPr>
              <w:spacing w:after="0"/>
              <w:rPr>
                <w:sz w:val="18"/>
                <w:szCs w:val="18"/>
                <w:color w:val="auto"/>
              </w:rPr>
            </w:pPr>
          </w:p>
        </w:tc>
        <w:tc>
          <w:tcPr>
            <w:tcW w:w="2450" w:type="dxa"/>
            <w:vAlign w:val="bottom"/>
            <w:shd w:val="clear" w:color="auto" w:fill="CCEEFF"/>
          </w:tcPr>
          <w:p>
            <w:pPr>
              <w:ind w:left="110"/>
              <w:spacing w:after="0"/>
              <w:rPr>
                <w:sz w:val="20"/>
                <w:szCs w:val="20"/>
                <w:color w:val="auto"/>
              </w:rPr>
            </w:pPr>
            <w:r>
              <w:rPr>
                <w:rFonts w:ascii="Arial" w:cs="Arial" w:eastAsia="Arial" w:hAnsi="Arial"/>
                <w:sz w:val="18"/>
                <w:szCs w:val="18"/>
                <w:color w:val="auto"/>
              </w:rPr>
              <w:t>(e)</w:t>
            </w:r>
          </w:p>
        </w:tc>
        <w:tc>
          <w:tcPr>
            <w:tcW w:w="4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10.06</w:t>
            </w:r>
          </w:p>
        </w:tc>
      </w:tr>
      <w:tr>
        <w:trPr>
          <w:trHeight w:val="230"/>
        </w:trPr>
        <w:tc>
          <w:tcPr>
            <w:tcW w:w="870" w:type="dxa"/>
            <w:vAlign w:val="bottom"/>
            <w:shd w:val="clear" w:color="auto" w:fill="CCEEFF"/>
          </w:tcPr>
          <w:p>
            <w:pPr>
              <w:spacing w:after="0"/>
              <w:rPr>
                <w:sz w:val="20"/>
                <w:szCs w:val="20"/>
                <w:color w:val="auto"/>
              </w:rPr>
            </w:pPr>
          </w:p>
        </w:tc>
        <w:tc>
          <w:tcPr>
            <w:tcW w:w="2450" w:type="dxa"/>
            <w:vAlign w:val="bottom"/>
            <w:shd w:val="clear" w:color="auto" w:fill="CCEEFF"/>
          </w:tcPr>
          <w:p>
            <w:pPr>
              <w:ind w:left="110"/>
              <w:spacing w:after="0"/>
              <w:rPr>
                <w:sz w:val="20"/>
                <w:szCs w:val="20"/>
                <w:color w:val="auto"/>
              </w:rPr>
            </w:pPr>
            <w:r>
              <w:rPr>
                <w:rFonts w:ascii="Arial" w:cs="Arial" w:eastAsia="Arial" w:hAnsi="Arial"/>
                <w:sz w:val="18"/>
                <w:szCs w:val="18"/>
                <w:color w:val="auto"/>
              </w:rPr>
              <w:t>(f)</w:t>
            </w:r>
          </w:p>
        </w:tc>
        <w:tc>
          <w:tcPr>
            <w:tcW w:w="4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Not Applicable</w:t>
            </w:r>
          </w:p>
        </w:tc>
      </w:tr>
      <w:tr>
        <w:trPr>
          <w:trHeight w:val="202"/>
        </w:trPr>
        <w:tc>
          <w:tcPr>
            <w:tcW w:w="870" w:type="dxa"/>
            <w:vAlign w:val="bottom"/>
          </w:tcPr>
          <w:p>
            <w:pPr>
              <w:spacing w:after="0" w:line="201" w:lineRule="exact"/>
              <w:rPr>
                <w:sz w:val="20"/>
                <w:szCs w:val="20"/>
                <w:color w:val="auto"/>
              </w:rPr>
            </w:pPr>
            <w:r>
              <w:rPr>
                <w:rFonts w:ascii="Arial" w:cs="Arial" w:eastAsia="Arial" w:hAnsi="Arial"/>
                <w:sz w:val="18"/>
                <w:szCs w:val="18"/>
                <w:color w:val="auto"/>
              </w:rPr>
              <w:t>315</w:t>
            </w:r>
          </w:p>
        </w:tc>
        <w:tc>
          <w:tcPr>
            <w:tcW w:w="2450" w:type="dxa"/>
            <w:vAlign w:val="bottom"/>
          </w:tcPr>
          <w:p>
            <w:pPr>
              <w:ind w:left="110"/>
              <w:spacing w:after="0" w:line="201" w:lineRule="exact"/>
              <w:rPr>
                <w:sz w:val="20"/>
                <w:szCs w:val="20"/>
                <w:color w:val="auto"/>
              </w:rPr>
            </w:pPr>
            <w:r>
              <w:rPr>
                <w:rFonts w:ascii="Arial" w:cs="Arial" w:eastAsia="Arial" w:hAnsi="Arial"/>
                <w:sz w:val="18"/>
                <w:szCs w:val="18"/>
                <w:color w:val="auto"/>
              </w:rPr>
              <w:t>(a)</w:t>
            </w:r>
          </w:p>
        </w:tc>
        <w:tc>
          <w:tcPr>
            <w:tcW w:w="4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0" w:type="dxa"/>
            <w:vAlign w:val="bottom"/>
          </w:tcPr>
          <w:p>
            <w:pPr>
              <w:jc w:val="center"/>
              <w:spacing w:after="0" w:line="201" w:lineRule="exact"/>
              <w:rPr>
                <w:sz w:val="20"/>
                <w:szCs w:val="20"/>
                <w:color w:val="auto"/>
              </w:rPr>
            </w:pPr>
            <w:r>
              <w:rPr>
                <w:rFonts w:ascii="Arial" w:cs="Arial" w:eastAsia="Arial" w:hAnsi="Arial"/>
                <w:sz w:val="18"/>
                <w:szCs w:val="18"/>
                <w:color w:val="auto"/>
                <w:w w:val="91"/>
              </w:rPr>
              <w:t>5.01</w:t>
            </w:r>
          </w:p>
        </w:tc>
      </w:tr>
      <w:tr>
        <w:trPr>
          <w:trHeight w:val="216"/>
        </w:trPr>
        <w:tc>
          <w:tcPr>
            <w:tcW w:w="870" w:type="dxa"/>
            <w:vAlign w:val="bottom"/>
          </w:tcPr>
          <w:p>
            <w:pPr>
              <w:spacing w:after="0"/>
              <w:rPr>
                <w:sz w:val="18"/>
                <w:szCs w:val="18"/>
                <w:color w:val="auto"/>
              </w:rPr>
            </w:pPr>
          </w:p>
        </w:tc>
        <w:tc>
          <w:tcPr>
            <w:tcW w:w="2450" w:type="dxa"/>
            <w:vAlign w:val="bottom"/>
          </w:tcPr>
          <w:p>
            <w:pPr>
              <w:ind w:left="110"/>
              <w:spacing w:after="0"/>
              <w:rPr>
                <w:sz w:val="20"/>
                <w:szCs w:val="20"/>
                <w:color w:val="auto"/>
              </w:rPr>
            </w:pPr>
            <w:r>
              <w:rPr>
                <w:rFonts w:ascii="Arial" w:cs="Arial" w:eastAsia="Arial" w:hAnsi="Arial"/>
                <w:sz w:val="18"/>
                <w:szCs w:val="18"/>
                <w:color w:val="auto"/>
              </w:rPr>
              <w:t>(b)</w:t>
            </w:r>
          </w:p>
        </w:tc>
        <w:tc>
          <w:tcPr>
            <w:tcW w:w="7920" w:type="dxa"/>
            <w:vAlign w:val="bottom"/>
            <w:gridSpan w:val="3"/>
          </w:tcPr>
          <w:p>
            <w:pPr>
              <w:jc w:val="center"/>
              <w:ind w:left="4250"/>
              <w:spacing w:after="0"/>
              <w:rPr>
                <w:sz w:val="20"/>
                <w:szCs w:val="20"/>
                <w:color w:val="auto"/>
              </w:rPr>
            </w:pPr>
            <w:r>
              <w:rPr>
                <w:rFonts w:ascii="Arial" w:cs="Arial" w:eastAsia="Arial" w:hAnsi="Arial"/>
                <w:sz w:val="18"/>
                <w:szCs w:val="18"/>
                <w:color w:val="auto"/>
                <w:w w:val="85"/>
              </w:rPr>
              <w:t>4.11</w:t>
            </w:r>
          </w:p>
        </w:tc>
      </w:tr>
      <w:tr>
        <w:trPr>
          <w:trHeight w:val="216"/>
        </w:trPr>
        <w:tc>
          <w:tcPr>
            <w:tcW w:w="870" w:type="dxa"/>
            <w:vAlign w:val="bottom"/>
          </w:tcPr>
          <w:p>
            <w:pPr>
              <w:spacing w:after="0"/>
              <w:rPr>
                <w:sz w:val="18"/>
                <w:szCs w:val="18"/>
                <w:color w:val="auto"/>
              </w:rPr>
            </w:pPr>
          </w:p>
        </w:tc>
        <w:tc>
          <w:tcPr>
            <w:tcW w:w="2450" w:type="dxa"/>
            <w:vAlign w:val="bottom"/>
          </w:tcPr>
          <w:p>
            <w:pPr>
              <w:ind w:left="110"/>
              <w:spacing w:after="0"/>
              <w:rPr>
                <w:sz w:val="20"/>
                <w:szCs w:val="20"/>
                <w:color w:val="auto"/>
              </w:rPr>
            </w:pPr>
            <w:r>
              <w:rPr>
                <w:rFonts w:ascii="Arial" w:cs="Arial" w:eastAsia="Arial" w:hAnsi="Arial"/>
                <w:sz w:val="18"/>
                <w:szCs w:val="18"/>
                <w:color w:val="auto"/>
              </w:rPr>
              <w:t>(c)</w:t>
            </w:r>
          </w:p>
        </w:tc>
        <w:tc>
          <w:tcPr>
            <w:tcW w:w="7920" w:type="dxa"/>
            <w:vAlign w:val="bottom"/>
            <w:gridSpan w:val="3"/>
          </w:tcPr>
          <w:p>
            <w:pPr>
              <w:jc w:val="center"/>
              <w:ind w:left="4230"/>
              <w:spacing w:after="0"/>
              <w:rPr>
                <w:sz w:val="20"/>
                <w:szCs w:val="20"/>
                <w:color w:val="auto"/>
              </w:rPr>
            </w:pPr>
            <w:r>
              <w:rPr>
                <w:rFonts w:ascii="Arial" w:cs="Arial" w:eastAsia="Arial" w:hAnsi="Arial"/>
                <w:sz w:val="18"/>
                <w:szCs w:val="18"/>
                <w:color w:val="auto"/>
                <w:w w:val="91"/>
              </w:rPr>
              <w:t>5.01</w:t>
            </w:r>
          </w:p>
        </w:tc>
      </w:tr>
      <w:tr>
        <w:trPr>
          <w:trHeight w:val="216"/>
        </w:trPr>
        <w:tc>
          <w:tcPr>
            <w:tcW w:w="870" w:type="dxa"/>
            <w:vAlign w:val="bottom"/>
          </w:tcPr>
          <w:p>
            <w:pPr>
              <w:spacing w:after="0"/>
              <w:rPr>
                <w:sz w:val="18"/>
                <w:szCs w:val="18"/>
                <w:color w:val="auto"/>
              </w:rPr>
            </w:pPr>
          </w:p>
        </w:tc>
        <w:tc>
          <w:tcPr>
            <w:tcW w:w="2450" w:type="dxa"/>
            <w:vAlign w:val="bottom"/>
          </w:tcPr>
          <w:p>
            <w:pPr>
              <w:ind w:left="110"/>
              <w:spacing w:after="0"/>
              <w:rPr>
                <w:sz w:val="20"/>
                <w:szCs w:val="20"/>
                <w:color w:val="auto"/>
              </w:rPr>
            </w:pPr>
            <w:r>
              <w:rPr>
                <w:rFonts w:ascii="Arial" w:cs="Arial" w:eastAsia="Arial" w:hAnsi="Arial"/>
                <w:sz w:val="18"/>
                <w:szCs w:val="18"/>
                <w:color w:val="auto"/>
              </w:rPr>
              <w:t>(d)</w:t>
            </w:r>
          </w:p>
        </w:tc>
        <w:tc>
          <w:tcPr>
            <w:tcW w:w="7920" w:type="dxa"/>
            <w:vAlign w:val="bottom"/>
            <w:gridSpan w:val="3"/>
          </w:tcPr>
          <w:p>
            <w:pPr>
              <w:jc w:val="center"/>
              <w:ind w:left="4230"/>
              <w:spacing w:after="0"/>
              <w:rPr>
                <w:sz w:val="20"/>
                <w:szCs w:val="20"/>
                <w:color w:val="auto"/>
              </w:rPr>
            </w:pPr>
            <w:r>
              <w:rPr>
                <w:rFonts w:ascii="Arial" w:cs="Arial" w:eastAsia="Arial" w:hAnsi="Arial"/>
                <w:sz w:val="18"/>
                <w:szCs w:val="18"/>
                <w:color w:val="auto"/>
                <w:w w:val="91"/>
              </w:rPr>
              <w:t>5.01</w:t>
            </w:r>
          </w:p>
        </w:tc>
      </w:tr>
      <w:tr>
        <w:trPr>
          <w:trHeight w:val="230"/>
        </w:trPr>
        <w:tc>
          <w:tcPr>
            <w:tcW w:w="870" w:type="dxa"/>
            <w:vAlign w:val="bottom"/>
          </w:tcPr>
          <w:p>
            <w:pPr>
              <w:spacing w:after="0"/>
              <w:rPr>
                <w:sz w:val="20"/>
                <w:szCs w:val="20"/>
                <w:color w:val="auto"/>
              </w:rPr>
            </w:pPr>
          </w:p>
        </w:tc>
        <w:tc>
          <w:tcPr>
            <w:tcW w:w="2450" w:type="dxa"/>
            <w:vAlign w:val="bottom"/>
          </w:tcPr>
          <w:p>
            <w:pPr>
              <w:ind w:left="110"/>
              <w:spacing w:after="0"/>
              <w:rPr>
                <w:sz w:val="20"/>
                <w:szCs w:val="20"/>
                <w:color w:val="auto"/>
              </w:rPr>
            </w:pPr>
            <w:r>
              <w:rPr>
                <w:rFonts w:ascii="Arial" w:cs="Arial" w:eastAsia="Arial" w:hAnsi="Arial"/>
                <w:sz w:val="18"/>
                <w:szCs w:val="18"/>
                <w:color w:val="auto"/>
              </w:rPr>
              <w:t>(e)</w:t>
            </w:r>
          </w:p>
        </w:tc>
        <w:tc>
          <w:tcPr>
            <w:tcW w:w="7920" w:type="dxa"/>
            <w:vAlign w:val="bottom"/>
            <w:gridSpan w:val="3"/>
          </w:tcPr>
          <w:p>
            <w:pPr>
              <w:jc w:val="center"/>
              <w:ind w:left="4230"/>
              <w:spacing w:after="0"/>
              <w:rPr>
                <w:sz w:val="20"/>
                <w:szCs w:val="20"/>
                <w:color w:val="auto"/>
              </w:rPr>
            </w:pPr>
            <w:r>
              <w:rPr>
                <w:rFonts w:ascii="Arial" w:cs="Arial" w:eastAsia="Arial" w:hAnsi="Arial"/>
                <w:sz w:val="18"/>
                <w:szCs w:val="18"/>
                <w:color w:val="auto"/>
                <w:w w:val="91"/>
              </w:rPr>
              <w:t>4.12</w:t>
            </w:r>
          </w:p>
        </w:tc>
      </w:tr>
      <w:tr>
        <w:trPr>
          <w:trHeight w:val="216"/>
        </w:trPr>
        <w:tc>
          <w:tcPr>
            <w:tcW w:w="870" w:type="dxa"/>
            <w:vAlign w:val="bottom"/>
            <w:shd w:val="clear" w:color="auto" w:fill="CCEEFF"/>
          </w:tcPr>
          <w:p>
            <w:pPr>
              <w:spacing w:after="0"/>
              <w:rPr>
                <w:sz w:val="20"/>
                <w:szCs w:val="20"/>
                <w:color w:val="auto"/>
              </w:rPr>
            </w:pPr>
            <w:r>
              <w:rPr>
                <w:rFonts w:ascii="Arial" w:cs="Arial" w:eastAsia="Arial" w:hAnsi="Arial"/>
                <w:sz w:val="18"/>
                <w:szCs w:val="18"/>
                <w:color w:val="auto"/>
              </w:rPr>
              <w:t>316</w:t>
            </w:r>
          </w:p>
        </w:tc>
        <w:tc>
          <w:tcPr>
            <w:tcW w:w="2450" w:type="dxa"/>
            <w:vAlign w:val="bottom"/>
            <w:shd w:val="clear" w:color="auto" w:fill="CCEEFF"/>
          </w:tcPr>
          <w:p>
            <w:pPr>
              <w:ind w:left="110"/>
              <w:spacing w:after="0"/>
              <w:rPr>
                <w:sz w:val="20"/>
                <w:szCs w:val="20"/>
                <w:color w:val="auto"/>
              </w:rPr>
            </w:pPr>
            <w:r>
              <w:rPr>
                <w:rFonts w:ascii="Arial" w:cs="Arial" w:eastAsia="Arial" w:hAnsi="Arial"/>
                <w:sz w:val="18"/>
                <w:szCs w:val="18"/>
                <w:color w:val="auto"/>
              </w:rPr>
              <w:t>(a) (last sentence)</w:t>
            </w:r>
          </w:p>
        </w:tc>
        <w:tc>
          <w:tcPr>
            <w:tcW w:w="7920" w:type="dxa"/>
            <w:vAlign w:val="bottom"/>
            <w:gridSpan w:val="3"/>
            <w:shd w:val="clear" w:color="auto" w:fill="CCEEFF"/>
          </w:tcPr>
          <w:p>
            <w:pPr>
              <w:jc w:val="center"/>
              <w:ind w:left="4230"/>
              <w:spacing w:after="0"/>
              <w:rPr>
                <w:sz w:val="20"/>
                <w:szCs w:val="20"/>
                <w:color w:val="auto"/>
              </w:rPr>
            </w:pPr>
            <w:r>
              <w:rPr>
                <w:rFonts w:ascii="Arial" w:cs="Arial" w:eastAsia="Arial" w:hAnsi="Arial"/>
                <w:sz w:val="18"/>
                <w:szCs w:val="18"/>
                <w:color w:val="auto"/>
                <w:w w:val="91"/>
              </w:rPr>
              <w:t>6.04</w:t>
            </w:r>
          </w:p>
        </w:tc>
      </w:tr>
      <w:tr>
        <w:trPr>
          <w:trHeight w:val="216"/>
        </w:trPr>
        <w:tc>
          <w:tcPr>
            <w:tcW w:w="870" w:type="dxa"/>
            <w:vAlign w:val="bottom"/>
            <w:shd w:val="clear" w:color="auto" w:fill="CCEEFF"/>
          </w:tcPr>
          <w:p>
            <w:pPr>
              <w:spacing w:after="0"/>
              <w:rPr>
                <w:sz w:val="18"/>
                <w:szCs w:val="18"/>
                <w:color w:val="auto"/>
              </w:rPr>
            </w:pPr>
          </w:p>
        </w:tc>
        <w:tc>
          <w:tcPr>
            <w:tcW w:w="2450" w:type="dxa"/>
            <w:vAlign w:val="bottom"/>
            <w:shd w:val="clear" w:color="auto" w:fill="CCEEFF"/>
          </w:tcPr>
          <w:p>
            <w:pPr>
              <w:ind w:left="110"/>
              <w:spacing w:after="0"/>
              <w:rPr>
                <w:sz w:val="20"/>
                <w:szCs w:val="20"/>
                <w:color w:val="auto"/>
              </w:rPr>
            </w:pPr>
            <w:r>
              <w:rPr>
                <w:rFonts w:ascii="Arial" w:cs="Arial" w:eastAsia="Arial" w:hAnsi="Arial"/>
                <w:sz w:val="18"/>
                <w:szCs w:val="18"/>
                <w:color w:val="auto"/>
              </w:rPr>
              <w:t>(a)(1)(A)</w:t>
            </w:r>
          </w:p>
        </w:tc>
        <w:tc>
          <w:tcPr>
            <w:tcW w:w="7920" w:type="dxa"/>
            <w:vAlign w:val="bottom"/>
            <w:gridSpan w:val="3"/>
            <w:shd w:val="clear" w:color="auto" w:fill="CCEEFF"/>
          </w:tcPr>
          <w:p>
            <w:pPr>
              <w:jc w:val="center"/>
              <w:ind w:left="4230"/>
              <w:spacing w:after="0"/>
              <w:rPr>
                <w:sz w:val="20"/>
                <w:szCs w:val="20"/>
                <w:color w:val="auto"/>
              </w:rPr>
            </w:pPr>
            <w:r>
              <w:rPr>
                <w:rFonts w:ascii="Arial" w:cs="Arial" w:eastAsia="Arial" w:hAnsi="Arial"/>
                <w:sz w:val="18"/>
                <w:szCs w:val="18"/>
                <w:color w:val="auto"/>
                <w:w w:val="91"/>
              </w:rPr>
              <w:t>4.09</w:t>
            </w:r>
          </w:p>
        </w:tc>
      </w:tr>
      <w:tr>
        <w:trPr>
          <w:trHeight w:val="216"/>
        </w:trPr>
        <w:tc>
          <w:tcPr>
            <w:tcW w:w="870" w:type="dxa"/>
            <w:vAlign w:val="bottom"/>
            <w:shd w:val="clear" w:color="auto" w:fill="CCEEFF"/>
          </w:tcPr>
          <w:p>
            <w:pPr>
              <w:spacing w:after="0"/>
              <w:rPr>
                <w:sz w:val="18"/>
                <w:szCs w:val="18"/>
                <w:color w:val="auto"/>
              </w:rPr>
            </w:pPr>
          </w:p>
        </w:tc>
        <w:tc>
          <w:tcPr>
            <w:tcW w:w="2450" w:type="dxa"/>
            <w:vAlign w:val="bottom"/>
            <w:shd w:val="clear" w:color="auto" w:fill="CCEEFF"/>
          </w:tcPr>
          <w:p>
            <w:pPr>
              <w:ind w:left="110"/>
              <w:spacing w:after="0"/>
              <w:rPr>
                <w:sz w:val="20"/>
                <w:szCs w:val="20"/>
                <w:color w:val="auto"/>
              </w:rPr>
            </w:pPr>
            <w:r>
              <w:rPr>
                <w:rFonts w:ascii="Arial" w:cs="Arial" w:eastAsia="Arial" w:hAnsi="Arial"/>
                <w:sz w:val="18"/>
                <w:szCs w:val="18"/>
                <w:color w:val="auto"/>
              </w:rPr>
              <w:t>(a)(1)(B)</w:t>
            </w:r>
          </w:p>
        </w:tc>
        <w:tc>
          <w:tcPr>
            <w:tcW w:w="412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1"/>
              </w:rPr>
              <w:t>4.10</w:t>
            </w:r>
          </w:p>
        </w:tc>
      </w:tr>
      <w:tr>
        <w:trPr>
          <w:trHeight w:val="216"/>
        </w:trPr>
        <w:tc>
          <w:tcPr>
            <w:tcW w:w="870" w:type="dxa"/>
            <w:vAlign w:val="bottom"/>
            <w:shd w:val="clear" w:color="auto" w:fill="CCEEFF"/>
          </w:tcPr>
          <w:p>
            <w:pPr>
              <w:spacing w:after="0"/>
              <w:rPr>
                <w:sz w:val="18"/>
                <w:szCs w:val="18"/>
                <w:color w:val="auto"/>
              </w:rPr>
            </w:pPr>
          </w:p>
        </w:tc>
        <w:tc>
          <w:tcPr>
            <w:tcW w:w="2450" w:type="dxa"/>
            <w:vAlign w:val="bottom"/>
            <w:shd w:val="clear" w:color="auto" w:fill="CCEEFF"/>
          </w:tcPr>
          <w:p>
            <w:pPr>
              <w:ind w:left="110"/>
              <w:spacing w:after="0"/>
              <w:rPr>
                <w:sz w:val="20"/>
                <w:szCs w:val="20"/>
                <w:color w:val="auto"/>
              </w:rPr>
            </w:pPr>
            <w:r>
              <w:rPr>
                <w:rFonts w:ascii="Arial" w:cs="Arial" w:eastAsia="Arial" w:hAnsi="Arial"/>
                <w:sz w:val="18"/>
                <w:szCs w:val="18"/>
                <w:color w:val="auto"/>
              </w:rPr>
              <w:t>(a)(2)</w:t>
            </w:r>
          </w:p>
        </w:tc>
        <w:tc>
          <w:tcPr>
            <w:tcW w:w="4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Not Applicable</w:t>
            </w:r>
          </w:p>
        </w:tc>
      </w:tr>
      <w:tr>
        <w:trPr>
          <w:trHeight w:val="202"/>
        </w:trPr>
        <w:tc>
          <w:tcPr>
            <w:tcW w:w="870" w:type="dxa"/>
            <w:vAlign w:val="bottom"/>
            <w:shd w:val="clear" w:color="auto" w:fill="CCEEFF"/>
          </w:tcPr>
          <w:p>
            <w:pPr>
              <w:spacing w:after="0"/>
              <w:rPr>
                <w:sz w:val="17"/>
                <w:szCs w:val="17"/>
                <w:color w:val="auto"/>
              </w:rPr>
            </w:pPr>
          </w:p>
        </w:tc>
        <w:tc>
          <w:tcPr>
            <w:tcW w:w="2450" w:type="dxa"/>
            <w:vAlign w:val="bottom"/>
            <w:shd w:val="clear" w:color="auto" w:fill="CCEEFF"/>
          </w:tcPr>
          <w:p>
            <w:pPr>
              <w:ind w:left="110"/>
              <w:spacing w:after="0" w:line="201" w:lineRule="exact"/>
              <w:rPr>
                <w:sz w:val="20"/>
                <w:szCs w:val="20"/>
                <w:color w:val="auto"/>
              </w:rPr>
            </w:pPr>
            <w:r>
              <w:rPr>
                <w:rFonts w:ascii="Arial" w:cs="Arial" w:eastAsia="Arial" w:hAnsi="Arial"/>
                <w:sz w:val="18"/>
                <w:szCs w:val="18"/>
                <w:color w:val="auto"/>
              </w:rPr>
              <w:t>(b)</w:t>
            </w:r>
          </w:p>
        </w:tc>
        <w:tc>
          <w:tcPr>
            <w:tcW w:w="4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4.07</w:t>
            </w:r>
          </w:p>
        </w:tc>
      </w:tr>
      <w:tr>
        <w:trPr>
          <w:trHeight w:val="216"/>
        </w:trPr>
        <w:tc>
          <w:tcPr>
            <w:tcW w:w="870" w:type="dxa"/>
            <w:vAlign w:val="bottom"/>
            <w:shd w:val="clear" w:color="auto" w:fill="CCEEFF"/>
          </w:tcPr>
          <w:p>
            <w:pPr>
              <w:spacing w:after="0"/>
              <w:rPr>
                <w:sz w:val="18"/>
                <w:szCs w:val="18"/>
                <w:color w:val="auto"/>
              </w:rPr>
            </w:pPr>
          </w:p>
        </w:tc>
        <w:tc>
          <w:tcPr>
            <w:tcW w:w="2450" w:type="dxa"/>
            <w:vAlign w:val="bottom"/>
            <w:shd w:val="clear" w:color="auto" w:fill="CCEEFF"/>
          </w:tcPr>
          <w:p>
            <w:pPr>
              <w:ind w:left="110"/>
              <w:spacing w:after="0"/>
              <w:rPr>
                <w:sz w:val="20"/>
                <w:szCs w:val="20"/>
                <w:color w:val="auto"/>
              </w:rPr>
            </w:pPr>
            <w:r>
              <w:rPr>
                <w:rFonts w:ascii="Arial" w:cs="Arial" w:eastAsia="Arial" w:hAnsi="Arial"/>
                <w:sz w:val="18"/>
                <w:szCs w:val="18"/>
                <w:color w:val="auto"/>
              </w:rPr>
              <w:t>(c)</w:t>
            </w:r>
          </w:p>
        </w:tc>
        <w:tc>
          <w:tcPr>
            <w:tcW w:w="4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6.02</w:t>
            </w:r>
          </w:p>
        </w:tc>
      </w:tr>
      <w:tr>
        <w:trPr>
          <w:trHeight w:val="216"/>
        </w:trPr>
        <w:tc>
          <w:tcPr>
            <w:tcW w:w="870" w:type="dxa"/>
            <w:vAlign w:val="bottom"/>
            <w:shd w:val="clear" w:color="auto" w:fill="CCEEFF"/>
          </w:tcPr>
          <w:p>
            <w:pPr>
              <w:spacing w:after="0"/>
              <w:rPr>
                <w:sz w:val="18"/>
                <w:szCs w:val="18"/>
                <w:color w:val="auto"/>
              </w:rPr>
            </w:pPr>
          </w:p>
        </w:tc>
        <w:tc>
          <w:tcPr>
            <w:tcW w:w="2450" w:type="dxa"/>
            <w:vAlign w:val="bottom"/>
            <w:shd w:val="clear" w:color="auto" w:fill="CCEEFF"/>
          </w:tcPr>
          <w:p>
            <w:pPr>
              <w:ind w:left="110"/>
              <w:spacing w:after="0"/>
              <w:rPr>
                <w:sz w:val="20"/>
                <w:szCs w:val="20"/>
                <w:color w:val="auto"/>
              </w:rPr>
            </w:pPr>
            <w:r>
              <w:rPr>
                <w:rFonts w:ascii="Arial" w:cs="Arial" w:eastAsia="Arial" w:hAnsi="Arial"/>
                <w:sz w:val="18"/>
                <w:szCs w:val="18"/>
                <w:color w:val="auto"/>
              </w:rPr>
              <w:t>317 (a)(1)</w:t>
            </w:r>
          </w:p>
        </w:tc>
        <w:tc>
          <w:tcPr>
            <w:tcW w:w="4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4.02</w:t>
            </w:r>
          </w:p>
        </w:tc>
      </w:tr>
      <w:tr>
        <w:trPr>
          <w:trHeight w:val="216"/>
        </w:trPr>
        <w:tc>
          <w:tcPr>
            <w:tcW w:w="870" w:type="dxa"/>
            <w:vAlign w:val="bottom"/>
            <w:shd w:val="clear" w:color="auto" w:fill="CCEEFF"/>
          </w:tcPr>
          <w:p>
            <w:pPr>
              <w:spacing w:after="0"/>
              <w:rPr>
                <w:sz w:val="18"/>
                <w:szCs w:val="18"/>
                <w:color w:val="auto"/>
              </w:rPr>
            </w:pPr>
          </w:p>
        </w:tc>
        <w:tc>
          <w:tcPr>
            <w:tcW w:w="2450" w:type="dxa"/>
            <w:vAlign w:val="bottom"/>
            <w:shd w:val="clear" w:color="auto" w:fill="CCEEFF"/>
          </w:tcPr>
          <w:p>
            <w:pPr>
              <w:ind w:left="110"/>
              <w:spacing w:after="0"/>
              <w:rPr>
                <w:sz w:val="20"/>
                <w:szCs w:val="20"/>
                <w:color w:val="auto"/>
              </w:rPr>
            </w:pPr>
            <w:r>
              <w:rPr>
                <w:rFonts w:ascii="Arial" w:cs="Arial" w:eastAsia="Arial" w:hAnsi="Arial"/>
                <w:sz w:val="18"/>
                <w:szCs w:val="18"/>
                <w:color w:val="auto"/>
              </w:rPr>
              <w:t>(a)(2)</w:t>
            </w:r>
          </w:p>
        </w:tc>
        <w:tc>
          <w:tcPr>
            <w:tcW w:w="4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4.02</w:t>
            </w:r>
          </w:p>
        </w:tc>
      </w:tr>
      <w:tr>
        <w:trPr>
          <w:trHeight w:val="216"/>
        </w:trPr>
        <w:tc>
          <w:tcPr>
            <w:tcW w:w="870" w:type="dxa"/>
            <w:vAlign w:val="bottom"/>
            <w:shd w:val="clear" w:color="auto" w:fill="CCEEFF"/>
          </w:tcPr>
          <w:p>
            <w:pPr>
              <w:spacing w:after="0"/>
              <w:rPr>
                <w:sz w:val="18"/>
                <w:szCs w:val="18"/>
                <w:color w:val="auto"/>
              </w:rPr>
            </w:pPr>
          </w:p>
        </w:tc>
        <w:tc>
          <w:tcPr>
            <w:tcW w:w="2450" w:type="dxa"/>
            <w:vAlign w:val="bottom"/>
            <w:shd w:val="clear" w:color="auto" w:fill="CCEEFF"/>
          </w:tcPr>
          <w:p>
            <w:pPr>
              <w:ind w:left="110"/>
              <w:spacing w:after="0"/>
              <w:rPr>
                <w:sz w:val="20"/>
                <w:szCs w:val="20"/>
                <w:color w:val="auto"/>
              </w:rPr>
            </w:pPr>
            <w:r>
              <w:rPr>
                <w:rFonts w:ascii="Arial" w:cs="Arial" w:eastAsia="Arial" w:hAnsi="Arial"/>
                <w:sz w:val="18"/>
                <w:szCs w:val="18"/>
                <w:color w:val="auto"/>
              </w:rPr>
              <w:t>(b)</w:t>
            </w:r>
          </w:p>
        </w:tc>
        <w:tc>
          <w:tcPr>
            <w:tcW w:w="4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3.04</w:t>
            </w:r>
          </w:p>
        </w:tc>
      </w:tr>
      <w:tr>
        <w:trPr>
          <w:trHeight w:val="216"/>
        </w:trPr>
        <w:tc>
          <w:tcPr>
            <w:tcW w:w="870" w:type="dxa"/>
            <w:vAlign w:val="bottom"/>
            <w:shd w:val="clear" w:color="auto" w:fill="CCEEFF"/>
          </w:tcPr>
          <w:p>
            <w:pPr>
              <w:spacing w:after="0"/>
              <w:rPr>
                <w:sz w:val="18"/>
                <w:szCs w:val="18"/>
                <w:color w:val="auto"/>
              </w:rPr>
            </w:pPr>
          </w:p>
        </w:tc>
        <w:tc>
          <w:tcPr>
            <w:tcW w:w="2450" w:type="dxa"/>
            <w:vAlign w:val="bottom"/>
            <w:shd w:val="clear" w:color="auto" w:fill="CCEEFF"/>
          </w:tcPr>
          <w:p>
            <w:pPr>
              <w:ind w:left="110"/>
              <w:spacing w:after="0"/>
              <w:rPr>
                <w:sz w:val="20"/>
                <w:szCs w:val="20"/>
                <w:color w:val="auto"/>
              </w:rPr>
            </w:pPr>
            <w:r>
              <w:rPr>
                <w:rFonts w:ascii="Arial" w:cs="Arial" w:eastAsia="Arial" w:hAnsi="Arial"/>
                <w:sz w:val="18"/>
                <w:szCs w:val="18"/>
                <w:color w:val="auto"/>
              </w:rPr>
              <w:t>318 (a)</w:t>
            </w:r>
          </w:p>
        </w:tc>
        <w:tc>
          <w:tcPr>
            <w:tcW w:w="4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10.08</w:t>
            </w:r>
          </w:p>
        </w:tc>
      </w:tr>
      <w:tr>
        <w:trPr>
          <w:trHeight w:val="216"/>
        </w:trPr>
        <w:tc>
          <w:tcPr>
            <w:tcW w:w="870" w:type="dxa"/>
            <w:vAlign w:val="bottom"/>
            <w:shd w:val="clear" w:color="auto" w:fill="CCEEFF"/>
          </w:tcPr>
          <w:p>
            <w:pPr>
              <w:spacing w:after="0"/>
              <w:rPr>
                <w:sz w:val="18"/>
                <w:szCs w:val="18"/>
                <w:color w:val="auto"/>
              </w:rPr>
            </w:pPr>
          </w:p>
        </w:tc>
        <w:tc>
          <w:tcPr>
            <w:tcW w:w="2450" w:type="dxa"/>
            <w:vAlign w:val="bottom"/>
            <w:shd w:val="clear" w:color="auto" w:fill="CCEEFF"/>
          </w:tcPr>
          <w:p>
            <w:pPr>
              <w:ind w:left="110"/>
              <w:spacing w:after="0"/>
              <w:rPr>
                <w:sz w:val="20"/>
                <w:szCs w:val="20"/>
                <w:color w:val="auto"/>
              </w:rPr>
            </w:pPr>
            <w:r>
              <w:rPr>
                <w:rFonts w:ascii="Arial" w:cs="Arial" w:eastAsia="Arial" w:hAnsi="Arial"/>
                <w:sz w:val="18"/>
                <w:szCs w:val="18"/>
                <w:color w:val="auto"/>
              </w:rPr>
              <w:t>(b)</w:t>
            </w:r>
          </w:p>
        </w:tc>
        <w:tc>
          <w:tcPr>
            <w:tcW w:w="4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Not Applicable</w:t>
            </w:r>
          </w:p>
        </w:tc>
      </w:tr>
      <w:tr>
        <w:trPr>
          <w:trHeight w:val="230"/>
        </w:trPr>
        <w:tc>
          <w:tcPr>
            <w:tcW w:w="870" w:type="dxa"/>
            <w:vAlign w:val="bottom"/>
            <w:shd w:val="clear" w:color="auto" w:fill="CCEEFF"/>
          </w:tcPr>
          <w:p>
            <w:pPr>
              <w:spacing w:after="0"/>
              <w:rPr>
                <w:sz w:val="20"/>
                <w:szCs w:val="20"/>
                <w:color w:val="auto"/>
              </w:rPr>
            </w:pPr>
          </w:p>
        </w:tc>
        <w:tc>
          <w:tcPr>
            <w:tcW w:w="2450" w:type="dxa"/>
            <w:vAlign w:val="bottom"/>
            <w:shd w:val="clear" w:color="auto" w:fill="CCEEFF"/>
          </w:tcPr>
          <w:p>
            <w:pPr>
              <w:ind w:left="110"/>
              <w:spacing w:after="0"/>
              <w:rPr>
                <w:sz w:val="20"/>
                <w:szCs w:val="20"/>
                <w:color w:val="auto"/>
              </w:rPr>
            </w:pPr>
            <w:r>
              <w:rPr>
                <w:rFonts w:ascii="Arial" w:cs="Arial" w:eastAsia="Arial" w:hAnsi="Arial"/>
                <w:sz w:val="18"/>
                <w:szCs w:val="18"/>
                <w:color w:val="auto"/>
              </w:rPr>
              <w:t>(c)</w:t>
            </w:r>
          </w:p>
        </w:tc>
        <w:tc>
          <w:tcPr>
            <w:tcW w:w="4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002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3">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*This Cross-Reference Table does not constitute part of the Indenture and shall not have any bearing on the interpretation of any of its terms or provisions.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960" w:right="180" w:firstLine="648"/>
        <w:spacing w:after="0" w:line="277" w:lineRule="auto"/>
        <w:rPr>
          <w:sz w:val="20"/>
          <w:szCs w:val="20"/>
          <w:color w:val="auto"/>
        </w:rPr>
      </w:pPr>
      <w:r>
        <w:rPr>
          <w:rFonts w:ascii="Arial" w:cs="Arial" w:eastAsia="Arial" w:hAnsi="Arial"/>
          <w:sz w:val="18"/>
          <w:szCs w:val="18"/>
          <w:color w:val="auto"/>
        </w:rPr>
        <w:t>THIS INDENTURE, dated as of , between GasLog Partners LP, a limited partnership organized under the laws of the Republic of the Marshall Islands (the “</w:t>
      </w:r>
      <w:r>
        <w:rPr>
          <w:rFonts w:ascii="Arial" w:cs="Arial" w:eastAsia="Arial" w:hAnsi="Arial"/>
          <w:sz w:val="18"/>
          <w:szCs w:val="18"/>
          <w:u w:val="single" w:color="auto"/>
          <w:color w:val="auto"/>
        </w:rPr>
        <w:t>Issuer</w:t>
      </w:r>
      <w:r>
        <w:rPr>
          <w:rFonts w:ascii="Arial" w:cs="Arial" w:eastAsia="Arial" w:hAnsi="Arial"/>
          <w:sz w:val="18"/>
          <w:szCs w:val="18"/>
          <w:color w:val="auto"/>
        </w:rPr>
        <w:t>”), and [ ], as trustee (the “</w:t>
      </w:r>
      <w:r>
        <w:rPr>
          <w:rFonts w:ascii="Arial" w:cs="Arial" w:eastAsia="Arial" w:hAnsi="Arial"/>
          <w:sz w:val="18"/>
          <w:szCs w:val="18"/>
          <w:u w:val="single" w:color="auto"/>
          <w:color w:val="auto"/>
        </w:rPr>
        <w:t>Trustee</w:t>
      </w:r>
      <w:r>
        <w:rPr>
          <w:rFonts w:ascii="Arial" w:cs="Arial" w:eastAsia="Arial" w:hAnsi="Arial"/>
          <w:sz w:val="18"/>
          <w:szCs w:val="18"/>
          <w:color w:val="auto"/>
        </w:rPr>
        <w:t>”),</w:t>
      </w:r>
    </w:p>
    <w:p>
      <w:pPr>
        <w:spacing w:after="0" w:line="170" w:lineRule="exact"/>
        <w:rPr>
          <w:sz w:val="20"/>
          <w:szCs w:val="20"/>
          <w:color w:val="auto"/>
        </w:rPr>
      </w:pPr>
    </w:p>
    <w:p>
      <w:pPr>
        <w:ind w:firstLine="1296"/>
        <w:spacing w:after="0" w:line="263" w:lineRule="auto"/>
        <w:rPr>
          <w:sz w:val="20"/>
          <w:szCs w:val="20"/>
          <w:color w:val="auto"/>
        </w:rPr>
      </w:pPr>
      <w:r>
        <w:rPr>
          <w:rFonts w:ascii="Arial" w:cs="Arial" w:eastAsia="Arial" w:hAnsi="Arial"/>
          <w:sz w:val="18"/>
          <w:szCs w:val="18"/>
          <w:color w:val="auto"/>
        </w:rPr>
        <w:t>In consideration of the premises and the purchases of the debentures, notes or other evidences of indebtedness of the Issuer to be issued in one or more series (the “</w:t>
      </w:r>
      <w:r>
        <w:rPr>
          <w:rFonts w:ascii="Arial" w:cs="Arial" w:eastAsia="Arial" w:hAnsi="Arial"/>
          <w:sz w:val="18"/>
          <w:szCs w:val="18"/>
          <w:u w:val="single" w:color="auto"/>
          <w:color w:val="auto"/>
        </w:rPr>
        <w:t>Securities</w:t>
      </w:r>
      <w:r>
        <w:rPr>
          <w:rFonts w:ascii="Arial" w:cs="Arial" w:eastAsia="Arial" w:hAnsi="Arial"/>
          <w:sz w:val="18"/>
          <w:szCs w:val="18"/>
          <w:color w:val="auto"/>
        </w:rPr>
        <w:t>”) by the holders thereof, the Issuer and the Trustee mutually covenant and agree for the equal and proportionate benefit of the respective holders from time to time of the Securities as follows: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Definitions</w:t>
      </w:r>
    </w:p>
    <w:p>
      <w:pPr>
        <w:spacing w:after="0" w:line="225" w:lineRule="exact"/>
        <w:rPr>
          <w:sz w:val="20"/>
          <w:szCs w:val="20"/>
          <w:color w:val="auto"/>
        </w:rPr>
      </w:pPr>
    </w:p>
    <w:p>
      <w:pPr>
        <w:ind w:right="20" w:firstLine="1296"/>
        <w:spacing w:after="0" w:line="269" w:lineRule="auto"/>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u w:val="single" w:color="auto"/>
          <w:color w:val="auto"/>
        </w:rPr>
        <w:t>Certain Terms Defined.</w:t>
      </w:r>
      <w:r>
        <w:rPr>
          <w:rFonts w:ascii="Arial" w:cs="Arial" w:eastAsia="Arial" w:hAnsi="Arial"/>
          <w:sz w:val="17"/>
          <w:szCs w:val="17"/>
          <w:color w:val="auto"/>
        </w:rPr>
        <w:t xml:space="preserve"> The following terms (except as otherwise expressly provided herein or in any indenture supplemental hereto, or unless the context otherwise clearly requires) for all purposes of this Indenture and of any indenture supplemental hereto shall have the respective meanings specified in this Section. All other terms used in this Indenture that are defined in the Trust Indenture Act of 1939 or the definitions of which in the Securities Act of 1933, as amended, are referred to in the Trust Indenture Act of 1939, including terms defined therein by reference to the Securities Act of 1933, as amended (except as herein otherwise expressly provided or unless the context otherwise clearly requires), shall have the meanings assigned to such terms in said Trust Indenture Act and in said Securities Act as in force at the date of this Indenture. All accounting terms used herein and not expressly defined shall have the meanings assigned to such terms in accordance with generally accepted accounting principles, and the term “generally accepted accounting principles” means such accounting principles as are generally accepted at the time of any computation. The words “herein”, “hereof” and “hereunder” and other words of similar import refer to this Indenture as a whole and not to any particular Article, Section or other subdivision. The terms defined in this Article have the meanings assigned to them in this Article and include the plural as well as the singular. The words “including”, “includes” and similar words shall be deemed to be followed by “without limitation”.</w:t>
      </w:r>
    </w:p>
    <w:p>
      <w:pPr>
        <w:sectPr>
          <w:pgSz w:w="11900" w:h="16838" w:orient="portrait"/>
          <w:cols w:equalWidth="0" w:num="1">
            <w:col w:w="11240"/>
          </w:cols>
          <w:pgMar w:left="320" w:top="337" w:right="339" w:bottom="0" w:gutter="0" w:footer="0" w:header="0"/>
        </w:sectPr>
      </w:pPr>
    </w:p>
    <w:bookmarkStart w:id="110" w:name="page111"/>
    <w:bookmarkEnd w:id="110"/>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Authorized Agent</w:t>
      </w:r>
      <w:r>
        <w:rPr>
          <w:rFonts w:ascii="Arial" w:cs="Arial" w:eastAsia="Arial" w:hAnsi="Arial"/>
          <w:sz w:val="18"/>
          <w:szCs w:val="18"/>
          <w:color w:val="auto"/>
        </w:rPr>
        <w:t>” shall have the meaning set forth in Section 10.13.</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Bearer Security</w:t>
      </w:r>
      <w:r>
        <w:rPr>
          <w:rFonts w:ascii="Arial" w:cs="Arial" w:eastAsia="Arial" w:hAnsi="Arial"/>
          <w:sz w:val="18"/>
          <w:szCs w:val="18"/>
          <w:color w:val="auto"/>
        </w:rPr>
        <w:t>” means any Security other than a Registered Security.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Board</w:t>
      </w:r>
      <w:r>
        <w:rPr>
          <w:rFonts w:ascii="Arial" w:cs="Arial" w:eastAsia="Arial" w:hAnsi="Arial"/>
          <w:sz w:val="16"/>
          <w:szCs w:val="16"/>
          <w:color w:val="auto"/>
        </w:rPr>
        <w:t>” means either the board of directors of the Issuer or any committee of such board of directors duly authorized to act hereunder.</w:t>
      </w:r>
    </w:p>
    <w:p>
      <w:pPr>
        <w:spacing w:after="0" w:line="248"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Resolution</w:t>
      </w:r>
      <w:r>
        <w:rPr>
          <w:rFonts w:ascii="Arial" w:cs="Arial" w:eastAsia="Arial" w:hAnsi="Arial"/>
          <w:sz w:val="18"/>
          <w:szCs w:val="18"/>
          <w:color w:val="auto"/>
        </w:rPr>
        <w:t>” means one or more resolutions, certified by the secretary of the Board to have been duly adopted or consented to by the Board and to be in full force and effect, and delivered to the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183515</wp:posOffset>
            </wp:positionV>
            <wp:extent cx="715327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00"/>
          </w:cols>
          <w:pgMar w:left="320" w:top="341" w:right="479" w:bottom="1440" w:gutter="0" w:footer="0" w:header="0"/>
        </w:sectPr>
      </w:pPr>
    </w:p>
    <w:bookmarkStart w:id="111" w:name="page112"/>
    <w:bookmarkEnd w:id="111"/>
    <w:p>
      <w:pPr>
        <w:jc w:val="both"/>
        <w:ind w:right="100" w:firstLine="129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means, with respect to any Security, a day that in the city (or in any of the cities, if more than one) in which amounts are payable, as specified in the form of such Security, is not a day on which banking institutions are authorized by law or regulation to close.</w:t>
      </w:r>
    </w:p>
    <w:p>
      <w:pPr>
        <w:spacing w:after="0" w:line="124" w:lineRule="exact"/>
        <w:rPr>
          <w:sz w:val="20"/>
          <w:szCs w:val="20"/>
          <w:color w:val="auto"/>
        </w:rPr>
      </w:pPr>
    </w:p>
    <w:p>
      <w:pPr>
        <w:jc w:val="both"/>
        <w:ind w:right="80"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Securities and Exchange Commission, as from time to time constituted, created under the Securities Exchange Act of 1934, or if at any time after the execution and delivery of this Indenture such Commission is not existing and performing the duties now assigned to it under the Trust Indenture Act, then the body performing such duties on such date.</w:t>
      </w:r>
    </w:p>
    <w:p>
      <w:pPr>
        <w:spacing w:after="0" w:line="184" w:lineRule="exact"/>
        <w:rPr>
          <w:sz w:val="20"/>
          <w:szCs w:val="20"/>
          <w:color w:val="auto"/>
        </w:rPr>
      </w:pPr>
    </w:p>
    <w:p>
      <w:pPr>
        <w:ind w:right="34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Corporate Trust Office</w:t>
      </w:r>
      <w:r>
        <w:rPr>
          <w:rFonts w:ascii="Arial" w:cs="Arial" w:eastAsia="Arial" w:hAnsi="Arial"/>
          <w:sz w:val="18"/>
          <w:szCs w:val="18"/>
          <w:color w:val="auto"/>
        </w:rPr>
        <w:t>” means the office of the Trustee located in the City of New York at which at any particular time its corporate trust business shall be administered.</w:t>
      </w:r>
    </w:p>
    <w:p>
      <w:pPr>
        <w:spacing w:after="0" w:line="170" w:lineRule="exact"/>
        <w:rPr>
          <w:sz w:val="20"/>
          <w:szCs w:val="20"/>
          <w:color w:val="auto"/>
        </w:rPr>
      </w:pPr>
    </w:p>
    <w:p>
      <w:pPr>
        <w:ind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Depositary</w:t>
      </w:r>
      <w:r>
        <w:rPr>
          <w:rFonts w:ascii="Arial" w:cs="Arial" w:eastAsia="Arial" w:hAnsi="Arial"/>
          <w:sz w:val="18"/>
          <w:szCs w:val="18"/>
          <w:color w:val="auto"/>
        </w:rPr>
        <w:t>” means, with respect to the Securities of any series issuable or issued in the form of one or more Registered Global Securities, the Person designated as Depositary by the Issuer pursuant to Section 2.03 until a successor Depositary shall have become such pursuant to the applicable provisions of this Indenture, and thereafter “Depositary” shall mean or include each Person who is then a Depositary hereunder, and if at any time there is more than one such Person, “Depositary” as used with respect to the Securities of any such series shall mean the Depositary with respect to the Registered Global Securities of that series.</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Dollar</w:t>
      </w:r>
      <w:r>
        <w:rPr>
          <w:rFonts w:ascii="Arial" w:cs="Arial" w:eastAsia="Arial" w:hAnsi="Arial"/>
          <w:sz w:val="16"/>
          <w:szCs w:val="16"/>
          <w:color w:val="auto"/>
        </w:rPr>
        <w:t>” means the coin or currency of the United States of America as at the time of payment is legal tender for the payment of public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private debts.</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means any event or condition specified as such in Section 4.01.</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w:t>
      </w:r>
      <w:r>
        <w:rPr>
          <w:rFonts w:ascii="Arial" w:cs="Arial" w:eastAsia="Arial" w:hAnsi="Arial"/>
          <w:sz w:val="18"/>
          <w:szCs w:val="18"/>
          <w:u w:val="single" w:color="auto"/>
          <w:color w:val="auto"/>
        </w:rPr>
        <w:t>Holder of Securities</w:t>
      </w:r>
      <w:r>
        <w:rPr>
          <w:rFonts w:ascii="Arial" w:cs="Arial" w:eastAsia="Arial" w:hAnsi="Arial"/>
          <w:sz w:val="18"/>
          <w:szCs w:val="18"/>
          <w:color w:val="auto"/>
        </w:rPr>
        <w:t>”, “</w:t>
      </w:r>
      <w:r>
        <w:rPr>
          <w:rFonts w:ascii="Arial" w:cs="Arial" w:eastAsia="Arial" w:hAnsi="Arial"/>
          <w:sz w:val="18"/>
          <w:szCs w:val="18"/>
          <w:u w:val="single" w:color="auto"/>
          <w:color w:val="auto"/>
        </w:rPr>
        <w:t>Securityholder</w:t>
      </w:r>
      <w:r>
        <w:rPr>
          <w:rFonts w:ascii="Arial" w:cs="Arial" w:eastAsia="Arial" w:hAnsi="Arial"/>
          <w:sz w:val="18"/>
          <w:szCs w:val="18"/>
          <w:color w:val="auto"/>
        </w:rPr>
        <w:t>” or other similar terms mean the registered holder of any Security.</w:t>
      </w:r>
    </w:p>
    <w:p>
      <w:pPr>
        <w:spacing w:after="0" w:line="225" w:lineRule="exact"/>
        <w:rPr>
          <w:sz w:val="20"/>
          <w:szCs w:val="20"/>
          <w:color w:val="auto"/>
        </w:rPr>
      </w:pPr>
    </w:p>
    <w:p>
      <w:pPr>
        <w:ind w:right="680" w:firstLine="129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Indenture</w:t>
      </w:r>
      <w:r>
        <w:rPr>
          <w:rFonts w:ascii="Arial" w:cs="Arial" w:eastAsia="Arial" w:hAnsi="Arial"/>
          <w:sz w:val="16"/>
          <w:szCs w:val="16"/>
          <w:color w:val="auto"/>
        </w:rPr>
        <w:t>” means this instrument as originally executed and delivered or, if amended or supplemented as herein provided, as so amended or supplemented or both, and shall include the forms and terms of particular series of Securities established as contemplated hereunder.</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w:t>
      </w:r>
      <w:r>
        <w:rPr>
          <w:rFonts w:ascii="Arial" w:cs="Arial" w:eastAsia="Arial" w:hAnsi="Arial"/>
          <w:sz w:val="18"/>
          <w:szCs w:val="18"/>
          <w:color w:val="auto"/>
        </w:rPr>
        <w:t>” means, when used with respect to non-interest bearing Securities, interest payable after maturity.</w:t>
      </w:r>
    </w:p>
    <w:p>
      <w:pPr>
        <w:spacing w:after="0" w:line="225" w:lineRule="exact"/>
        <w:rPr>
          <w:sz w:val="20"/>
          <w:szCs w:val="20"/>
          <w:color w:val="auto"/>
        </w:rPr>
      </w:pPr>
    </w:p>
    <w:p>
      <w:pPr>
        <w:ind w:right="36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Issuer</w:t>
      </w:r>
      <w:r>
        <w:rPr>
          <w:rFonts w:ascii="Arial" w:cs="Arial" w:eastAsia="Arial" w:hAnsi="Arial"/>
          <w:sz w:val="18"/>
          <w:szCs w:val="18"/>
          <w:color w:val="auto"/>
        </w:rPr>
        <w:t>” means (except as otherwise provided in Article 5) GasLog Partners LP, a limited partnership organized under the laws of the Republic of the Marshall Islands, and, subject to Article 8, its successors and assigns.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Judgment Currency</w:t>
      </w:r>
      <w:r>
        <w:rPr>
          <w:rFonts w:ascii="Arial" w:cs="Arial" w:eastAsia="Arial" w:hAnsi="Arial"/>
          <w:sz w:val="18"/>
          <w:szCs w:val="18"/>
          <w:color w:val="auto"/>
        </w:rPr>
        <w:t>” shall have the meaning set forth in Section 10.14.</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York Banking Day</w:t>
      </w:r>
      <w:r>
        <w:rPr>
          <w:rFonts w:ascii="Arial" w:cs="Arial" w:eastAsia="Arial" w:hAnsi="Arial"/>
          <w:sz w:val="18"/>
          <w:szCs w:val="18"/>
          <w:color w:val="auto"/>
        </w:rPr>
        <w:t>” shall have the meaning set forth in Section 10.14.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2" w:name="page113"/>
    <w:bookmarkEnd w:id="112"/>
    <w:p>
      <w:pPr>
        <w:ind w:right="66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Non-U.S. Currency</w:t>
      </w:r>
      <w:r>
        <w:rPr>
          <w:rFonts w:ascii="Arial" w:cs="Arial" w:eastAsia="Arial" w:hAnsi="Arial"/>
          <w:sz w:val="18"/>
          <w:szCs w:val="18"/>
          <w:color w:val="auto"/>
        </w:rPr>
        <w:t>” means a currency issued by the government of a country other than the United States (or any currency unit comprised of any such currencies).</w:t>
      </w:r>
    </w:p>
    <w:p>
      <w:pPr>
        <w:spacing w:after="0" w:line="170" w:lineRule="exact"/>
        <w:rPr>
          <w:sz w:val="20"/>
          <w:szCs w:val="20"/>
          <w:color w:val="auto"/>
        </w:rPr>
      </w:pPr>
    </w:p>
    <w:p>
      <w:pPr>
        <w:ind w:right="220"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Officers’ Certificate</w:t>
      </w:r>
      <w:r>
        <w:rPr>
          <w:rFonts w:ascii="Arial" w:cs="Arial" w:eastAsia="Arial" w:hAnsi="Arial"/>
          <w:sz w:val="18"/>
          <w:szCs w:val="18"/>
          <w:color w:val="auto"/>
        </w:rPr>
        <w:t>” means a certificate (i) signed by any officer of the Issuer authorized by the Board to execute any such certificate and (ii) delivered to the Trustee. Each such certificate shall comply with Section 314 of the Trust Indenture Act of 1939 and include the statements provided for in Section 10.06, if and to the extent required hereby.</w:t>
      </w:r>
    </w:p>
    <w:p>
      <w:pPr>
        <w:spacing w:after="0" w:line="184" w:lineRule="exact"/>
        <w:rPr>
          <w:sz w:val="20"/>
          <w:szCs w:val="20"/>
          <w:color w:val="auto"/>
        </w:rPr>
      </w:pPr>
    </w:p>
    <w:p>
      <w:pPr>
        <w:ind w:right="520"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Opinion of Counsel</w:t>
      </w:r>
      <w:r>
        <w:rPr>
          <w:rFonts w:ascii="Arial" w:cs="Arial" w:eastAsia="Arial" w:hAnsi="Arial"/>
          <w:sz w:val="18"/>
          <w:szCs w:val="18"/>
          <w:color w:val="auto"/>
        </w:rPr>
        <w:t>” means an opinion reasonably satisfactory to the Trustee in writing signed by legal counsel who may be an employee of or counsel to the Issuer. Each such opinion shall comply with Section 314 of the Trust Indenture Act of 1939 and include the statements provided for in Section 10.06, if and to the extent required hereby.</w:t>
      </w:r>
    </w:p>
    <w:p>
      <w:pPr>
        <w:spacing w:after="0" w:line="184" w:lineRule="exact"/>
        <w:rPr>
          <w:sz w:val="20"/>
          <w:szCs w:val="20"/>
          <w:color w:val="auto"/>
        </w:rPr>
      </w:pPr>
    </w:p>
    <w:p>
      <w:pPr>
        <w:ind w:right="60" w:firstLine="129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Original Issue Date</w:t>
      </w:r>
      <w:r>
        <w:rPr>
          <w:rFonts w:ascii="Arial" w:cs="Arial" w:eastAsia="Arial" w:hAnsi="Arial"/>
          <w:sz w:val="17"/>
          <w:szCs w:val="17"/>
          <w:color w:val="auto"/>
        </w:rPr>
        <w:t>” of any Security (or portion thereof) means the earlier of (a) the date of such Security or (b) the date of any Security (or portion thereof) for which such Security was issued (directly or indirectly) on registration of transfer, exchange or substitution.</w:t>
      </w:r>
    </w:p>
    <w:p>
      <w:pPr>
        <w:spacing w:after="0" w:line="146" w:lineRule="exact"/>
        <w:rPr>
          <w:sz w:val="20"/>
          <w:szCs w:val="20"/>
          <w:color w:val="auto"/>
        </w:rPr>
      </w:pPr>
    </w:p>
    <w:p>
      <w:pPr>
        <w:ind w:right="16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Issue Discount Security</w:t>
      </w:r>
      <w:r>
        <w:rPr>
          <w:rFonts w:ascii="Arial" w:cs="Arial" w:eastAsia="Arial" w:hAnsi="Arial"/>
          <w:sz w:val="18"/>
          <w:szCs w:val="18"/>
          <w:color w:val="auto"/>
        </w:rPr>
        <w:t>” means any Security that provides for an amount less than the principal amount thereof to be due and payable upon a declaration of acceleration of the maturity thereof pursuant to Section 4.01.</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Outstanding</w:t>
      </w:r>
      <w:r>
        <w:rPr>
          <w:rFonts w:ascii="Arial" w:cs="Arial" w:eastAsia="Arial" w:hAnsi="Arial"/>
          <w:sz w:val="16"/>
          <w:szCs w:val="16"/>
          <w:color w:val="auto"/>
        </w:rPr>
        <w:t>”, when used with reference to Securities, shall, subject to the provisions of Section 6.04, mean, as of any particular time, all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Securities authenticated and delivered by the Trustee under this Indenture, except:</w:t>
      </w:r>
    </w:p>
    <w:p>
      <w:pPr>
        <w:spacing w:after="0" w:line="211" w:lineRule="exact"/>
        <w:rPr>
          <w:sz w:val="20"/>
          <w:szCs w:val="20"/>
          <w:color w:val="auto"/>
        </w:rPr>
      </w:pPr>
    </w:p>
    <w:p>
      <w:pPr>
        <w:ind w:left="1540" w:hanging="236"/>
        <w:spacing w:after="0"/>
        <w:tabs>
          <w:tab w:leader="none" w:pos="15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Securities theretofore cancelled by the Trustee or delivered to the Trustee for cancellation;</w:t>
      </w:r>
    </w:p>
    <w:p>
      <w:pPr>
        <w:spacing w:after="0" w:line="225" w:lineRule="exact"/>
        <w:rPr>
          <w:rFonts w:ascii="Arial" w:cs="Arial" w:eastAsia="Arial" w:hAnsi="Arial"/>
          <w:sz w:val="18"/>
          <w:szCs w:val="18"/>
          <w:color w:val="auto"/>
        </w:rPr>
      </w:pPr>
    </w:p>
    <w:p>
      <w:pPr>
        <w:ind w:left="660" w:firstLine="644"/>
        <w:spacing w:after="0" w:line="257" w:lineRule="auto"/>
        <w:tabs>
          <w:tab w:leader="none" w:pos="1563"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Securities, or portions thereof, for the payment or redemption of which moneys in the necessary amount shall have been deposited in trust with the Trustee or with any paying agent (other than the Issuer) or shall have been set aside, segregated and held in trust by the Issuer for the Holders of such Securities (if the Issuer shall act as its own paying agent), provided that if such Securities, or portions thereof, are to be redeemed prior to the maturity thereof, notice of such redemption shall have been given as herein provided, or provision satisfactory to the Trustee shall have been made for giving such notice; and</w:t>
      </w:r>
    </w:p>
    <w:p>
      <w:pPr>
        <w:spacing w:after="0" w:line="187" w:lineRule="exact"/>
        <w:rPr>
          <w:rFonts w:ascii="Arial" w:cs="Arial" w:eastAsia="Arial" w:hAnsi="Arial"/>
          <w:sz w:val="18"/>
          <w:szCs w:val="18"/>
          <w:color w:val="auto"/>
        </w:rPr>
      </w:pPr>
    </w:p>
    <w:p>
      <w:pPr>
        <w:ind w:left="660" w:right="140" w:firstLine="644"/>
        <w:spacing w:after="0" w:line="286" w:lineRule="auto"/>
        <w:tabs>
          <w:tab w:leader="none" w:pos="1553" w:val="left"/>
        </w:tabs>
        <w:numPr>
          <w:ilvl w:val="0"/>
          <w:numId w:val="105"/>
        </w:numPr>
        <w:rPr>
          <w:rFonts w:ascii="Arial" w:cs="Arial" w:eastAsia="Arial" w:hAnsi="Arial"/>
          <w:sz w:val="17"/>
          <w:szCs w:val="17"/>
          <w:color w:val="auto"/>
        </w:rPr>
      </w:pPr>
      <w:r>
        <w:rPr>
          <w:rFonts w:ascii="Arial" w:cs="Arial" w:eastAsia="Arial" w:hAnsi="Arial"/>
          <w:sz w:val="17"/>
          <w:szCs w:val="17"/>
          <w:color w:val="auto"/>
        </w:rPr>
        <w:t>Securities in substitution for which other Securities shall have been authenticated and delivered, or which shall have been paid, pursuant to the terms of Section 2.09 (except with respect to any such Security as to which proof satisfactory to the Trustee is presented that such Security is held by a person in whose hands such Security is a legal, valid and binding obligation of the Issuer).</w:t>
      </w:r>
    </w:p>
    <w:p>
      <w:pPr>
        <w:spacing w:after="0" w:line="165" w:lineRule="exact"/>
        <w:rPr>
          <w:sz w:val="20"/>
          <w:szCs w:val="20"/>
          <w:color w:val="auto"/>
        </w:rPr>
      </w:pPr>
    </w:p>
    <w:p>
      <w:pPr>
        <w:ind w:right="600" w:firstLine="1296"/>
        <w:spacing w:after="0" w:line="277" w:lineRule="auto"/>
        <w:rPr>
          <w:sz w:val="20"/>
          <w:szCs w:val="20"/>
          <w:color w:val="auto"/>
        </w:rPr>
      </w:pPr>
      <w:r>
        <w:rPr>
          <w:rFonts w:ascii="Arial" w:cs="Arial" w:eastAsia="Arial" w:hAnsi="Arial"/>
          <w:sz w:val="18"/>
          <w:szCs w:val="18"/>
          <w:color w:val="auto"/>
        </w:rPr>
        <w:t>In determining whether the Holders of the requisite principal amount of Outstanding Securities of any or all series have given any request, demand, authorization,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3" w:name="page114"/>
    <w:bookmarkEnd w:id="113"/>
    <w:p>
      <w:pPr>
        <w:jc w:val="both"/>
        <w:ind w:right="80"/>
        <w:spacing w:after="0" w:line="263" w:lineRule="auto"/>
        <w:rPr>
          <w:sz w:val="20"/>
          <w:szCs w:val="20"/>
          <w:color w:val="auto"/>
        </w:rPr>
      </w:pPr>
      <w:r>
        <w:rPr>
          <w:rFonts w:ascii="Arial" w:cs="Arial" w:eastAsia="Arial" w:hAnsi="Arial"/>
          <w:sz w:val="18"/>
          <w:szCs w:val="18"/>
          <w:color w:val="auto"/>
        </w:rPr>
        <w:t>direction, notice, consent or waiver hereunder, the principal amount of an Original Issue Discount Security that shall be deemed to be Outstanding for such purposes shall be the amount of the principal thereof that would be due and payable as of the date of such determination upon a declaration of acceleration of the maturity thereof pursuant to Section 4.01.</w:t>
      </w:r>
    </w:p>
    <w:p>
      <w:pPr>
        <w:spacing w:after="0" w:line="184" w:lineRule="exact"/>
        <w:rPr>
          <w:sz w:val="20"/>
          <w:szCs w:val="20"/>
          <w:color w:val="auto"/>
        </w:rPr>
      </w:pPr>
    </w:p>
    <w:p>
      <w:pPr>
        <w:ind w:right="10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limited liability company, partnership, joint venture, association, joint stock company, trust, unincorporated organization or government or any agency or political subdivision thereof.</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Principal</w:t>
      </w:r>
      <w:r>
        <w:rPr>
          <w:rFonts w:ascii="Arial" w:cs="Arial" w:eastAsia="Arial" w:hAnsi="Arial"/>
          <w:sz w:val="17"/>
          <w:szCs w:val="17"/>
          <w:color w:val="auto"/>
        </w:rPr>
        <w:t>” whenever used with reference to the Securities or any Security or any portion thereof, shall be deemed to include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premium, if any”.</w:t>
      </w:r>
    </w:p>
    <w:p>
      <w:pPr>
        <w:spacing w:after="0" w:line="211" w:lineRule="exact"/>
        <w:rPr>
          <w:sz w:val="20"/>
          <w:szCs w:val="20"/>
          <w:color w:val="auto"/>
        </w:rPr>
      </w:pPr>
    </w:p>
    <w:p>
      <w:pPr>
        <w:ind w:right="24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Registered Global Security</w:t>
      </w:r>
      <w:r>
        <w:rPr>
          <w:rFonts w:ascii="Arial" w:cs="Arial" w:eastAsia="Arial" w:hAnsi="Arial"/>
          <w:sz w:val="18"/>
          <w:szCs w:val="18"/>
          <w:color w:val="auto"/>
        </w:rPr>
        <w:t>” means a Security evidencing all or a part of a series of Registered Securities, issued to the Depositary for such series in accordance with Section 2.03, and bearing the legend prescribed by the applicable supplemental indenture.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Registered Security</w:t>
      </w:r>
      <w:r>
        <w:rPr>
          <w:rFonts w:ascii="Arial" w:cs="Arial" w:eastAsia="Arial" w:hAnsi="Arial"/>
          <w:sz w:val="18"/>
          <w:szCs w:val="18"/>
          <w:color w:val="auto"/>
        </w:rPr>
        <w:t>” means any Security registered on the Security register of the Issuer.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Currency</w:t>
      </w:r>
      <w:r>
        <w:rPr>
          <w:rFonts w:ascii="Arial" w:cs="Arial" w:eastAsia="Arial" w:hAnsi="Arial"/>
          <w:sz w:val="18"/>
          <w:szCs w:val="18"/>
          <w:color w:val="auto"/>
        </w:rPr>
        <w:t>” shall have the meaning set forth in Section 10.14.</w:t>
      </w:r>
    </w:p>
    <w:p>
      <w:pPr>
        <w:spacing w:after="0" w:line="225" w:lineRule="exact"/>
        <w:rPr>
          <w:sz w:val="20"/>
          <w:szCs w:val="20"/>
          <w:color w:val="auto"/>
        </w:rPr>
      </w:pPr>
    </w:p>
    <w:p>
      <w:pPr>
        <w:ind w:right="40"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when used with respect to the Trustee means any officer of the Trustee, including any vice president, assistant vice president, secretary, assistant secretary, any assistant treasurer, any trust officer, or any other officer of the Trustee customarily performing functions similar to those performed by any of the above designated officers and also means, with respect to a particular corporate trust matter, any other officer to whom such matter is referred because of such officer’s knowledge of and familiarity with that particular subject and who shall have direct responsibility for the administration of this Indenture.</w:t>
      </w:r>
    </w:p>
    <w:p>
      <w:pPr>
        <w:spacing w:after="0" w:line="188" w:lineRule="exact"/>
        <w:rPr>
          <w:sz w:val="20"/>
          <w:szCs w:val="20"/>
          <w:color w:val="auto"/>
        </w:rPr>
      </w:pPr>
    </w:p>
    <w:p>
      <w:pPr>
        <w:ind w:right="34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w:t>
      </w:r>
      <w:r>
        <w:rPr>
          <w:rFonts w:ascii="Arial" w:cs="Arial" w:eastAsia="Arial" w:hAnsi="Arial"/>
          <w:sz w:val="18"/>
          <w:szCs w:val="18"/>
          <w:color w:val="auto"/>
        </w:rPr>
        <w:t>” or “</w:t>
      </w:r>
      <w:r>
        <w:rPr>
          <w:rFonts w:ascii="Arial" w:cs="Arial" w:eastAsia="Arial" w:hAnsi="Arial"/>
          <w:sz w:val="18"/>
          <w:szCs w:val="18"/>
          <w:u w:val="single" w:color="auto"/>
          <w:color w:val="auto"/>
        </w:rPr>
        <w:t>Securities</w:t>
      </w:r>
      <w:r>
        <w:rPr>
          <w:rFonts w:ascii="Arial" w:cs="Arial" w:eastAsia="Arial" w:hAnsi="Arial"/>
          <w:sz w:val="18"/>
          <w:szCs w:val="18"/>
          <w:color w:val="auto"/>
        </w:rPr>
        <w:t>” has the meaning stated in the first recital of this Indenture, or, as the case may be, Securities that have been authenticated and delivered under this Indenture.</w:t>
      </w:r>
    </w:p>
    <w:p>
      <w:pPr>
        <w:spacing w:after="0" w:line="170" w:lineRule="exact"/>
        <w:rPr>
          <w:sz w:val="20"/>
          <w:szCs w:val="20"/>
          <w:color w:val="auto"/>
        </w:rPr>
      </w:pPr>
    </w:p>
    <w:p>
      <w:pPr>
        <w:ind w:right="44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Trustee</w:t>
      </w:r>
      <w:r>
        <w:rPr>
          <w:rFonts w:ascii="Arial" w:cs="Arial" w:eastAsia="Arial" w:hAnsi="Arial"/>
          <w:sz w:val="18"/>
          <w:szCs w:val="18"/>
          <w:color w:val="auto"/>
        </w:rPr>
        <w:t>” means the Person identified as “Trustee” in the first paragraph hereof and, subject to the provisions of Article 5, shall also include any successor trustee.</w:t>
      </w:r>
    </w:p>
    <w:p>
      <w:pPr>
        <w:spacing w:after="0" w:line="170" w:lineRule="exact"/>
        <w:rPr>
          <w:sz w:val="20"/>
          <w:szCs w:val="20"/>
          <w:color w:val="auto"/>
        </w:rPr>
      </w:pPr>
    </w:p>
    <w:p>
      <w:pPr>
        <w:ind w:right="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Indenture Act of 1939</w:t>
      </w:r>
      <w:r>
        <w:rPr>
          <w:rFonts w:ascii="Arial" w:cs="Arial" w:eastAsia="Arial" w:hAnsi="Arial"/>
          <w:sz w:val="18"/>
          <w:szCs w:val="18"/>
          <w:color w:val="auto"/>
        </w:rPr>
        <w:t>” (except as otherwise provided in Sections 5.01 and 5.02) means the Trust Indenture Act of 1939 as in force at the date as of which this Indenture was originally executed.</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Government Obligation</w:t>
      </w:r>
      <w:r>
        <w:rPr>
          <w:rFonts w:ascii="Arial" w:cs="Arial" w:eastAsia="Arial" w:hAnsi="Arial"/>
          <w:sz w:val="18"/>
          <w:szCs w:val="18"/>
          <w:color w:val="auto"/>
        </w:rPr>
        <w:t>s” shall have the meaning set forth in Section 9.01.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Yield to Maturity</w:t>
      </w:r>
      <w:r>
        <w:rPr>
          <w:rFonts w:ascii="Arial" w:cs="Arial" w:eastAsia="Arial" w:hAnsi="Arial"/>
          <w:sz w:val="18"/>
          <w:szCs w:val="18"/>
          <w:color w:val="auto"/>
        </w:rPr>
        <w:t>” means the yield to maturity on a series of Securities, calculated at the time of issuance of such series, or, if applicable,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 the most recent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color w:val="auto"/>
        </w:rPr>
        <w:t>redetermination of interest on such series, and calculated in accordance with accepted financial practice.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Securities</w:t>
      </w:r>
    </w:p>
    <w:p>
      <w:pPr>
        <w:spacing w:after="0" w:line="225" w:lineRule="exact"/>
        <w:rPr>
          <w:sz w:val="20"/>
          <w:szCs w:val="20"/>
          <w:color w:val="auto"/>
        </w:rPr>
      </w:pPr>
    </w:p>
    <w:p>
      <w:pPr>
        <w:ind w:firstLine="1296"/>
        <w:spacing w:after="0" w:line="255"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Forms Generally.</w:t>
      </w:r>
      <w:r>
        <w:rPr>
          <w:rFonts w:ascii="Arial" w:cs="Arial" w:eastAsia="Arial" w:hAnsi="Arial"/>
          <w:sz w:val="18"/>
          <w:szCs w:val="18"/>
          <w:color w:val="auto"/>
        </w:rPr>
        <w:t xml:space="preserve"> The Securities of each series shall be substantially in such form (not inconsistent with this Indenture) as shall be established by or pursuant to a resolution of the Board or in one or more indentures supplemental hereto, in each case with such appropriate insertions, omissions, substitutions and other variations as are required or permitted by this Indenture and may have imprinted or otherwise reproduced thereon such legend or legends, not inconsistent with the provisions of this Indenture, as may be required to comply with any law or with any rules or regulations pursuant thereto, or with any rules of any securities exchange or to conform to general usage, all as may be determined by the officers executing such Securities, as evidenced by their execution of the Securities.</w:t>
      </w:r>
    </w:p>
    <w:p>
      <w:pPr>
        <w:spacing w:after="0" w:line="192" w:lineRule="exact"/>
        <w:rPr>
          <w:sz w:val="20"/>
          <w:szCs w:val="20"/>
          <w:color w:val="auto"/>
        </w:rPr>
      </w:pPr>
    </w:p>
    <w:p>
      <w:pPr>
        <w:ind w:right="600" w:firstLine="1296"/>
        <w:spacing w:after="0" w:line="277" w:lineRule="auto"/>
        <w:rPr>
          <w:sz w:val="20"/>
          <w:szCs w:val="20"/>
          <w:color w:val="auto"/>
        </w:rPr>
      </w:pPr>
      <w:r>
        <w:rPr>
          <w:rFonts w:ascii="Arial" w:cs="Arial" w:eastAsia="Arial" w:hAnsi="Arial"/>
          <w:sz w:val="18"/>
          <w:szCs w:val="18"/>
          <w:color w:val="auto"/>
        </w:rPr>
        <w:t>The definitive Securities shall be printed or lithographed on security printed paper or may be produced in any other manner, all as determined by the officers executing such Securities, as evidenced by their execution of such Securities.</w:t>
      </w:r>
    </w:p>
    <w:p>
      <w:pPr>
        <w:spacing w:after="0" w:line="170" w:lineRule="exact"/>
        <w:rPr>
          <w:sz w:val="20"/>
          <w:szCs w:val="20"/>
          <w:color w:val="auto"/>
        </w:rPr>
      </w:pPr>
    </w:p>
    <w:p>
      <w:pPr>
        <w:ind w:right="100" w:firstLine="1296"/>
        <w:spacing w:after="0" w:line="277"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Form of Trustee’s Certification of Authentication.</w:t>
      </w:r>
      <w:r>
        <w:rPr>
          <w:rFonts w:ascii="Arial" w:cs="Arial" w:eastAsia="Arial" w:hAnsi="Arial"/>
          <w:sz w:val="18"/>
          <w:szCs w:val="18"/>
          <w:color w:val="auto"/>
        </w:rPr>
        <w:t xml:space="preserve"> The Trustee’s certificate of authentication on all Securities shall be in substantially the following form:</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This is one of the Securities of the series designated herein and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TRUSTEE,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284607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Authorized</w:t>
      </w:r>
    </w:p>
    <w:p>
      <w:pPr>
        <w:spacing w:after="0" w:line="23"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Signatory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14605</wp:posOffset>
            </wp:positionV>
            <wp:extent cx="30861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0">
                      <a:extLst>
                        <a:ext uri="{28A0092B-C50C-407E-A947-70E740481C1C}"/>
                      </a:extLst>
                    </a:blip>
                    <a:srcRect/>
                    <a:stretch>
                      <a:fillRect/>
                    </a:stretch>
                  </pic:blipFill>
                  <pic:spPr bwMode="auto">
                    <a:xfrm>
                      <a:off x="0" y="0"/>
                      <a:ext cx="3086100" cy="8890"/>
                    </a:xfrm>
                    <a:prstGeom prst="rect">
                      <a:avLst/>
                    </a:prstGeom>
                    <a:noFill/>
                  </pic:spPr>
                </pic:pic>
              </a:graphicData>
            </a:graphic>
          </wp:anchor>
        </w:drawing>
      </w:r>
    </w:p>
    <w:p>
      <w:pPr>
        <w:spacing w:after="0" w:line="219" w:lineRule="exact"/>
        <w:rPr>
          <w:sz w:val="20"/>
          <w:szCs w:val="20"/>
          <w:color w:val="auto"/>
        </w:rPr>
      </w:pPr>
    </w:p>
    <w:p>
      <w:pPr>
        <w:ind w:right="320" w:firstLine="1296"/>
        <w:spacing w:after="0" w:line="277"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Amount Unlimited; Issuable in Series.</w:t>
      </w:r>
      <w:r>
        <w:rPr>
          <w:rFonts w:ascii="Arial" w:cs="Arial" w:eastAsia="Arial" w:hAnsi="Arial"/>
          <w:sz w:val="18"/>
          <w:szCs w:val="18"/>
          <w:color w:val="auto"/>
        </w:rPr>
        <w:t xml:space="preserve"> The aggregate principal amount of Securities which may be authenticated and delivered under this Indenture is unlimited.</w:t>
      </w:r>
    </w:p>
    <w:p>
      <w:pPr>
        <w:spacing w:after="0" w:line="170" w:lineRule="exact"/>
        <w:rPr>
          <w:sz w:val="20"/>
          <w:szCs w:val="20"/>
          <w:color w:val="auto"/>
        </w:rPr>
      </w:pPr>
    </w:p>
    <w:p>
      <w:pPr>
        <w:ind w:right="380" w:firstLine="1296"/>
        <w:spacing w:after="0" w:line="263" w:lineRule="auto"/>
        <w:rPr>
          <w:sz w:val="20"/>
          <w:szCs w:val="20"/>
          <w:color w:val="auto"/>
        </w:rPr>
      </w:pPr>
      <w:r>
        <w:rPr>
          <w:rFonts w:ascii="Arial" w:cs="Arial" w:eastAsia="Arial" w:hAnsi="Arial"/>
          <w:sz w:val="18"/>
          <w:szCs w:val="18"/>
          <w:color w:val="auto"/>
        </w:rPr>
        <w:t>The Securities may be issued in one or more series and unless provided for otherwise in an indenture supplemental hereto, each such series shall rank equally and pari passu with all other unsecured and unsubordinated debt of the Issuer. There shall be established in or pursuant to a resolution of the Board and set forth in an Officers’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color w:val="auto"/>
        </w:rPr>
        <w:t>Certificate, or established in one or more indentures supplemental hereto, prior to the issuance of Securities of any series,</w:t>
      </w:r>
    </w:p>
    <w:p>
      <w:pPr>
        <w:spacing w:after="0" w:line="225" w:lineRule="exact"/>
        <w:rPr>
          <w:sz w:val="20"/>
          <w:szCs w:val="20"/>
          <w:color w:val="auto"/>
        </w:rPr>
      </w:pPr>
    </w:p>
    <w:p>
      <w:pPr>
        <w:ind w:left="1540" w:hanging="236"/>
        <w:spacing w:after="0"/>
        <w:tabs>
          <w:tab w:leader="none" w:pos="154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designation of the Securities of the series (which shall distinguish the Securities of the series from all other Securities);</w:t>
      </w:r>
    </w:p>
    <w:p>
      <w:pPr>
        <w:spacing w:after="0" w:line="236" w:lineRule="exact"/>
        <w:rPr>
          <w:rFonts w:ascii="Arial" w:cs="Arial" w:eastAsia="Arial" w:hAnsi="Arial"/>
          <w:sz w:val="17"/>
          <w:szCs w:val="17"/>
          <w:color w:val="auto"/>
        </w:rPr>
      </w:pPr>
    </w:p>
    <w:p>
      <w:pPr>
        <w:ind w:left="660" w:right="20" w:firstLine="644"/>
        <w:spacing w:after="0" w:line="263" w:lineRule="auto"/>
        <w:tabs>
          <w:tab w:leader="none" w:pos="1563"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Securities of the series that may be authenticated and delivered under this Indenture (except for Securities authenticated and delivered upon registration of transfer of, or in exchange for, or in lieu of, other Securities of the series pursuant to Section 2.08, 2.09, 2.11 or 11.03);</w:t>
      </w:r>
    </w:p>
    <w:p>
      <w:pPr>
        <w:spacing w:after="0" w:line="183" w:lineRule="exact"/>
        <w:rPr>
          <w:rFonts w:ascii="Arial" w:cs="Arial" w:eastAsia="Arial" w:hAnsi="Arial"/>
          <w:sz w:val="18"/>
          <w:szCs w:val="18"/>
          <w:color w:val="auto"/>
        </w:rPr>
      </w:pPr>
    </w:p>
    <w:p>
      <w:pPr>
        <w:ind w:left="1540" w:hanging="236"/>
        <w:spacing w:after="0"/>
        <w:tabs>
          <w:tab w:leader="none" w:pos="154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if other than Dollars, the coin or currency in which the Securities of that series are denominated (including any Non-U.S. Currency);</w:t>
      </w:r>
    </w:p>
    <w:p>
      <w:pPr>
        <w:spacing w:after="0" w:line="248" w:lineRule="exact"/>
        <w:rPr>
          <w:rFonts w:ascii="Arial" w:cs="Arial" w:eastAsia="Arial" w:hAnsi="Arial"/>
          <w:sz w:val="16"/>
          <w:szCs w:val="16"/>
          <w:color w:val="auto"/>
        </w:rPr>
      </w:pPr>
    </w:p>
    <w:p>
      <w:pPr>
        <w:ind w:left="1560" w:hanging="256"/>
        <w:spacing w:after="0"/>
        <w:tabs>
          <w:tab w:leader="none" w:pos="15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the series is payable;</w:t>
      </w:r>
    </w:p>
    <w:p>
      <w:pPr>
        <w:spacing w:after="0" w:line="225" w:lineRule="exact"/>
        <w:rPr>
          <w:rFonts w:ascii="Arial" w:cs="Arial" w:eastAsia="Arial" w:hAnsi="Arial"/>
          <w:sz w:val="18"/>
          <w:szCs w:val="18"/>
          <w:color w:val="auto"/>
        </w:rPr>
      </w:pPr>
    </w:p>
    <w:p>
      <w:pPr>
        <w:ind w:left="660" w:right="120" w:firstLine="644"/>
        <w:spacing w:after="0" w:line="311" w:lineRule="auto"/>
        <w:tabs>
          <w:tab w:leader="none" w:pos="1553"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rate or rates at which the Securities of the series shall bear interest, if any, or the method by which such rate shall be determined, the date or dates from which such interest shall accrue, the interest payment dates on which such interest shall be payable and the record dates for the determination of Holders to whom interest is payable and/or the method by which such rate or rates or date or dates shall be determined;</w:t>
      </w:r>
    </w:p>
    <w:p>
      <w:pPr>
        <w:spacing w:after="0" w:line="148" w:lineRule="exact"/>
        <w:rPr>
          <w:rFonts w:ascii="Arial" w:cs="Arial" w:eastAsia="Arial" w:hAnsi="Arial"/>
          <w:sz w:val="16"/>
          <w:szCs w:val="16"/>
          <w:color w:val="auto"/>
        </w:rPr>
      </w:pPr>
    </w:p>
    <w:p>
      <w:pPr>
        <w:ind w:left="660" w:right="420" w:firstLine="644"/>
        <w:spacing w:after="0" w:line="277" w:lineRule="auto"/>
        <w:tabs>
          <w:tab w:leader="none" w:pos="1533"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place or places where the principal of and any interest on Securities of the series shall be payable (if other than as provided in Section 3.02);</w:t>
      </w:r>
    </w:p>
    <w:p>
      <w:pPr>
        <w:spacing w:after="0" w:line="170" w:lineRule="exact"/>
        <w:rPr>
          <w:rFonts w:ascii="Arial" w:cs="Arial" w:eastAsia="Arial" w:hAnsi="Arial"/>
          <w:sz w:val="18"/>
          <w:szCs w:val="18"/>
          <w:color w:val="auto"/>
        </w:rPr>
      </w:pPr>
    </w:p>
    <w:p>
      <w:pPr>
        <w:ind w:left="660" w:right="120" w:firstLine="644"/>
        <w:spacing w:after="0" w:line="277" w:lineRule="auto"/>
        <w:tabs>
          <w:tab w:leader="none" w:pos="1563"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price or prices at which, the period or periods within which and the terms and conditions upon which Securities of the series may be redeemed, in whole or in part, at the option of the Issuer, pursuant to any sinking fund or otherwise;</w:t>
      </w:r>
    </w:p>
    <w:p>
      <w:pPr>
        <w:spacing w:after="0" w:line="170" w:lineRule="exact"/>
        <w:rPr>
          <w:rFonts w:ascii="Arial" w:cs="Arial" w:eastAsia="Arial" w:hAnsi="Arial"/>
          <w:sz w:val="18"/>
          <w:szCs w:val="18"/>
          <w:color w:val="auto"/>
        </w:rPr>
      </w:pPr>
    </w:p>
    <w:p>
      <w:pPr>
        <w:ind w:left="660" w:firstLine="644"/>
        <w:spacing w:after="0" w:line="311" w:lineRule="auto"/>
        <w:tabs>
          <w:tab w:leader="none" w:pos="1563"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obligation, if any, of the Issuer to redeem, purchase or repay Securities of the series pursuant to any mandatory redemption sinking fund or analogous provisions or at the option of a Holder thereof and the price or prices at which and the period or periods within which and the terms and conditions upon which Securities of the series shall be redeemed, purchased or repaid, in whole or in part, pursuant to such obligation;</w:t>
      </w:r>
    </w:p>
    <w:p>
      <w:pPr>
        <w:spacing w:after="0" w:line="148" w:lineRule="exact"/>
        <w:rPr>
          <w:rFonts w:ascii="Arial" w:cs="Arial" w:eastAsia="Arial" w:hAnsi="Arial"/>
          <w:sz w:val="16"/>
          <w:szCs w:val="16"/>
          <w:color w:val="auto"/>
        </w:rPr>
      </w:pPr>
    </w:p>
    <w:p>
      <w:pPr>
        <w:ind w:left="660" w:right="100" w:firstLine="644"/>
        <w:spacing w:after="0" w:line="277" w:lineRule="auto"/>
        <w:tabs>
          <w:tab w:leader="none" w:pos="1523"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if other than denominations of $2,000 and integral multiples of $1,000 in excess thereof, the denominations in which Securities of the series shall be issuable;</w:t>
      </w:r>
    </w:p>
    <w:p>
      <w:pPr>
        <w:spacing w:after="0" w:line="170" w:lineRule="exact"/>
        <w:rPr>
          <w:rFonts w:ascii="Arial" w:cs="Arial" w:eastAsia="Arial" w:hAnsi="Arial"/>
          <w:sz w:val="18"/>
          <w:szCs w:val="18"/>
          <w:color w:val="auto"/>
        </w:rPr>
      </w:pPr>
    </w:p>
    <w:p>
      <w:pPr>
        <w:ind w:left="660" w:right="200" w:firstLine="644"/>
        <w:spacing w:after="0" w:line="308" w:lineRule="auto"/>
        <w:tabs>
          <w:tab w:leader="none" w:pos="1523" w:val="left"/>
        </w:tabs>
        <w:numPr>
          <w:ilvl w:val="0"/>
          <w:numId w:val="106"/>
        </w:numPr>
        <w:rPr>
          <w:rFonts w:ascii="Arial" w:cs="Arial" w:eastAsia="Arial" w:hAnsi="Arial"/>
          <w:sz w:val="17"/>
          <w:szCs w:val="17"/>
          <w:color w:val="auto"/>
        </w:rPr>
      </w:pPr>
      <w:r>
        <w:rPr>
          <w:rFonts w:ascii="Arial" w:cs="Arial" w:eastAsia="Arial" w:hAnsi="Arial"/>
          <w:sz w:val="17"/>
          <w:szCs w:val="17"/>
          <w:color w:val="auto"/>
        </w:rPr>
        <w:t>if other than the principal amount thereof, the portion of the principal amount of Securities of the series which shall be payable upon declaration of acceleration of the maturity thereof pursuant to Section 4.01 or provable in bankruptcy pursuant to Section 4.02;</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6" w:name="page117"/>
    <w:bookmarkEnd w:id="116"/>
    <w:p>
      <w:pPr>
        <w:ind w:left="-460" w:right="80" w:firstLine="644"/>
        <w:spacing w:after="0" w:line="277" w:lineRule="auto"/>
        <w:tabs>
          <w:tab w:leader="none" w:pos="443"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if other than the coin or currency in which the Securities of that series are denominated, the coin or currency in which payment of the principal of or interest on the Securities of such series shall be payable;</w:t>
      </w:r>
    </w:p>
    <w:p>
      <w:pPr>
        <w:spacing w:after="0" w:line="170" w:lineRule="exact"/>
        <w:rPr>
          <w:rFonts w:ascii="Arial" w:cs="Arial" w:eastAsia="Arial" w:hAnsi="Arial"/>
          <w:sz w:val="18"/>
          <w:szCs w:val="18"/>
          <w:color w:val="auto"/>
        </w:rPr>
      </w:pPr>
    </w:p>
    <w:p>
      <w:pPr>
        <w:ind w:left="-460" w:right="240" w:firstLine="644"/>
        <w:spacing w:after="0" w:line="263" w:lineRule="auto"/>
        <w:tabs>
          <w:tab w:leader="none" w:pos="403"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if the principal of or interest on the Securities of such series are to be payable, at the election of the Issuer or a Holder thereof, in a coin or currency other than that in which the Securities are denominated, the period or periods within which, and the terms and conditions upon which, such election may be made;</w:t>
      </w:r>
    </w:p>
    <w:p>
      <w:pPr>
        <w:spacing w:after="0" w:line="183" w:lineRule="exact"/>
        <w:rPr>
          <w:rFonts w:ascii="Arial" w:cs="Arial" w:eastAsia="Arial" w:hAnsi="Arial"/>
          <w:sz w:val="18"/>
          <w:szCs w:val="18"/>
          <w:color w:val="auto"/>
        </w:rPr>
      </w:pPr>
    </w:p>
    <w:p>
      <w:pPr>
        <w:ind w:left="-460" w:right="100" w:firstLine="644"/>
        <w:spacing w:after="0" w:line="263" w:lineRule="auto"/>
        <w:tabs>
          <w:tab w:leader="none" w:pos="493"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if the amount of payments of principal of and interest on the Securities of the series may be determined with reference to an index based on a coin or currency other than that in which the Securities of the series are denominated, or with reference to any currencies, securities or baskets of securities, commodities or indices, the manner in which such amounts shall be determined;</w:t>
      </w:r>
    </w:p>
    <w:p>
      <w:pPr>
        <w:spacing w:after="0" w:line="183" w:lineRule="exact"/>
        <w:rPr>
          <w:rFonts w:ascii="Arial" w:cs="Arial" w:eastAsia="Arial" w:hAnsi="Arial"/>
          <w:sz w:val="18"/>
          <w:szCs w:val="18"/>
          <w:color w:val="auto"/>
        </w:rPr>
      </w:pPr>
    </w:p>
    <w:p>
      <w:pPr>
        <w:jc w:val="both"/>
        <w:ind w:left="-460" w:right="120" w:firstLine="644"/>
        <w:spacing w:after="0" w:line="263" w:lineRule="auto"/>
        <w:tabs>
          <w:tab w:leader="none" w:pos="443"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if the Holders of the Securities of the series may convert or exchange the Securities of the series into or for securities of the Issuer or of other entities or other property (or the cash value thereof), the specific terms of and period during which such conversion or exchange may be made;</w:t>
      </w:r>
    </w:p>
    <w:p>
      <w:pPr>
        <w:spacing w:after="0" w:line="183" w:lineRule="exact"/>
        <w:rPr>
          <w:rFonts w:ascii="Arial" w:cs="Arial" w:eastAsia="Arial" w:hAnsi="Arial"/>
          <w:sz w:val="18"/>
          <w:szCs w:val="18"/>
          <w:color w:val="auto"/>
        </w:rPr>
      </w:pPr>
    </w:p>
    <w:p>
      <w:pPr>
        <w:ind w:left="-460" w:right="180" w:firstLine="644"/>
        <w:spacing w:after="0" w:line="301" w:lineRule="auto"/>
        <w:tabs>
          <w:tab w:leader="none" w:pos="443" w:val="left"/>
        </w:tabs>
        <w:numPr>
          <w:ilvl w:val="0"/>
          <w:numId w:val="107"/>
        </w:numPr>
        <w:rPr>
          <w:rFonts w:ascii="Arial" w:cs="Arial" w:eastAsia="Arial" w:hAnsi="Arial"/>
          <w:sz w:val="16"/>
          <w:szCs w:val="16"/>
          <w:color w:val="auto"/>
        </w:rPr>
      </w:pPr>
      <w:r>
        <w:rPr>
          <w:rFonts w:ascii="Arial" w:cs="Arial" w:eastAsia="Arial" w:hAnsi="Arial"/>
          <w:sz w:val="16"/>
          <w:szCs w:val="16"/>
          <w:color w:val="auto"/>
        </w:rPr>
        <w:t>whether the Securities of the series will be issuable as Registered Securities (and if so, whether such Securities will be issuable as Registered Global Securities) or Bearer Securities (with or without coupons), or any combination of the foregoing, any restrictions applicable to the offer, sale, transfer, exchange or delivery of Bearer Securities or Registered Securities or the payment of interest thereon and, if other than as provided herein, the terms upon which Bearer Securities of any series may be exchanged for Registered Securities of such series and vice versa;</w:t>
      </w:r>
    </w:p>
    <w:p>
      <w:pPr>
        <w:spacing w:after="0" w:line="157" w:lineRule="exact"/>
        <w:rPr>
          <w:rFonts w:ascii="Arial" w:cs="Arial" w:eastAsia="Arial" w:hAnsi="Arial"/>
          <w:sz w:val="16"/>
          <w:szCs w:val="16"/>
          <w:color w:val="auto"/>
        </w:rPr>
      </w:pPr>
    </w:p>
    <w:p>
      <w:pPr>
        <w:ind w:left="-460" w:firstLine="644"/>
        <w:spacing w:after="0" w:line="263" w:lineRule="auto"/>
        <w:tabs>
          <w:tab w:leader="none" w:pos="443"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whether and under what circumstances the Issuer will pay additional amounts on the Securities of the series held by a Person who is not a U.S. Person in respect of any tax, assessment or governmental charge withheld or deducted and, if so, whether the Issuer will have the option to redeem such Securities rather than pay such additional amounts;</w:t>
      </w:r>
    </w:p>
    <w:p>
      <w:pPr>
        <w:spacing w:after="0" w:line="183" w:lineRule="exact"/>
        <w:rPr>
          <w:rFonts w:ascii="Arial" w:cs="Arial" w:eastAsia="Arial" w:hAnsi="Arial"/>
          <w:sz w:val="18"/>
          <w:szCs w:val="18"/>
          <w:color w:val="auto"/>
        </w:rPr>
      </w:pPr>
    </w:p>
    <w:p>
      <w:pPr>
        <w:ind w:left="-460" w:right="100" w:firstLine="644"/>
        <w:spacing w:after="0" w:line="263" w:lineRule="auto"/>
        <w:tabs>
          <w:tab w:leader="none" w:pos="443"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if the Securities of such series are to be issuable in definitive form (whether upon original issue or upon exchange of a temporary Security of such series) only upon receipt of certain certificates or other documents or satisfaction of other conditions, the form and terms of such certificates, documents or conditions;</w:t>
      </w:r>
    </w:p>
    <w:p>
      <w:pPr>
        <w:spacing w:after="0" w:line="183" w:lineRule="exact"/>
        <w:rPr>
          <w:rFonts w:ascii="Arial" w:cs="Arial" w:eastAsia="Arial" w:hAnsi="Arial"/>
          <w:sz w:val="18"/>
          <w:szCs w:val="18"/>
          <w:color w:val="auto"/>
        </w:rPr>
      </w:pPr>
    </w:p>
    <w:p>
      <w:pPr>
        <w:ind w:left="-460" w:right="700" w:firstLine="644"/>
        <w:spacing w:after="0" w:line="277" w:lineRule="auto"/>
        <w:tabs>
          <w:tab w:leader="none" w:pos="413"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any trustees, depositaries, authenticating or paying agents, transfer agents or registrars or any other agents with respect to the Securities of such series;</w:t>
      </w:r>
    </w:p>
    <w:p>
      <w:pPr>
        <w:spacing w:after="0" w:line="17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81280</wp:posOffset>
            </wp:positionV>
            <wp:extent cx="715327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00"/>
          </w:cols>
          <w:pgMar w:left="1440" w:top="341" w:right="359" w:bottom="1440" w:gutter="0" w:footer="0" w:header="0"/>
        </w:sectPr>
      </w:pPr>
    </w:p>
    <w:bookmarkStart w:id="117" w:name="page118"/>
    <w:bookmarkEnd w:id="117"/>
    <w:p>
      <w:pPr>
        <w:ind w:left="660" w:right="140" w:firstLine="644"/>
        <w:spacing w:after="0" w:line="275" w:lineRule="auto"/>
        <w:tabs>
          <w:tab w:leader="none" w:pos="1543" w:val="left"/>
        </w:tabs>
        <w:numPr>
          <w:ilvl w:val="0"/>
          <w:numId w:val="108"/>
        </w:numPr>
        <w:rPr>
          <w:rFonts w:ascii="Arial" w:cs="Arial" w:eastAsia="Arial" w:hAnsi="Arial"/>
          <w:sz w:val="17"/>
          <w:szCs w:val="17"/>
          <w:color w:val="auto"/>
        </w:rPr>
      </w:pPr>
      <w:r>
        <w:rPr>
          <w:rFonts w:ascii="Arial" w:cs="Arial" w:eastAsia="Arial" w:hAnsi="Arial"/>
          <w:sz w:val="17"/>
          <w:szCs w:val="17"/>
          <w:color w:val="auto"/>
        </w:rPr>
        <w:t>any applicable United States federal income tax and other income tax provisions, including: whether and under what circumstances the Issuer will pay additional amounts on Securities for any tax, assessment or governmental charge withheld or deducted and, if so, whether it will have the option to redeem those Securities rather than pay the additional amounts; tax considerations applicable to any discounted Securities or to Securities issued at par that are treated as having been issued at a discount for United States federal income tax purposes; and tax considerations applicable to any Securities denominated and payable in foreign currencies;</w:t>
      </w:r>
    </w:p>
    <w:p>
      <w:pPr>
        <w:spacing w:after="0" w:line="176" w:lineRule="exact"/>
        <w:rPr>
          <w:rFonts w:ascii="Arial" w:cs="Arial" w:eastAsia="Arial" w:hAnsi="Arial"/>
          <w:sz w:val="17"/>
          <w:szCs w:val="17"/>
          <w:color w:val="auto"/>
        </w:rPr>
      </w:pPr>
    </w:p>
    <w:p>
      <w:pPr>
        <w:ind w:left="1520" w:hanging="216"/>
        <w:spacing w:after="0"/>
        <w:tabs>
          <w:tab w:leader="none" w:pos="152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whether certain payments on the Securities will be guaranteed under a financial insurance guaranty policy and the terms of that</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guaranty;</w:t>
      </w:r>
    </w:p>
    <w:p>
      <w:pPr>
        <w:spacing w:after="0" w:line="210" w:lineRule="exact"/>
        <w:rPr>
          <w:rFonts w:ascii="Arial" w:cs="Arial" w:eastAsia="Arial" w:hAnsi="Arial"/>
          <w:sz w:val="17"/>
          <w:szCs w:val="17"/>
          <w:color w:val="auto"/>
        </w:rPr>
      </w:pPr>
    </w:p>
    <w:p>
      <w:pPr>
        <w:ind w:left="1560" w:hanging="256"/>
        <w:spacing w:after="0"/>
        <w:tabs>
          <w:tab w:leader="none" w:pos="15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applicable selling restrictions;</w:t>
      </w:r>
    </w:p>
    <w:p>
      <w:pPr>
        <w:spacing w:after="0" w:line="225" w:lineRule="exact"/>
        <w:rPr>
          <w:rFonts w:ascii="Arial" w:cs="Arial" w:eastAsia="Arial" w:hAnsi="Arial"/>
          <w:sz w:val="18"/>
          <w:szCs w:val="18"/>
          <w:color w:val="auto"/>
        </w:rPr>
      </w:pPr>
    </w:p>
    <w:p>
      <w:pPr>
        <w:ind w:left="660" w:right="60" w:firstLine="644"/>
        <w:spacing w:after="0" w:line="311" w:lineRule="auto"/>
        <w:tabs>
          <w:tab w:leader="none" w:pos="1563" w:val="left"/>
        </w:tabs>
        <w:numPr>
          <w:ilvl w:val="0"/>
          <w:numId w:val="108"/>
        </w:numPr>
        <w:rPr>
          <w:rFonts w:ascii="Arial" w:cs="Arial" w:eastAsia="Arial" w:hAnsi="Arial"/>
          <w:sz w:val="16"/>
          <w:szCs w:val="16"/>
          <w:color w:val="auto"/>
        </w:rPr>
      </w:pPr>
      <w:r>
        <w:rPr>
          <w:rFonts w:ascii="Arial" w:cs="Arial" w:eastAsia="Arial" w:hAnsi="Arial"/>
          <w:sz w:val="16"/>
          <w:szCs w:val="16"/>
          <w:color w:val="auto"/>
        </w:rPr>
        <w:t>any covenants (or modifications to covenants set forth herein) with respect to the Securities of such series or any events of default (or modifications to the Events of Default set forth herein) with respect to the Securities of such series or modifications or elimination of any acceleration rights with respect to the Securities of such series and any terms required by or advisable under applicable laws or regulations; and</w:t>
      </w:r>
    </w:p>
    <w:p>
      <w:pPr>
        <w:spacing w:after="0" w:line="148" w:lineRule="exact"/>
        <w:rPr>
          <w:rFonts w:ascii="Arial" w:cs="Arial" w:eastAsia="Arial" w:hAnsi="Arial"/>
          <w:sz w:val="16"/>
          <w:szCs w:val="16"/>
          <w:color w:val="auto"/>
        </w:rPr>
      </w:pPr>
    </w:p>
    <w:p>
      <w:pPr>
        <w:ind w:left="1600" w:hanging="296"/>
        <w:spacing w:after="0"/>
        <w:tabs>
          <w:tab w:leader="none" w:pos="16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other terms of the series.</w:t>
      </w:r>
    </w:p>
    <w:p>
      <w:pPr>
        <w:spacing w:after="0" w:line="225" w:lineRule="exact"/>
        <w:rPr>
          <w:sz w:val="20"/>
          <w:szCs w:val="20"/>
          <w:color w:val="auto"/>
        </w:rPr>
      </w:pPr>
    </w:p>
    <w:p>
      <w:pPr>
        <w:ind w:right="120" w:firstLine="1296"/>
        <w:spacing w:after="0" w:line="259" w:lineRule="auto"/>
        <w:rPr>
          <w:sz w:val="20"/>
          <w:szCs w:val="20"/>
          <w:color w:val="auto"/>
        </w:rPr>
      </w:pPr>
      <w:r>
        <w:rPr>
          <w:rFonts w:ascii="Arial" w:cs="Arial" w:eastAsia="Arial" w:hAnsi="Arial"/>
          <w:sz w:val="18"/>
          <w:szCs w:val="18"/>
          <w:color w:val="auto"/>
        </w:rPr>
        <w:t>All Securities of any one series shall be substantially identical except as to denomination and except as may otherwise be provided in or pursuant to such resolution of the Board or in any such indenture supplemental hereto. All Securities of any one series need not be issued at the same time and may be issued from time to time, consistent with the terms of this Indenture, if so provided by or pursuant to such Board Resolution or in any such indenture supplemental hereto.</w:t>
      </w:r>
    </w:p>
    <w:p>
      <w:pPr>
        <w:spacing w:after="0" w:line="187" w:lineRule="exact"/>
        <w:rPr>
          <w:sz w:val="20"/>
          <w:szCs w:val="20"/>
          <w:color w:val="auto"/>
        </w:rPr>
      </w:pPr>
    </w:p>
    <w:p>
      <w:pPr>
        <w:ind w:firstLine="1296"/>
        <w:spacing w:after="0" w:line="275" w:lineRule="auto"/>
        <w:rPr>
          <w:sz w:val="20"/>
          <w:szCs w:val="20"/>
          <w:color w:val="auto"/>
        </w:rPr>
      </w:pPr>
      <w:r>
        <w:rPr>
          <w:rFonts w:ascii="Arial" w:cs="Arial" w:eastAsia="Arial" w:hAnsi="Arial"/>
          <w:sz w:val="17"/>
          <w:szCs w:val="17"/>
          <w:color w:val="auto"/>
        </w:rPr>
        <w:t xml:space="preserve">SECTION 2.04. </w:t>
      </w:r>
      <w:r>
        <w:rPr>
          <w:rFonts w:ascii="Arial" w:cs="Arial" w:eastAsia="Arial" w:hAnsi="Arial"/>
          <w:sz w:val="17"/>
          <w:szCs w:val="17"/>
          <w:u w:val="single" w:color="auto"/>
          <w:color w:val="auto"/>
        </w:rPr>
        <w:t>Authentication and Delivery of Securities.</w:t>
      </w:r>
      <w:r>
        <w:rPr>
          <w:rFonts w:ascii="Arial" w:cs="Arial" w:eastAsia="Arial" w:hAnsi="Arial"/>
          <w:sz w:val="17"/>
          <w:szCs w:val="17"/>
          <w:color w:val="auto"/>
        </w:rPr>
        <w:t xml:space="preserve"> At any time and from time to time after the execution and delivery of this Indenture, the Issuer may deliver Securities of any series executed by the Issuer to the Trustee for authentication, and the Trustee shall thereupon authenticate and deliver such Securities to or upon the written order of the Issuer, signed by any officer of the Issuer authorized by the Board to execute any such order, without any further action by the Issuer. In authenticating such Securities and accepting the additional responsibilities under this Indenture in relation to such Securities the Trustee shall be provided with, and (subject to Section 5.01) shall be fully protected in relying upon:</w:t>
      </w:r>
    </w:p>
    <w:p>
      <w:pPr>
        <w:spacing w:after="0" w:line="176" w:lineRule="exact"/>
        <w:rPr>
          <w:sz w:val="20"/>
          <w:szCs w:val="20"/>
          <w:color w:val="auto"/>
        </w:rPr>
      </w:pPr>
    </w:p>
    <w:p>
      <w:pPr>
        <w:ind w:left="660" w:right="360" w:firstLine="644"/>
        <w:spacing w:after="0" w:line="277" w:lineRule="auto"/>
        <w:tabs>
          <w:tab w:leader="none" w:pos="1553"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 certified copy of any resolution or resolutions of the Board authorizing the action taken pursuant to the resolution or resolutions delivered under Section 2.04(b) below;</w:t>
      </w:r>
    </w:p>
    <w:p>
      <w:pPr>
        <w:spacing w:after="0" w:line="170" w:lineRule="exact"/>
        <w:rPr>
          <w:rFonts w:ascii="Arial" w:cs="Arial" w:eastAsia="Arial" w:hAnsi="Arial"/>
          <w:sz w:val="18"/>
          <w:szCs w:val="18"/>
          <w:color w:val="auto"/>
        </w:rPr>
      </w:pPr>
    </w:p>
    <w:p>
      <w:pPr>
        <w:ind w:left="660" w:right="400" w:firstLine="644"/>
        <w:spacing w:after="0" w:line="277" w:lineRule="auto"/>
        <w:tabs>
          <w:tab w:leader="none" w:pos="1563"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 copy of any resolution or resolutions of the Board relating to such series, in each case certified by the Secretary or an Assistant Secretary of the Issuer;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18" w:name="page119"/>
    <w:bookmarkEnd w:id="118"/>
    <w:p>
      <w:pPr>
        <w:ind w:left="1540" w:hanging="236"/>
        <w:spacing w:after="0"/>
        <w:tabs>
          <w:tab w:leader="none" w:pos="15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 executed supplemental indenture, if any;</w:t>
      </w:r>
    </w:p>
    <w:p>
      <w:pPr>
        <w:spacing w:after="0" w:line="225" w:lineRule="exact"/>
        <w:rPr>
          <w:rFonts w:ascii="Arial" w:cs="Arial" w:eastAsia="Arial" w:hAnsi="Arial"/>
          <w:sz w:val="18"/>
          <w:szCs w:val="18"/>
          <w:color w:val="auto"/>
        </w:rPr>
      </w:pPr>
    </w:p>
    <w:p>
      <w:pPr>
        <w:ind w:left="660" w:right="160" w:firstLine="644"/>
        <w:spacing w:after="0" w:line="277" w:lineRule="auto"/>
        <w:tabs>
          <w:tab w:leader="none" w:pos="1563"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 Officers’ Certificate setting forth the form and terms of the Securities as required pursuant to Section 2.01 and 2.03, respectively and prepared in accordance with Section 10.06;</w:t>
      </w:r>
    </w:p>
    <w:p>
      <w:pPr>
        <w:spacing w:after="0" w:line="170" w:lineRule="exact"/>
        <w:rPr>
          <w:rFonts w:ascii="Arial" w:cs="Arial" w:eastAsia="Arial" w:hAnsi="Arial"/>
          <w:sz w:val="18"/>
          <w:szCs w:val="18"/>
          <w:color w:val="auto"/>
        </w:rPr>
      </w:pPr>
    </w:p>
    <w:p>
      <w:pPr>
        <w:ind w:left="1540" w:hanging="236"/>
        <w:spacing w:after="0"/>
        <w:tabs>
          <w:tab w:leader="none" w:pos="15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 Opinion of Counsel, prepared in accordance with Section 10.06, to the effect that</w:t>
      </w:r>
    </w:p>
    <w:p>
      <w:pPr>
        <w:spacing w:after="0" w:line="225" w:lineRule="exact"/>
        <w:rPr>
          <w:rFonts w:ascii="Arial" w:cs="Arial" w:eastAsia="Arial" w:hAnsi="Arial"/>
          <w:sz w:val="18"/>
          <w:szCs w:val="18"/>
          <w:color w:val="auto"/>
        </w:rPr>
      </w:pPr>
    </w:p>
    <w:p>
      <w:pPr>
        <w:ind w:left="1300" w:right="400" w:firstLine="652"/>
        <w:spacing w:after="0" w:line="308" w:lineRule="auto"/>
        <w:tabs>
          <w:tab w:leader="none" w:pos="2163" w:val="left"/>
        </w:tabs>
        <w:numPr>
          <w:ilvl w:val="1"/>
          <w:numId w:val="110"/>
        </w:numPr>
        <w:rPr>
          <w:rFonts w:ascii="Arial" w:cs="Arial" w:eastAsia="Arial" w:hAnsi="Arial"/>
          <w:sz w:val="17"/>
          <w:szCs w:val="17"/>
          <w:color w:val="auto"/>
        </w:rPr>
      </w:pPr>
      <w:r>
        <w:rPr>
          <w:rFonts w:ascii="Arial" w:cs="Arial" w:eastAsia="Arial" w:hAnsi="Arial"/>
          <w:sz w:val="17"/>
          <w:szCs w:val="17"/>
          <w:color w:val="auto"/>
        </w:rPr>
        <w:t>the form or forms and terms of such Securities have been established by or pursuant to a resolution of the Board or by a supplemental indenture as permitted by Section 2.01 and 2.03 in conformity with the provisions of this Indenture;</w:t>
      </w:r>
    </w:p>
    <w:p>
      <w:pPr>
        <w:spacing w:after="0" w:line="146" w:lineRule="exact"/>
        <w:rPr>
          <w:rFonts w:ascii="Arial" w:cs="Arial" w:eastAsia="Arial" w:hAnsi="Arial"/>
          <w:sz w:val="17"/>
          <w:szCs w:val="17"/>
          <w:color w:val="auto"/>
        </w:rPr>
      </w:pPr>
    </w:p>
    <w:p>
      <w:pPr>
        <w:ind w:left="1300" w:right="160" w:firstLine="652"/>
        <w:spacing w:after="0" w:line="277" w:lineRule="auto"/>
        <w:tabs>
          <w:tab w:leader="none" w:pos="2213" w:val="left"/>
        </w:tabs>
        <w:numPr>
          <w:ilvl w:val="1"/>
          <w:numId w:val="110"/>
        </w:numPr>
        <w:rPr>
          <w:rFonts w:ascii="Arial" w:cs="Arial" w:eastAsia="Arial" w:hAnsi="Arial"/>
          <w:sz w:val="18"/>
          <w:szCs w:val="18"/>
          <w:color w:val="auto"/>
        </w:rPr>
      </w:pPr>
      <w:r>
        <w:rPr>
          <w:rFonts w:ascii="Arial" w:cs="Arial" w:eastAsia="Arial" w:hAnsi="Arial"/>
          <w:sz w:val="18"/>
          <w:szCs w:val="18"/>
          <w:color w:val="auto"/>
        </w:rPr>
        <w:t>such Securities, when authenticated and delivered by the Trustee and issued by the Issuer in the manner and subject to any conditions specified in such Opinion of Counsel, will constitute valid and binding obligations of the Issuer;</w:t>
      </w:r>
    </w:p>
    <w:p>
      <w:pPr>
        <w:spacing w:after="0" w:line="170" w:lineRule="exact"/>
        <w:rPr>
          <w:rFonts w:ascii="Arial" w:cs="Arial" w:eastAsia="Arial" w:hAnsi="Arial"/>
          <w:sz w:val="18"/>
          <w:szCs w:val="18"/>
          <w:color w:val="auto"/>
        </w:rPr>
      </w:pPr>
    </w:p>
    <w:p>
      <w:pPr>
        <w:ind w:left="2260" w:hanging="308"/>
        <w:spacing w:after="0"/>
        <w:tabs>
          <w:tab w:leader="none" w:pos="2260" w:val="left"/>
        </w:tabs>
        <w:numPr>
          <w:ilvl w:val="1"/>
          <w:numId w:val="110"/>
        </w:numPr>
        <w:rPr>
          <w:rFonts w:ascii="Arial" w:cs="Arial" w:eastAsia="Arial" w:hAnsi="Arial"/>
          <w:sz w:val="16"/>
          <w:szCs w:val="16"/>
          <w:color w:val="auto"/>
        </w:rPr>
      </w:pPr>
      <w:r>
        <w:rPr>
          <w:rFonts w:ascii="Arial" w:cs="Arial" w:eastAsia="Arial" w:hAnsi="Arial"/>
          <w:sz w:val="16"/>
          <w:szCs w:val="16"/>
          <w:color w:val="auto"/>
        </w:rPr>
        <w:t>all laws and requirements in respect of the execution and delivery by the Issuer of the Securities have been complied with;</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ind w:left="2260" w:hanging="308"/>
        <w:spacing w:after="0"/>
        <w:tabs>
          <w:tab w:leader="none" w:pos="226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covering such other matters as the Trustee may reasonably request.</w:t>
      </w:r>
    </w:p>
    <w:p>
      <w:pPr>
        <w:spacing w:after="0" w:line="225" w:lineRule="exact"/>
        <w:rPr>
          <w:sz w:val="20"/>
          <w:szCs w:val="20"/>
          <w:color w:val="auto"/>
        </w:rPr>
      </w:pPr>
    </w:p>
    <w:p>
      <w:pPr>
        <w:ind w:right="200" w:firstLine="1296"/>
        <w:spacing w:after="0" w:line="259" w:lineRule="auto"/>
        <w:rPr>
          <w:sz w:val="20"/>
          <w:szCs w:val="20"/>
          <w:color w:val="auto"/>
        </w:rPr>
      </w:pPr>
      <w:r>
        <w:rPr>
          <w:rFonts w:ascii="Arial" w:cs="Arial" w:eastAsia="Arial" w:hAnsi="Arial"/>
          <w:sz w:val="18"/>
          <w:szCs w:val="18"/>
          <w:color w:val="auto"/>
        </w:rPr>
        <w:t>The Trustee shall have the right to decline to authenticate and deliver any Securities under this Section if the Trustee, being advised by counsel, determines that such action may not lawfully be taken by the Issuer or if the Trustee in good faith by its board of directors or board of trustees, executive committee, or a trust committee of directors or trustees or Responsible Officers shall determine that such action would expose the Trustee to personal liability to existing Holders.</w:t>
      </w:r>
    </w:p>
    <w:p>
      <w:pPr>
        <w:spacing w:after="0" w:line="187" w:lineRule="exact"/>
        <w:rPr>
          <w:sz w:val="20"/>
          <w:szCs w:val="20"/>
          <w:color w:val="auto"/>
        </w:rPr>
      </w:pPr>
    </w:p>
    <w:p>
      <w:pPr>
        <w:ind w:right="80" w:firstLine="1296"/>
        <w:spacing w:after="0" w:line="279" w:lineRule="auto"/>
        <w:rPr>
          <w:sz w:val="20"/>
          <w:szCs w:val="20"/>
          <w:color w:val="auto"/>
        </w:rPr>
      </w:pPr>
      <w:r>
        <w:rPr>
          <w:rFonts w:ascii="Arial" w:cs="Arial" w:eastAsia="Arial" w:hAnsi="Arial"/>
          <w:sz w:val="17"/>
          <w:szCs w:val="17"/>
          <w:color w:val="auto"/>
        </w:rPr>
        <w:t xml:space="preserve">SECTION 2.05. </w:t>
      </w:r>
      <w:r>
        <w:rPr>
          <w:rFonts w:ascii="Arial" w:cs="Arial" w:eastAsia="Arial" w:hAnsi="Arial"/>
          <w:sz w:val="17"/>
          <w:szCs w:val="17"/>
          <w:u w:val="single" w:color="auto"/>
          <w:color w:val="auto"/>
        </w:rPr>
        <w:t>Execution of Securities.</w:t>
      </w:r>
      <w:r>
        <w:rPr>
          <w:rFonts w:ascii="Arial" w:cs="Arial" w:eastAsia="Arial" w:hAnsi="Arial"/>
          <w:sz w:val="17"/>
          <w:szCs w:val="17"/>
          <w:color w:val="auto"/>
        </w:rPr>
        <w:t xml:space="preserve"> The Securities shall be signed on behalf of the Issuer by any officer of the Issuer authorized by the Board to execute such Securities, which Securities may, but need not, be attested. Such signatures may be the manual or facsimile signatures of the present or any future such officers. Typographical and other minor errors or defects in any such reproduction of the seal or any such signature shall not affect the validity or enforceability of any Security that has been duly authenticated and delivered by the Trustee.</w:t>
      </w:r>
    </w:p>
    <w:p>
      <w:pPr>
        <w:spacing w:after="0" w:line="171" w:lineRule="exact"/>
        <w:rPr>
          <w:sz w:val="20"/>
          <w:szCs w:val="20"/>
          <w:color w:val="auto"/>
        </w:rPr>
      </w:pPr>
    </w:p>
    <w:p>
      <w:pPr>
        <w:ind w:firstLine="1296"/>
        <w:spacing w:after="0" w:line="257" w:lineRule="auto"/>
        <w:rPr>
          <w:sz w:val="20"/>
          <w:szCs w:val="20"/>
          <w:color w:val="auto"/>
        </w:rPr>
      </w:pPr>
      <w:r>
        <w:rPr>
          <w:rFonts w:ascii="Arial" w:cs="Arial" w:eastAsia="Arial" w:hAnsi="Arial"/>
          <w:sz w:val="18"/>
          <w:szCs w:val="18"/>
          <w:color w:val="auto"/>
        </w:rPr>
        <w:t>In case any officer of the Issuer who shall have signed any of the Securities shall cease to be such officer before the Security so signed shall be authenticated and delivered by the Trustee or disposed of by the Issuer, such Security nevertheless may be authenticated and delivered or disposed of as though the person who signed such Security had not ceased to be such officer of the Issuer; and any Security may be signed on behalf of the Issuer by such person as, at the actual date of the execution of such Security, shall be a proper officer of the Issuer, although at the date of the execution and delivery of this Indenture any such person was not such an officer.</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119" w:name="page120"/>
    <w:bookmarkEnd w:id="119"/>
    <w:p>
      <w:pPr>
        <w:ind w:right="60" w:firstLine="1296"/>
        <w:spacing w:after="0" w:line="301" w:lineRule="auto"/>
        <w:rPr>
          <w:sz w:val="20"/>
          <w:szCs w:val="20"/>
          <w:color w:val="auto"/>
        </w:rPr>
      </w:pPr>
      <w:r>
        <w:rPr>
          <w:rFonts w:ascii="Arial" w:cs="Arial" w:eastAsia="Arial" w:hAnsi="Arial"/>
          <w:sz w:val="16"/>
          <w:szCs w:val="16"/>
          <w:color w:val="auto"/>
        </w:rPr>
        <w:t xml:space="preserve">SECTION 2.06. </w:t>
      </w:r>
      <w:r>
        <w:rPr>
          <w:rFonts w:ascii="Arial" w:cs="Arial" w:eastAsia="Arial" w:hAnsi="Arial"/>
          <w:sz w:val="16"/>
          <w:szCs w:val="16"/>
          <w:u w:val="single" w:color="auto"/>
          <w:color w:val="auto"/>
        </w:rPr>
        <w:t>Certificate of Authorization.</w:t>
      </w:r>
      <w:r>
        <w:rPr>
          <w:rFonts w:ascii="Arial" w:cs="Arial" w:eastAsia="Arial" w:hAnsi="Arial"/>
          <w:sz w:val="16"/>
          <w:szCs w:val="16"/>
          <w:color w:val="auto"/>
        </w:rPr>
        <w:t xml:space="preserve"> Only such Securities as shall bear thereon a certificate of authentication substantially in the form hereinbefore recited, executed by the Trustee by the manual signature of one of its authorized officers, shall be entitled to the benefits of this Indenture or be valid or obligatory for any purpose. Such certificate by the Trustee upon any Security executed by the Issuer shall be conclusive evidence that the Security so authenticated has been duly authenticated and delivered hereunder and that the Holder is entitled to the benefits of this Indenture.</w:t>
      </w:r>
    </w:p>
    <w:p>
      <w:pPr>
        <w:spacing w:after="0" w:line="157" w:lineRule="exact"/>
        <w:rPr>
          <w:sz w:val="20"/>
          <w:szCs w:val="20"/>
          <w:color w:val="auto"/>
        </w:rPr>
      </w:pPr>
    </w:p>
    <w:p>
      <w:pPr>
        <w:ind w:right="100" w:firstLine="1296"/>
        <w:spacing w:after="0" w:line="296" w:lineRule="auto"/>
        <w:rPr>
          <w:sz w:val="20"/>
          <w:szCs w:val="20"/>
          <w:color w:val="auto"/>
        </w:rPr>
      </w:pPr>
      <w:r>
        <w:rPr>
          <w:rFonts w:ascii="Arial" w:cs="Arial" w:eastAsia="Arial" w:hAnsi="Arial"/>
          <w:sz w:val="16"/>
          <w:szCs w:val="16"/>
          <w:color w:val="auto"/>
        </w:rPr>
        <w:t xml:space="preserve">SECTION 2.07. </w:t>
      </w:r>
      <w:r>
        <w:rPr>
          <w:rFonts w:ascii="Arial" w:cs="Arial" w:eastAsia="Arial" w:hAnsi="Arial"/>
          <w:sz w:val="16"/>
          <w:szCs w:val="16"/>
          <w:u w:val="single" w:color="auto"/>
          <w:color w:val="auto"/>
        </w:rPr>
        <w:t>Denomination and Date of Securities; Payments of Interest.</w:t>
      </w:r>
      <w:r>
        <w:rPr>
          <w:rFonts w:ascii="Arial" w:cs="Arial" w:eastAsia="Arial" w:hAnsi="Arial"/>
          <w:sz w:val="16"/>
          <w:szCs w:val="16"/>
          <w:color w:val="auto"/>
        </w:rPr>
        <w:t xml:space="preserve"> The Securities shall be issuable as Registered Securities without coupons and in denominations as shall be specified as contemplated by Section 2.03. In the absence of any such specification with respect to the Securities of any series, the Securities of such series shall be issuable in denominations of $2,000 and integral multiples of $1,000 in excess thereof. The Securities shall be numbered, lettered or otherwise distinguished in such manner or in accordance with such plan as the officers of the Issuer executing the same may determine with the approval of the Trustee as evidenced by the execution and authentication thereof.</w:t>
      </w:r>
    </w:p>
    <w:p>
      <w:pPr>
        <w:spacing w:after="0" w:line="161" w:lineRule="exact"/>
        <w:rPr>
          <w:sz w:val="20"/>
          <w:szCs w:val="20"/>
          <w:color w:val="auto"/>
        </w:rPr>
      </w:pPr>
    </w:p>
    <w:p>
      <w:pPr>
        <w:ind w:right="240" w:firstLine="1296"/>
        <w:spacing w:after="0" w:line="277" w:lineRule="auto"/>
        <w:rPr>
          <w:sz w:val="20"/>
          <w:szCs w:val="20"/>
          <w:color w:val="auto"/>
        </w:rPr>
      </w:pPr>
      <w:r>
        <w:rPr>
          <w:rFonts w:ascii="Arial" w:cs="Arial" w:eastAsia="Arial" w:hAnsi="Arial"/>
          <w:sz w:val="18"/>
          <w:szCs w:val="18"/>
          <w:color w:val="auto"/>
        </w:rPr>
        <w:t>Each Security shall be dated the date of its authentication, shall bear interest, if any, from the date and shall be payable on the dates, in each case, which shall be specified as contemplated by Section 2.03.</w:t>
      </w:r>
    </w:p>
    <w:p>
      <w:pPr>
        <w:spacing w:after="0" w:line="170" w:lineRule="exact"/>
        <w:rPr>
          <w:sz w:val="20"/>
          <w:szCs w:val="20"/>
          <w:color w:val="auto"/>
        </w:rPr>
      </w:pPr>
    </w:p>
    <w:p>
      <w:pPr>
        <w:ind w:firstLine="1296"/>
        <w:spacing w:after="0" w:line="288" w:lineRule="auto"/>
        <w:rPr>
          <w:sz w:val="20"/>
          <w:szCs w:val="20"/>
          <w:color w:val="auto"/>
        </w:rPr>
      </w:pPr>
      <w:r>
        <w:rPr>
          <w:rFonts w:ascii="Arial" w:cs="Arial" w:eastAsia="Arial" w:hAnsi="Arial"/>
          <w:sz w:val="16"/>
          <w:szCs w:val="16"/>
          <w:color w:val="auto"/>
        </w:rPr>
        <w:t>The person in whose name any Security of any series is registered at the close of business on any record date applicable to a particular series with respect to any interest payment date for such series shall be entitled to receive the interest, if any, payable on such interest payment date notwithstanding any transfer or exchange of such Security subsequent to the record date and prior to such interest payment date, except if and to the extent the Issuer shall default in the payment of the interest due on such interest payment date for such series, in which case such defaulted interest shall be paid to the persons in whose names Outstanding Securities for such series are registered at the close of business on a subsequent record date (which shall be not less than five Business Days prior to the date of payment of such defaulted interest) established by notice given by mail by or on behalf of the Issuer to the Holders of Securities not less than 15 days preceding such subsequent record date. The term “</w:t>
      </w:r>
      <w:r>
        <w:rPr>
          <w:rFonts w:ascii="Arial" w:cs="Arial" w:eastAsia="Arial" w:hAnsi="Arial"/>
          <w:sz w:val="16"/>
          <w:szCs w:val="16"/>
          <w:u w:val="single" w:color="auto"/>
          <w:color w:val="auto"/>
        </w:rPr>
        <w:t>record date</w:t>
      </w:r>
      <w:r>
        <w:rPr>
          <w:rFonts w:ascii="Arial" w:cs="Arial" w:eastAsia="Arial" w:hAnsi="Arial"/>
          <w:sz w:val="16"/>
          <w:szCs w:val="16"/>
          <w:color w:val="auto"/>
        </w:rPr>
        <w:t>” as used with respect to any interest payment date (except a date for payment of defaulted interest) shall mean the date specified as such in the terms of the Securities of any particular series, or, if no such date is so specified, if such interest payment date is the first day of a calendar month, the fifteenth day of the next preceding calendar month or, if such interest payment date is the fifteenth day of a calendar month, the first day of such calendar month, whether or not such record date is a Business Day.</w:t>
      </w:r>
    </w:p>
    <w:p>
      <w:pPr>
        <w:spacing w:after="0" w:line="168" w:lineRule="exact"/>
        <w:rPr>
          <w:sz w:val="20"/>
          <w:szCs w:val="20"/>
          <w:color w:val="auto"/>
        </w:rPr>
      </w:pPr>
    </w:p>
    <w:p>
      <w:pPr>
        <w:jc w:val="both"/>
        <w:ind w:right="220" w:firstLine="1296"/>
        <w:spacing w:after="0" w:line="311" w:lineRule="auto"/>
        <w:rPr>
          <w:sz w:val="20"/>
          <w:szCs w:val="20"/>
          <w:color w:val="auto"/>
        </w:rPr>
      </w:pPr>
      <w:r>
        <w:rPr>
          <w:rFonts w:ascii="Arial" w:cs="Arial" w:eastAsia="Arial" w:hAnsi="Arial"/>
          <w:sz w:val="16"/>
          <w:szCs w:val="16"/>
          <w:color w:val="auto"/>
        </w:rPr>
        <w:t xml:space="preserve">SECTION 2.08. </w:t>
      </w:r>
      <w:r>
        <w:rPr>
          <w:rFonts w:ascii="Arial" w:cs="Arial" w:eastAsia="Arial" w:hAnsi="Arial"/>
          <w:sz w:val="16"/>
          <w:szCs w:val="16"/>
          <w:u w:val="single" w:color="auto"/>
          <w:color w:val="auto"/>
        </w:rPr>
        <w:t>Regulation, Transfer and Exchange.</w:t>
      </w:r>
      <w:r>
        <w:rPr>
          <w:rFonts w:ascii="Arial" w:cs="Arial" w:eastAsia="Arial" w:hAnsi="Arial"/>
          <w:sz w:val="16"/>
          <w:szCs w:val="16"/>
          <w:color w:val="auto"/>
        </w:rPr>
        <w:t xml:space="preserve"> The Issuer will keep or cause to be kept at each office or agency to be maintained for the purpose as provided in Section 3.02 a register or registers in which, subject to such reasonable regulations as it may prescribe, it will register, and will register the transfer of, Securities as in this Article provided. Such register shall be in written form in the English language or in any other</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20" w:name="page121"/>
    <w:bookmarkEnd w:id="120"/>
    <w:p>
      <w:pPr>
        <w:ind w:right="180"/>
        <w:spacing w:after="0" w:line="277" w:lineRule="auto"/>
        <w:rPr>
          <w:sz w:val="20"/>
          <w:szCs w:val="20"/>
          <w:color w:val="auto"/>
        </w:rPr>
      </w:pPr>
      <w:r>
        <w:rPr>
          <w:rFonts w:ascii="Arial" w:cs="Arial" w:eastAsia="Arial" w:hAnsi="Arial"/>
          <w:sz w:val="18"/>
          <w:szCs w:val="18"/>
          <w:color w:val="auto"/>
        </w:rPr>
        <w:t>form capable of being converted into such form within a reasonable time. At all reasonable times such register or registers shall be open for inspection by the Trustee.</w:t>
      </w:r>
    </w:p>
    <w:p>
      <w:pPr>
        <w:spacing w:after="0" w:line="170" w:lineRule="exact"/>
        <w:rPr>
          <w:sz w:val="20"/>
          <w:szCs w:val="20"/>
          <w:color w:val="auto"/>
        </w:rPr>
      </w:pPr>
    </w:p>
    <w:p>
      <w:pPr>
        <w:ind w:firstLine="1296"/>
        <w:spacing w:after="0" w:line="263" w:lineRule="auto"/>
        <w:rPr>
          <w:sz w:val="20"/>
          <w:szCs w:val="20"/>
          <w:color w:val="auto"/>
        </w:rPr>
      </w:pPr>
      <w:r>
        <w:rPr>
          <w:rFonts w:ascii="Arial" w:cs="Arial" w:eastAsia="Arial" w:hAnsi="Arial"/>
          <w:sz w:val="18"/>
          <w:szCs w:val="18"/>
          <w:color w:val="auto"/>
        </w:rPr>
        <w:t>Upon due presentation for registration of transfer of any Security of any series at any such office or agency to be maintained for the purpose as provided in Section 3.02, the Issuer shall execute and the Trustee shall authenticate and deliver in the name of the transferee or transferees a new Security or Securities of the same series in authorized denominations for a like aggregate principal amount.</w:t>
      </w:r>
    </w:p>
    <w:p>
      <w:pPr>
        <w:spacing w:after="0" w:line="184" w:lineRule="exact"/>
        <w:rPr>
          <w:sz w:val="20"/>
          <w:szCs w:val="20"/>
          <w:color w:val="auto"/>
        </w:rPr>
      </w:pPr>
    </w:p>
    <w:p>
      <w:pPr>
        <w:ind w:right="60" w:firstLine="1296"/>
        <w:spacing w:after="0" w:line="257" w:lineRule="auto"/>
        <w:rPr>
          <w:sz w:val="20"/>
          <w:szCs w:val="20"/>
          <w:color w:val="auto"/>
        </w:rPr>
      </w:pPr>
      <w:r>
        <w:rPr>
          <w:rFonts w:ascii="Arial" w:cs="Arial" w:eastAsia="Arial" w:hAnsi="Arial"/>
          <w:sz w:val="18"/>
          <w:szCs w:val="18"/>
          <w:color w:val="auto"/>
        </w:rPr>
        <w:t>Any Security or Securities of any series may be exchanged for a Security or Securities of the same series in other authorized denominations, in an equal aggregate principal amount. Securities of any series to be exchanged shall be surrendered at any office or agency to be maintained by the Issuer for the purpose as provided in Section 3.02, and the Issuer shall execute and the Trustee shall authenticate and deliver in exchange therefor the Security or Securities of the same series which the Securityholder making the exchange shall be entitled to receive, bearing numbers not contemporaneously outstanding.</w:t>
      </w:r>
    </w:p>
    <w:p>
      <w:pPr>
        <w:spacing w:after="0" w:line="188" w:lineRule="exact"/>
        <w:rPr>
          <w:sz w:val="20"/>
          <w:szCs w:val="20"/>
          <w:color w:val="auto"/>
        </w:rPr>
      </w:pPr>
    </w:p>
    <w:p>
      <w:pPr>
        <w:jc w:val="both"/>
        <w:ind w:right="60" w:firstLine="1296"/>
        <w:spacing w:after="0" w:line="263" w:lineRule="auto"/>
        <w:rPr>
          <w:sz w:val="20"/>
          <w:szCs w:val="20"/>
          <w:color w:val="auto"/>
        </w:rPr>
      </w:pPr>
      <w:r>
        <w:rPr>
          <w:rFonts w:ascii="Arial" w:cs="Arial" w:eastAsia="Arial" w:hAnsi="Arial"/>
          <w:sz w:val="18"/>
          <w:szCs w:val="18"/>
          <w:color w:val="auto"/>
        </w:rPr>
        <w:t>All Securities presented for registration of transfer, exchange, redemption or payment shall (if so required by the Issuer or the Trustee) be duly endorsed by, or be accompanied by a written instrument or instruments of transfer in form satisfactory to the Issuer and the Trustee duly executed by, the Holder or his attorney duly authorized in writing.</w:t>
      </w:r>
    </w:p>
    <w:p>
      <w:pPr>
        <w:spacing w:after="0" w:line="184" w:lineRule="exact"/>
        <w:rPr>
          <w:sz w:val="20"/>
          <w:szCs w:val="20"/>
          <w:color w:val="auto"/>
        </w:rPr>
      </w:pPr>
    </w:p>
    <w:p>
      <w:pPr>
        <w:ind w:right="300" w:firstLine="1296"/>
        <w:spacing w:after="0" w:line="277" w:lineRule="auto"/>
        <w:rPr>
          <w:sz w:val="20"/>
          <w:szCs w:val="20"/>
          <w:color w:val="auto"/>
        </w:rPr>
      </w:pPr>
      <w:r>
        <w:rPr>
          <w:rFonts w:ascii="Arial" w:cs="Arial" w:eastAsia="Arial" w:hAnsi="Arial"/>
          <w:sz w:val="18"/>
          <w:szCs w:val="18"/>
          <w:color w:val="auto"/>
        </w:rPr>
        <w:t>The Issuer may require payment of a sum sufficient to cover any tax or other governmental charge that may be imposed in connection with any exchange or registration of transfer of Securities. No service charge shall be made for any such transaction.</w:t>
      </w:r>
    </w:p>
    <w:p>
      <w:pPr>
        <w:spacing w:after="0" w:line="170" w:lineRule="exact"/>
        <w:rPr>
          <w:sz w:val="20"/>
          <w:szCs w:val="20"/>
          <w:color w:val="auto"/>
        </w:rPr>
      </w:pPr>
    </w:p>
    <w:p>
      <w:pPr>
        <w:ind w:right="20" w:firstLine="1296"/>
        <w:spacing w:after="0" w:line="311" w:lineRule="auto"/>
        <w:rPr>
          <w:sz w:val="20"/>
          <w:szCs w:val="20"/>
          <w:color w:val="auto"/>
        </w:rPr>
      </w:pPr>
      <w:r>
        <w:rPr>
          <w:rFonts w:ascii="Arial" w:cs="Arial" w:eastAsia="Arial" w:hAnsi="Arial"/>
          <w:sz w:val="16"/>
          <w:szCs w:val="16"/>
          <w:color w:val="auto"/>
        </w:rPr>
        <w:t>The Issuer shall not be required to exchange or register a transfer of (a) any Securities of any series for a period of 15 days next preceding the first mailing of notice of redemption of Securities of such series to be redeemed, or (b) any Securities selected, called or being called for redemption except, in the case of any Security where notice has been given that such Security is to be redeemed in part, the portion thereof not so to be redeemed.</w:t>
      </w:r>
    </w:p>
    <w:p>
      <w:pPr>
        <w:spacing w:after="0" w:line="149" w:lineRule="exact"/>
        <w:rPr>
          <w:sz w:val="20"/>
          <w:szCs w:val="20"/>
          <w:color w:val="auto"/>
        </w:rPr>
      </w:pPr>
    </w:p>
    <w:p>
      <w:pPr>
        <w:ind w:right="240" w:firstLine="1296"/>
        <w:spacing w:after="0" w:line="277" w:lineRule="auto"/>
        <w:rPr>
          <w:sz w:val="20"/>
          <w:szCs w:val="20"/>
          <w:color w:val="auto"/>
        </w:rPr>
      </w:pPr>
      <w:r>
        <w:rPr>
          <w:rFonts w:ascii="Arial" w:cs="Arial" w:eastAsia="Arial" w:hAnsi="Arial"/>
          <w:sz w:val="18"/>
          <w:szCs w:val="18"/>
          <w:color w:val="auto"/>
        </w:rPr>
        <w:t>All Securities issued upon any transfer or exchange of Securities shall be valid obligations of the Issuer, evidencing the same debt, and entitled to the same benefits under this Indenture, as the Securities surrendered upon such transfer or exchange.</w:t>
      </w:r>
    </w:p>
    <w:p>
      <w:pPr>
        <w:spacing w:after="0" w:line="170" w:lineRule="exact"/>
        <w:rPr>
          <w:sz w:val="20"/>
          <w:szCs w:val="20"/>
          <w:color w:val="auto"/>
        </w:rPr>
      </w:pPr>
    </w:p>
    <w:p>
      <w:pPr>
        <w:ind w:right="80" w:firstLine="1296"/>
        <w:spacing w:after="0" w:line="301" w:lineRule="auto"/>
        <w:rPr>
          <w:sz w:val="20"/>
          <w:szCs w:val="20"/>
          <w:color w:val="auto"/>
        </w:rPr>
      </w:pPr>
      <w:r>
        <w:rPr>
          <w:rFonts w:ascii="Arial" w:cs="Arial" w:eastAsia="Arial" w:hAnsi="Arial"/>
          <w:sz w:val="16"/>
          <w:szCs w:val="16"/>
          <w:color w:val="auto"/>
        </w:rPr>
        <w:t xml:space="preserve">SECTION 2.09. </w:t>
      </w:r>
      <w:r>
        <w:rPr>
          <w:rFonts w:ascii="Arial" w:cs="Arial" w:eastAsia="Arial" w:hAnsi="Arial"/>
          <w:sz w:val="16"/>
          <w:szCs w:val="16"/>
          <w:u w:val="single" w:color="auto"/>
          <w:color w:val="auto"/>
        </w:rPr>
        <w:t>Mutilated, Defaced, Destroyed, Lost and Stolen Securities.</w:t>
      </w:r>
      <w:r>
        <w:rPr>
          <w:rFonts w:ascii="Arial" w:cs="Arial" w:eastAsia="Arial" w:hAnsi="Arial"/>
          <w:sz w:val="16"/>
          <w:szCs w:val="16"/>
          <w:color w:val="auto"/>
        </w:rPr>
        <w:t xml:space="preserve"> In case any temporary or definitive Security shall become mutilated, defaced or be destroyed, lost or stolen, the Issuer in its discretion may execute, and upon the written request of any officer of the Issuer, the Trustee shall authenticate and deliver, a new Security of the same series, bearing a number not contemporaneously outstanding, in exchange and substitution for the mutilated or defaced Security, or in lieu of and substitution for the Security so destroyed, lost or stolen. In every case the applicant for a</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1" w:name="page122"/>
    <w:bookmarkEnd w:id="121"/>
    <w:p>
      <w:pPr>
        <w:ind w:right="100"/>
        <w:spacing w:after="0" w:line="259" w:lineRule="auto"/>
        <w:rPr>
          <w:sz w:val="20"/>
          <w:szCs w:val="20"/>
          <w:color w:val="auto"/>
        </w:rPr>
      </w:pPr>
      <w:r>
        <w:rPr>
          <w:rFonts w:ascii="Arial" w:cs="Arial" w:eastAsia="Arial" w:hAnsi="Arial"/>
          <w:sz w:val="18"/>
          <w:szCs w:val="18"/>
          <w:color w:val="auto"/>
        </w:rPr>
        <w:t>substitute Security shall furnish to the Issuer and to the Trustee and any agent of the Issuer or the Trustee such security or indemnity as may be required by them to indemnify and defend and to save each of them harmless and, in every case of destruction, loss or theft, evidence to their satisfaction of the destruction, loss or theft of such Security and of the ownership thereof, and in the case of mutilation or defacement shall surrender the Security to the Trustee or such agent.</w:t>
      </w:r>
    </w:p>
    <w:p>
      <w:pPr>
        <w:spacing w:after="0" w:line="187" w:lineRule="exact"/>
        <w:rPr>
          <w:sz w:val="20"/>
          <w:szCs w:val="20"/>
          <w:color w:val="auto"/>
        </w:rPr>
      </w:pPr>
    </w:p>
    <w:p>
      <w:pPr>
        <w:ind w:right="20" w:firstLine="1296"/>
        <w:spacing w:after="0" w:line="271" w:lineRule="auto"/>
        <w:rPr>
          <w:sz w:val="20"/>
          <w:szCs w:val="20"/>
          <w:color w:val="auto"/>
        </w:rPr>
      </w:pPr>
      <w:r>
        <w:rPr>
          <w:rFonts w:ascii="Arial" w:cs="Arial" w:eastAsia="Arial" w:hAnsi="Arial"/>
          <w:sz w:val="17"/>
          <w:szCs w:val="17"/>
          <w:color w:val="auto"/>
        </w:rPr>
        <w:t>Upon the issuance of any substitute Security, the Issuer may require the payment of a sum sufficient to cover any tax or other governmental charge that may be imposed in relation thereto and any other expenses (including the fees and expenses of the Trustee or its agent) connected therewith. In case any Security which has matured or is about to mature or has been called for redemption in full shall become mutilated or defaced or be destroyed, lost or stolen, the Issuer may instead of issuing a substitute Security, pay or authorize the payment of the same (without surrender thereof except in the case of a mutilated or defaced Security), if the applicant for such payment shall furnish to the Issuer and the Trustee and any agent of the Issuer or the Trustee such security or indemnity as any of them may require to save each of them harmless, and, in every case of destruction, loss or theft, the applicant shall also furnish to the Issuer and the Trustee and any agent of the Issuer or the Trustee evidence to their satisfaction of the destruction, loss or theft of such Security and of the ownership thereof.</w:t>
      </w:r>
    </w:p>
    <w:p>
      <w:pPr>
        <w:spacing w:after="0" w:line="178" w:lineRule="exact"/>
        <w:rPr>
          <w:sz w:val="20"/>
          <w:szCs w:val="20"/>
          <w:color w:val="auto"/>
        </w:rPr>
      </w:pPr>
    </w:p>
    <w:p>
      <w:pPr>
        <w:ind w:right="40" w:firstLine="1296"/>
        <w:spacing w:after="0" w:line="291" w:lineRule="auto"/>
        <w:rPr>
          <w:sz w:val="20"/>
          <w:szCs w:val="20"/>
          <w:color w:val="auto"/>
        </w:rPr>
      </w:pPr>
      <w:r>
        <w:rPr>
          <w:rFonts w:ascii="Arial" w:cs="Arial" w:eastAsia="Arial" w:hAnsi="Arial"/>
          <w:sz w:val="16"/>
          <w:szCs w:val="16"/>
          <w:color w:val="auto"/>
        </w:rPr>
        <w:t>Every substitute Security of any series issued pursuant to the provisions of this section by virtue of the fact that any such Security is destroyed, lost or stolen shall constitute an additional contractual obligation of the Issuer, whether or not the destroyed, lost or stolen Security shall be at any time enforceable by anyone and shall be entitled to all the benefits of (but shall be subject to all the limitations of rights set forth in) this Indenture equally and proportionately with any and all other Securities of such series duly authenticated and delivered hereunder. All Securities shall be held and owned upon the express condition that, to the extent permitted by law, the foregoing provisions are exclusive with respect to the replacement or payment of mutilated, defaced or destroyed, lost or stolen Securities and shall preclude any and all other rights or remedies notwithstanding any law or statute existing or hereafter enacted to the contrary with respect to the replacement or payment of negotiable instruments or other securities without their surrender.</w:t>
      </w:r>
    </w:p>
    <w:p>
      <w:pPr>
        <w:spacing w:after="0" w:line="166" w:lineRule="exact"/>
        <w:rPr>
          <w:sz w:val="20"/>
          <w:szCs w:val="20"/>
          <w:color w:val="auto"/>
        </w:rPr>
      </w:pPr>
    </w:p>
    <w:p>
      <w:pPr>
        <w:ind w:firstLine="1296"/>
        <w:spacing w:after="0" w:line="254" w:lineRule="auto"/>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Cancellation of Securities.</w:t>
      </w:r>
      <w:r>
        <w:rPr>
          <w:rFonts w:ascii="Arial" w:cs="Arial" w:eastAsia="Arial" w:hAnsi="Arial"/>
          <w:sz w:val="18"/>
          <w:szCs w:val="18"/>
          <w:color w:val="auto"/>
        </w:rPr>
        <w:t xml:space="preserve"> All Securities surrendered for payment, redemption, registration of transfer or exchange, or for credit against any payment in respect of a sinking or analogous fund, if surrendered to the Issuer or any agent of the Issuer or the Trustee, shall be delivered to the Trustee for cancellation or, if surrendered to the Trustee, shall be cancelled by it; and no Securities shall be issued in lieu thereof except as expressly permitted by any of the provisions of this Indenture. The Trustee shall dispose of cancelled Securities held by it in accordance with its procedures for the disposition of cancelled Securities and deliver a certificate of disposition to the Issuer upon its request therefor. If the Issuer shall acquire any of the Securities, such acquisition shall not operate as a redemption or satisfaction of the indebtedness represented by such Securities unless and until the same are delivered to the Trustee for cancellation.</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80" w:firstLine="1296"/>
        <w:spacing w:after="0" w:line="287" w:lineRule="auto"/>
        <w:rPr>
          <w:sz w:val="20"/>
          <w:szCs w:val="20"/>
          <w:color w:val="auto"/>
        </w:rPr>
      </w:pPr>
      <w:r>
        <w:rPr>
          <w:rFonts w:ascii="Arial" w:cs="Arial" w:eastAsia="Arial" w:hAnsi="Arial"/>
          <w:sz w:val="16"/>
          <w:szCs w:val="16"/>
          <w:color w:val="auto"/>
        </w:rPr>
        <w:t xml:space="preserve">SECTION 2.11. </w:t>
      </w:r>
      <w:r>
        <w:rPr>
          <w:rFonts w:ascii="Arial" w:cs="Arial" w:eastAsia="Arial" w:hAnsi="Arial"/>
          <w:sz w:val="16"/>
          <w:szCs w:val="16"/>
          <w:u w:val="single" w:color="auto"/>
          <w:color w:val="auto"/>
        </w:rPr>
        <w:t>Temporary Securities.</w:t>
      </w:r>
      <w:r>
        <w:rPr>
          <w:rFonts w:ascii="Arial" w:cs="Arial" w:eastAsia="Arial" w:hAnsi="Arial"/>
          <w:sz w:val="16"/>
          <w:szCs w:val="16"/>
          <w:color w:val="auto"/>
        </w:rPr>
        <w:t xml:space="preserve"> Pending the preparation of definitive Securities for any series, the Issuer may execute and the Trustee shall authenticate and deliver temporary Securities for such series (printed, lithographed, typewritten or otherwise reproduced, in each case in form satisfactory to the Trustee). Temporary Securities of any series shall be issuable as Registered Securities without coupons, of any authorized denomination, and substantially in the form of the definitive Securities of such series but with such omissions, insertions and variations as may be appropriate for temporary Securities, all as may be determined by the Issuer with the concurrence of the Trustee. Temporary Securities may contain such reference to any provisions of this Indenture as may be appropriate. Every temporary Security shall be executed by the Issuer and be authenticated by the Trustee upon the same conditions and in substantially the same manner, and with like effect, as the definitive Securities. Without unreasonable delay the Issuer shall execute and shall furnish definitive Securities of such series and thereupon temporary Securities of such series may be surrendered in exchange therefor without charge at each office or agency to be maintained by the Issuer for that purpose pursuant to Section 3.02, and the Trustee shall authenticate and deliver in exchange for such temporary Securities of such series a like aggregate principal amount of definitive Securities of the same series of authorized denominations. Until so exchanged, the Holder of temporary Securities of any series shall be entitled to the same benefits under this Indenture as a Holder of definitive Securities of such series unless otherwise established pursuant to Section 2.03.</w:t>
      </w:r>
    </w:p>
    <w:p>
      <w:pPr>
        <w:spacing w:after="0" w:line="168" w:lineRule="exact"/>
        <w:rPr>
          <w:sz w:val="20"/>
          <w:szCs w:val="20"/>
          <w:color w:val="auto"/>
        </w:rPr>
      </w:pPr>
    </w:p>
    <w:p>
      <w:pPr>
        <w:ind w:right="20" w:firstLine="1296"/>
        <w:spacing w:after="0" w:line="275" w:lineRule="auto"/>
        <w:rPr>
          <w:sz w:val="20"/>
          <w:szCs w:val="20"/>
          <w:color w:val="auto"/>
        </w:rPr>
      </w:pPr>
      <w:r>
        <w:rPr>
          <w:rFonts w:ascii="Arial" w:cs="Arial" w:eastAsia="Arial" w:hAnsi="Arial"/>
          <w:sz w:val="17"/>
          <w:szCs w:val="17"/>
          <w:color w:val="auto"/>
        </w:rPr>
        <w:t xml:space="preserve">SECTION 2.12. </w:t>
      </w:r>
      <w:r>
        <w:rPr>
          <w:rFonts w:ascii="Arial" w:cs="Arial" w:eastAsia="Arial" w:hAnsi="Arial"/>
          <w:sz w:val="17"/>
          <w:szCs w:val="17"/>
          <w:u w:val="single" w:color="auto"/>
          <w:color w:val="auto"/>
        </w:rPr>
        <w:t>CUSIP Numbers.</w:t>
      </w:r>
      <w:r>
        <w:rPr>
          <w:rFonts w:ascii="Arial" w:cs="Arial" w:eastAsia="Arial" w:hAnsi="Arial"/>
          <w:sz w:val="17"/>
          <w:szCs w:val="17"/>
          <w:color w:val="auto"/>
        </w:rPr>
        <w:t xml:space="preserve"> The Issuer in issuing the Securities may use “CUSIP” numbers (if then generally in use), and, if so, the Trustee shall use “CUSIP” numbers in notices of redemption as a convenience to Holders; provided that any such notice may state that no representation is made as to the correctness of such numbers either as printed on the Securities or as contained in any notice of a redemption and that reliance may be placed only on the other identification numbers printed on the Securities, and any such redemption shall not be affected by any defect in or omission of such numbers. The Issuer will promptly notify the Trustee in writing of any change in the “CUSIP” numbers.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Covenants of the Issuer and the Trustee</w:t>
      </w:r>
    </w:p>
    <w:p>
      <w:pPr>
        <w:spacing w:after="0" w:line="225" w:lineRule="exact"/>
        <w:rPr>
          <w:sz w:val="20"/>
          <w:szCs w:val="20"/>
          <w:color w:val="auto"/>
        </w:rPr>
      </w:pPr>
    </w:p>
    <w:p>
      <w:pPr>
        <w:ind w:right="20" w:firstLine="1296"/>
        <w:spacing w:after="0" w:line="254"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Payment of Principal and Interest.</w:t>
      </w:r>
      <w:r>
        <w:rPr>
          <w:rFonts w:ascii="Arial" w:cs="Arial" w:eastAsia="Arial" w:hAnsi="Arial"/>
          <w:sz w:val="18"/>
          <w:szCs w:val="18"/>
          <w:color w:val="auto"/>
        </w:rPr>
        <w:t xml:space="preserve"> The Issuer covenants and agrees for the benefit of each series of Securities that it will duly and punctually pay or cause to be paid the principal of, and interest on, each of the Securities of such series (together with any additional amounts payable pursuant to the terms of such Securities) at the place or places, at the respective times and in the manner provided in such Securities. Subject to any other provisions that may be established pursuant to Section 2.03, the interest on Securities (together with any additional amounts payable pursuant to the terms of such Securities) shall be payable only to or upon the written order of the Holders thereof and, at the option of the Issuer, may be paid by wire transfer or by mailing checks for such interest payable to or upon the written order of such Holders at their last addresses as they appear on the registry books of the Issuer.</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2" w:name="page123"/>
    <w:bookmarkEnd w:id="122"/>
    <w:p>
      <w:pPr>
        <w:ind w:firstLine="1296"/>
        <w:spacing w:after="0" w:line="271" w:lineRule="auto"/>
        <w:rPr>
          <w:sz w:val="20"/>
          <w:szCs w:val="20"/>
          <w:color w:val="auto"/>
        </w:rPr>
      </w:pPr>
      <w:r>
        <w:rPr>
          <w:rFonts w:ascii="Arial" w:cs="Arial" w:eastAsia="Arial" w:hAnsi="Arial"/>
          <w:sz w:val="17"/>
          <w:szCs w:val="17"/>
          <w:color w:val="auto"/>
        </w:rPr>
        <w:t xml:space="preserve">SECTION 3.02. </w:t>
      </w:r>
      <w:r>
        <w:rPr>
          <w:rFonts w:ascii="Arial" w:cs="Arial" w:eastAsia="Arial" w:hAnsi="Arial"/>
          <w:sz w:val="17"/>
          <w:szCs w:val="17"/>
          <w:u w:val="single" w:color="auto"/>
          <w:color w:val="auto"/>
        </w:rPr>
        <w:t>Offices for Payments, etc.</w:t>
      </w:r>
      <w:r>
        <w:rPr>
          <w:rFonts w:ascii="Arial" w:cs="Arial" w:eastAsia="Arial" w:hAnsi="Arial"/>
          <w:sz w:val="17"/>
          <w:szCs w:val="17"/>
          <w:color w:val="auto"/>
        </w:rPr>
        <w:t xml:space="preserve"> So long as any of the Securities remain outstanding, the Issuer will maintain in the Borough of Manhattan, the City of New York, the following for each series: an office or agency (a) where the Securities may be presented for payment, (b) where the Securities may be presented for registration of transfer and for exchange as in this Indenture provided and (c) where notices and demands to or upon the Issuer in respect of the Securities or of this Indenture may be served. The Issuer will give to the Trustee written notice of the location of any such office or agency and of any change of location thereof. Unless otherwise specified in accordance with Section 2.03, the Issuer hereby initially designates the Corporate Trust Office of the Trustee, as the office to be maintained by it for each such purpose. In case the Issuer shall fail to so designate or maintain any such office or agency or shall fail to give such notice of the location or of any change in the location thereof, presentations and demands may be made and notices may be served at the Corporate Trust Office.</w:t>
      </w:r>
    </w:p>
    <w:p>
      <w:pPr>
        <w:spacing w:after="0" w:line="178" w:lineRule="exact"/>
        <w:rPr>
          <w:sz w:val="20"/>
          <w:szCs w:val="20"/>
          <w:color w:val="auto"/>
        </w:rPr>
      </w:pPr>
    </w:p>
    <w:p>
      <w:pPr>
        <w:ind w:right="20" w:firstLine="1296"/>
        <w:spacing w:after="0" w:line="255" w:lineRule="auto"/>
        <w:rPr>
          <w:sz w:val="20"/>
          <w:szCs w:val="20"/>
          <w:color w:val="auto"/>
        </w:rPr>
      </w:pPr>
      <w:r>
        <w:rPr>
          <w:rFonts w:ascii="Arial" w:cs="Arial" w:eastAsia="Arial" w:hAnsi="Arial"/>
          <w:sz w:val="18"/>
          <w:szCs w:val="18"/>
          <w:color w:val="auto"/>
        </w:rPr>
        <w:t>The Issuer may from time to time designate one or more additional offices or agencies where the Securities of a series may be presented for payment, where the Securities of that series may be presented for exchange as provided in this Indenture and pursuant to Section 2.03 and where the Securities of that series may be presented for registration of transfer as provided in this Indenture, and the Issuer may from time to time rescind any such designation, as the Issuer may deem desirable or expedient; provided, however, that no such designation or rescission shall in any manner relieve the Issuer of its obligation to maintain the agencies provided for in this Section. The Issuer will give to the Trustee prompt written notice of any such designation or rescission thereof.</w:t>
      </w:r>
    </w:p>
    <w:p>
      <w:pPr>
        <w:spacing w:after="0" w:line="192" w:lineRule="exact"/>
        <w:rPr>
          <w:sz w:val="20"/>
          <w:szCs w:val="20"/>
          <w:color w:val="auto"/>
        </w:rPr>
      </w:pPr>
    </w:p>
    <w:p>
      <w:pPr>
        <w:ind w:right="120" w:firstLine="1296"/>
        <w:spacing w:after="0" w:line="263" w:lineRule="auto"/>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Appointment to Fill a Vacancy in Office of Trustee.</w:t>
      </w:r>
      <w:r>
        <w:rPr>
          <w:rFonts w:ascii="Arial" w:cs="Arial" w:eastAsia="Arial" w:hAnsi="Arial"/>
          <w:sz w:val="18"/>
          <w:szCs w:val="18"/>
          <w:color w:val="auto"/>
        </w:rPr>
        <w:t xml:space="preserve"> The Issuer, whenever necessary to avoid or fill a vacancy in the office of the Trustee, will appoint, in the manner provided in Section 5.09, a Trustee, so that there shall at all times be a Trustee with respect to each series of Securities hereunder.</w:t>
      </w:r>
    </w:p>
    <w:p>
      <w:pPr>
        <w:spacing w:after="0" w:line="184" w:lineRule="exact"/>
        <w:rPr>
          <w:sz w:val="20"/>
          <w:szCs w:val="20"/>
          <w:color w:val="auto"/>
        </w:rPr>
      </w:pPr>
    </w:p>
    <w:p>
      <w:pPr>
        <w:ind w:right="80" w:firstLine="1296"/>
        <w:spacing w:after="0" w:line="263" w:lineRule="auto"/>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Paying Agents.</w:t>
      </w:r>
      <w:r>
        <w:rPr>
          <w:rFonts w:ascii="Arial" w:cs="Arial" w:eastAsia="Arial" w:hAnsi="Arial"/>
          <w:sz w:val="18"/>
          <w:szCs w:val="18"/>
          <w:color w:val="auto"/>
        </w:rPr>
        <w:t xml:space="preserve"> Whenever the Issuer shall appoint a paying agent other than the Trustee with respect to the Securities of any series, it will cause such paying agent to execute and deliver to the Trustee an instrument in which such agent shall agree with the Trustee, subject to the provisions of this Section,</w:t>
      </w:r>
    </w:p>
    <w:p>
      <w:pPr>
        <w:spacing w:after="0" w:line="184" w:lineRule="exact"/>
        <w:rPr>
          <w:sz w:val="20"/>
          <w:szCs w:val="20"/>
          <w:color w:val="auto"/>
        </w:rPr>
      </w:pPr>
    </w:p>
    <w:p>
      <w:pPr>
        <w:ind w:left="660" w:firstLine="644"/>
        <w:spacing w:after="0" w:line="263" w:lineRule="auto"/>
        <w:tabs>
          <w:tab w:leader="none" w:pos="155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that it will hold all sums received by it as such agent for the payment of the principal of or interest on the Securities of such series (whether such sums have been paid to it by the Issuer or by any other obligor on the Securities of such series) in trust for the benefit of the Holders of the Securities of such series or of the Trustee,</w:t>
      </w:r>
    </w:p>
    <w:p>
      <w:pPr>
        <w:spacing w:after="0" w:line="183" w:lineRule="exact"/>
        <w:rPr>
          <w:rFonts w:ascii="Arial" w:cs="Arial" w:eastAsia="Arial" w:hAnsi="Arial"/>
          <w:sz w:val="18"/>
          <w:szCs w:val="18"/>
          <w:color w:val="auto"/>
        </w:rPr>
      </w:pPr>
    </w:p>
    <w:p>
      <w:pPr>
        <w:ind w:left="660" w:right="240" w:firstLine="644"/>
        <w:spacing w:after="0" w:line="277" w:lineRule="auto"/>
        <w:tabs>
          <w:tab w:leader="none" w:pos="156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that it will give the Trustee notice of any failure by the Issuer (or by any other obligor on the Securities of such series) to make any payment of the principal of or interest on the Securities of such series when the same shall be due and payable,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23" w:name="page124"/>
    <w:bookmarkEnd w:id="123"/>
    <w:p>
      <w:pPr>
        <w:ind w:left="660" w:firstLine="644"/>
        <w:spacing w:after="0" w:line="277" w:lineRule="auto"/>
        <w:tabs>
          <w:tab w:leader="none" w:pos="155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that it will pay any such sums so held in trust by it to the Trustee upon the Trustee’s written request at any time during the continuance of the failure referred to in Section 3.04(b) above.</w:t>
      </w:r>
    </w:p>
    <w:p>
      <w:pPr>
        <w:spacing w:after="0" w:line="170" w:lineRule="exact"/>
        <w:rPr>
          <w:sz w:val="20"/>
          <w:szCs w:val="20"/>
          <w:color w:val="auto"/>
        </w:rPr>
      </w:pPr>
    </w:p>
    <w:p>
      <w:pPr>
        <w:jc w:val="both"/>
        <w:ind w:right="240" w:firstLine="1296"/>
        <w:spacing w:after="0" w:line="263" w:lineRule="auto"/>
        <w:rPr>
          <w:sz w:val="20"/>
          <w:szCs w:val="20"/>
          <w:color w:val="auto"/>
        </w:rPr>
      </w:pPr>
      <w:r>
        <w:rPr>
          <w:rFonts w:ascii="Arial" w:cs="Arial" w:eastAsia="Arial" w:hAnsi="Arial"/>
          <w:sz w:val="18"/>
          <w:szCs w:val="18"/>
          <w:color w:val="auto"/>
        </w:rPr>
        <w:t>The Issuer will, on or prior to 10:00 a.m. New York City time on each due date of the principal of or interest on the Securities of such series, deposit with the paying agent a sum sufficient to pay such principal or interest so becoming due, and (unless such paying agent is the Trustee) the Issuer will promptly notify the Trustee of any failure to take such action.</w:t>
      </w:r>
    </w:p>
    <w:p>
      <w:pPr>
        <w:spacing w:after="0" w:line="184" w:lineRule="exact"/>
        <w:rPr>
          <w:sz w:val="20"/>
          <w:szCs w:val="20"/>
          <w:color w:val="auto"/>
        </w:rPr>
      </w:pPr>
    </w:p>
    <w:p>
      <w:pPr>
        <w:ind w:right="140" w:firstLine="1296"/>
        <w:spacing w:after="0" w:line="311" w:lineRule="auto"/>
        <w:rPr>
          <w:sz w:val="20"/>
          <w:szCs w:val="20"/>
          <w:color w:val="auto"/>
        </w:rPr>
      </w:pPr>
      <w:r>
        <w:rPr>
          <w:rFonts w:ascii="Arial" w:cs="Arial" w:eastAsia="Arial" w:hAnsi="Arial"/>
          <w:sz w:val="16"/>
          <w:szCs w:val="16"/>
          <w:color w:val="auto"/>
        </w:rPr>
        <w:t>If the Issuer shall act as its own paying agent with respect to the Securities of any series, it will, on or before each due date of the principal of or interest on the Securities of such series, set aside, segregate and hold in trust for the benefit of the Holders of the Securities of such series a sum sufficient to pay such principal or interest so becoming due. The Issuer will promptly notify the Trustee of any failure to take such action.</w:t>
      </w:r>
    </w:p>
    <w:p>
      <w:pPr>
        <w:spacing w:after="0" w:line="149" w:lineRule="exact"/>
        <w:rPr>
          <w:sz w:val="20"/>
          <w:szCs w:val="20"/>
          <w:color w:val="auto"/>
        </w:rPr>
      </w:pPr>
    </w:p>
    <w:p>
      <w:pPr>
        <w:ind w:right="60" w:firstLine="1296"/>
        <w:spacing w:after="0" w:line="259" w:lineRule="auto"/>
        <w:rPr>
          <w:sz w:val="20"/>
          <w:szCs w:val="20"/>
          <w:color w:val="auto"/>
        </w:rPr>
      </w:pPr>
      <w:r>
        <w:rPr>
          <w:rFonts w:ascii="Arial" w:cs="Arial" w:eastAsia="Arial" w:hAnsi="Arial"/>
          <w:sz w:val="18"/>
          <w:szCs w:val="18"/>
          <w:color w:val="auto"/>
        </w:rPr>
        <w:t>Anything in this section to the contrary notwithstanding, the Issuer may at any time, for the purpose of obtaining a satisfaction and discharge with respect to one or more or all series of Securities hereunder, or for any other reason, pay or cause to be paid to the Trustee all sums held in trust for any such series by the Issuer or any paying agent hereunder, as required by this Section, such sums to be held by the Trustee upon the trusts herein contained.</w:t>
      </w:r>
    </w:p>
    <w:p>
      <w:pPr>
        <w:spacing w:after="0" w:line="187" w:lineRule="exact"/>
        <w:rPr>
          <w:sz w:val="20"/>
          <w:szCs w:val="20"/>
          <w:color w:val="auto"/>
        </w:rPr>
      </w:pPr>
    </w:p>
    <w:p>
      <w:pPr>
        <w:ind w:right="180" w:firstLine="1296"/>
        <w:spacing w:after="0" w:line="277" w:lineRule="auto"/>
        <w:rPr>
          <w:sz w:val="20"/>
          <w:szCs w:val="20"/>
          <w:color w:val="auto"/>
        </w:rPr>
      </w:pPr>
      <w:r>
        <w:rPr>
          <w:rFonts w:ascii="Arial" w:cs="Arial" w:eastAsia="Arial" w:hAnsi="Arial"/>
          <w:sz w:val="18"/>
          <w:szCs w:val="18"/>
          <w:color w:val="auto"/>
        </w:rPr>
        <w:t>Anything in this section to the contrary notwithstanding, the agreement to hold sums in trust as provided in this section is subject to the provisions of Section 9.03 and 9.04.</w:t>
      </w:r>
    </w:p>
    <w:p>
      <w:pPr>
        <w:spacing w:after="0" w:line="170" w:lineRule="exact"/>
        <w:rPr>
          <w:sz w:val="20"/>
          <w:szCs w:val="20"/>
          <w:color w:val="auto"/>
        </w:rPr>
      </w:pPr>
    </w:p>
    <w:p>
      <w:pPr>
        <w:ind w:right="280" w:firstLine="1296"/>
        <w:spacing w:after="0" w:line="296" w:lineRule="auto"/>
        <w:rPr>
          <w:sz w:val="20"/>
          <w:szCs w:val="20"/>
          <w:color w:val="auto"/>
        </w:rPr>
      </w:pPr>
      <w:r>
        <w:rPr>
          <w:rFonts w:ascii="Arial" w:cs="Arial" w:eastAsia="Arial" w:hAnsi="Arial"/>
          <w:sz w:val="16"/>
          <w:szCs w:val="16"/>
          <w:color w:val="auto"/>
        </w:rPr>
        <w:t xml:space="preserve">SECTION 3.05. </w:t>
      </w:r>
      <w:r>
        <w:rPr>
          <w:rFonts w:ascii="Arial" w:cs="Arial" w:eastAsia="Arial" w:hAnsi="Arial"/>
          <w:sz w:val="16"/>
          <w:szCs w:val="16"/>
          <w:u w:val="single" w:color="auto"/>
          <w:color w:val="auto"/>
        </w:rPr>
        <w:t>Certificate of the Issuer.</w:t>
      </w:r>
      <w:r>
        <w:rPr>
          <w:rFonts w:ascii="Arial" w:cs="Arial" w:eastAsia="Arial" w:hAnsi="Arial"/>
          <w:sz w:val="16"/>
          <w:szCs w:val="16"/>
          <w:color w:val="auto"/>
        </w:rPr>
        <w:t xml:space="preserve"> The Issuer will furnish to the Trustee on or before [ ] in each year (beginning with [ ]) an Officers’ Certificate of the Issuer as to the signers’ knowledge of the Issuer’s compliance with all conditions and covenants under the Indenture (such compliance to be determined without regard to any period of grace or requirement of notice provided under the Indenture). In the event an officer of the Issuer comes to have actual knowledge of an Event of Default or an event which, with notice or the lapse of time or both, would constitute an Event of Default, regardless of the date, the Issuer shall deliver an Officers’ Certificate to the Trustee specifying such Default and the nature and status thereof.</w:t>
      </w:r>
    </w:p>
    <w:p>
      <w:pPr>
        <w:spacing w:after="0" w:line="161" w:lineRule="exact"/>
        <w:rPr>
          <w:sz w:val="20"/>
          <w:szCs w:val="20"/>
          <w:color w:val="auto"/>
        </w:rPr>
      </w:pPr>
    </w:p>
    <w:p>
      <w:pPr>
        <w:ind w:right="100" w:firstLine="1296"/>
        <w:spacing w:after="0" w:line="275" w:lineRule="auto"/>
        <w:rPr>
          <w:sz w:val="20"/>
          <w:szCs w:val="20"/>
          <w:color w:val="auto"/>
        </w:rPr>
      </w:pPr>
      <w:r>
        <w:rPr>
          <w:rFonts w:ascii="Arial" w:cs="Arial" w:eastAsia="Arial" w:hAnsi="Arial"/>
          <w:sz w:val="17"/>
          <w:szCs w:val="17"/>
          <w:color w:val="auto"/>
        </w:rPr>
        <w:t xml:space="preserve">SECTION 3.06. </w:t>
      </w:r>
      <w:r>
        <w:rPr>
          <w:rFonts w:ascii="Arial" w:cs="Arial" w:eastAsia="Arial" w:hAnsi="Arial"/>
          <w:sz w:val="17"/>
          <w:szCs w:val="17"/>
          <w:u w:val="single" w:color="auto"/>
          <w:color w:val="auto"/>
        </w:rPr>
        <w:t>Securityholders Lists.</w:t>
      </w:r>
      <w:r>
        <w:rPr>
          <w:rFonts w:ascii="Arial" w:cs="Arial" w:eastAsia="Arial" w:hAnsi="Arial"/>
          <w:sz w:val="17"/>
          <w:szCs w:val="17"/>
          <w:color w:val="auto"/>
        </w:rPr>
        <w:t xml:space="preserve"> If and so long as the Trustee shall not be the Security registrar for the Securities of any series, the Issuer will furnish or cause to be furnished to the Trustee a list in such form as the Trustee may reasonably require of the names and addresses of the Holders of the Securities of such series pursuant to Section 312 of the Trust Indenture Act of 1939 (a) semi-annually not more than 15 days after each record date for the payment of interest on such Securities, as hereinabove specified, as of such record date and on dates to be determined pursuant to Section 2.03 for non-interest bearing securities in each year, and (b) at such other times as the Trustee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24" w:name="page125"/>
    <w:bookmarkEnd w:id="124"/>
    <w:p>
      <w:pPr>
        <w:ind w:right="820"/>
        <w:spacing w:after="0" w:line="277" w:lineRule="auto"/>
        <w:rPr>
          <w:sz w:val="20"/>
          <w:szCs w:val="20"/>
          <w:color w:val="auto"/>
        </w:rPr>
      </w:pPr>
      <w:r>
        <w:rPr>
          <w:rFonts w:ascii="Arial" w:cs="Arial" w:eastAsia="Arial" w:hAnsi="Arial"/>
          <w:sz w:val="18"/>
          <w:szCs w:val="18"/>
          <w:color w:val="auto"/>
        </w:rPr>
        <w:t>may request in writing, within thirty days after receipt by the Issuer of any such request as of a date not more than 15 days prior to the time such information is furnished.</w:t>
      </w:r>
    </w:p>
    <w:p>
      <w:pPr>
        <w:spacing w:after="0" w:line="170" w:lineRule="exact"/>
        <w:rPr>
          <w:sz w:val="20"/>
          <w:szCs w:val="20"/>
          <w:color w:val="auto"/>
        </w:rPr>
      </w:pPr>
    </w:p>
    <w:p>
      <w:pPr>
        <w:ind w:right="60" w:firstLine="1296"/>
        <w:spacing w:after="0" w:line="255" w:lineRule="auto"/>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u w:val="single" w:color="auto"/>
          <w:color w:val="auto"/>
        </w:rPr>
        <w:t>Reports by the Issuer.</w:t>
      </w:r>
      <w:r>
        <w:rPr>
          <w:rFonts w:ascii="Arial" w:cs="Arial" w:eastAsia="Arial" w:hAnsi="Arial"/>
          <w:sz w:val="18"/>
          <w:szCs w:val="18"/>
          <w:color w:val="auto"/>
        </w:rPr>
        <w:t xml:space="preserve"> The Issuer covenants to file with the Trustee, within 15 days after the Issuer files the same with the Commission, copies of the annual reports and of the information, documents, and other reports that the Issuer may be required to file with the Commission pursuant to Section 13 or Section 15(d) of the Securities Exchange Act of 1934. Delivery of such reports, information and documents to the Trustee is for informational purposes only and the Trustee’s receipt of such shall not constitute constructive notice of any information contained therein or determinable from information contained therein, including the Issuer’s compliance with any of its covenants hereunder (as to which the Trustee is entitled to rely exclusively on Officers’ Certificates).</w:t>
      </w:r>
    </w:p>
    <w:p>
      <w:pPr>
        <w:spacing w:after="0" w:line="192" w:lineRule="exact"/>
        <w:rPr>
          <w:sz w:val="20"/>
          <w:szCs w:val="20"/>
          <w:color w:val="auto"/>
        </w:rPr>
      </w:pPr>
    </w:p>
    <w:p>
      <w:pPr>
        <w:ind w:right="40" w:firstLine="1296"/>
        <w:spacing w:after="0" w:line="259" w:lineRule="auto"/>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u w:val="single" w:color="auto"/>
          <w:color w:val="auto"/>
        </w:rPr>
        <w:t>Reports by the Trustee.</w:t>
      </w:r>
      <w:r>
        <w:rPr>
          <w:rFonts w:ascii="Arial" w:cs="Arial" w:eastAsia="Arial" w:hAnsi="Arial"/>
          <w:sz w:val="18"/>
          <w:szCs w:val="18"/>
          <w:color w:val="auto"/>
        </w:rPr>
        <w:t xml:space="preserve"> Any Trustee’s report required under Section 313(a) of the Trust Indenture Act of 1939 shall be transmitted on or before [ ] in each year following the date hereof, so long as any Securities are outstanding hereunder, and shall be dated as of a date convenient to the Trustee no more than 60 nor less than 45 days prior thereto. The Trustee shall also comply with Section 313(b) of the Trust Indenture Act of 1939.</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Remedies of the Trustee and Securityholders on Event of Default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 xml:space="preserve">SECTION 4.01. </w:t>
      </w:r>
      <w:r>
        <w:rPr>
          <w:rFonts w:ascii="Arial" w:cs="Arial" w:eastAsia="Arial" w:hAnsi="Arial"/>
          <w:sz w:val="17"/>
          <w:szCs w:val="17"/>
          <w:u w:val="single" w:color="auto"/>
          <w:color w:val="auto"/>
        </w:rPr>
        <w:t>Event of Default; Acceleration of Maturity; Waiver of Default.</w:t>
      </w:r>
      <w:r>
        <w:rPr>
          <w:rFonts w:ascii="Arial" w:cs="Arial" w:eastAsia="Arial" w:hAnsi="Arial"/>
          <w:sz w:val="17"/>
          <w:szCs w:val="17"/>
          <w:color w:val="auto"/>
        </w:rPr>
        <w:t xml:space="preserve"> Unless otherwise established in accordance with</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Section 2.03 or by any applicable supplemental indenture, “Event of Default” with respect to Securities of any series wherever used herein, means each one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following events which shall have occurred and be continuing (whatever the reason for such Event of Default and whether it shall be voluntary 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involuntary or be effected by operation of law or pursuant to any judgment, decree or order of any court or any order, rule or regulation of 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or governmental body):</w:t>
      </w:r>
    </w:p>
    <w:p>
      <w:pPr>
        <w:spacing w:after="0" w:line="211" w:lineRule="exact"/>
        <w:rPr>
          <w:sz w:val="20"/>
          <w:szCs w:val="20"/>
          <w:color w:val="auto"/>
        </w:rPr>
      </w:pPr>
    </w:p>
    <w:p>
      <w:pPr>
        <w:ind w:left="1540" w:hanging="236"/>
        <w:spacing w:after="0"/>
        <w:tabs>
          <w:tab w:leader="none" w:pos="15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default for more than 30 days in the payment of interest, premium or principal in respect of the Securities; or</w:t>
      </w:r>
    </w:p>
    <w:p>
      <w:pPr>
        <w:spacing w:after="0" w:line="225" w:lineRule="exact"/>
        <w:rPr>
          <w:rFonts w:ascii="Arial" w:cs="Arial" w:eastAsia="Arial" w:hAnsi="Arial"/>
          <w:sz w:val="18"/>
          <w:szCs w:val="18"/>
          <w:color w:val="auto"/>
        </w:rPr>
      </w:pPr>
    </w:p>
    <w:p>
      <w:pPr>
        <w:ind w:left="660" w:right="380" w:firstLine="644"/>
        <w:spacing w:after="0" w:line="277" w:lineRule="auto"/>
        <w:tabs>
          <w:tab w:leader="none" w:pos="1563"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failure to perform or observe any other obligations under the Securities which failure continues for the period of 60 days next following service on the Issuer of notice requiring the same to be remedied; or</w:t>
      </w:r>
    </w:p>
    <w:p>
      <w:pPr>
        <w:spacing w:after="0" w:line="170" w:lineRule="exact"/>
        <w:rPr>
          <w:rFonts w:ascii="Arial" w:cs="Arial" w:eastAsia="Arial" w:hAnsi="Arial"/>
          <w:sz w:val="18"/>
          <w:szCs w:val="18"/>
          <w:color w:val="auto"/>
        </w:rPr>
      </w:pPr>
    </w:p>
    <w:p>
      <w:pPr>
        <w:ind w:left="1540" w:hanging="236"/>
        <w:spacing w:after="0"/>
        <w:tabs>
          <w:tab w:leader="none" w:pos="15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entry by a court having jurisdiction in the premises of:</w:t>
      </w:r>
    </w:p>
    <w:p>
      <w:pPr>
        <w:spacing w:after="0" w:line="225" w:lineRule="exact"/>
        <w:rPr>
          <w:rFonts w:ascii="Arial" w:cs="Arial" w:eastAsia="Arial" w:hAnsi="Arial"/>
          <w:sz w:val="18"/>
          <w:szCs w:val="18"/>
          <w:color w:val="auto"/>
        </w:rPr>
      </w:pPr>
    </w:p>
    <w:p>
      <w:pPr>
        <w:ind w:left="1300" w:right="320" w:firstLine="652"/>
        <w:spacing w:after="0" w:line="277" w:lineRule="auto"/>
        <w:tabs>
          <w:tab w:leader="none" w:pos="2163"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 decree or order for relief in respect of the Issuer in an involuntary case or proceeding under any applicable U.S. federal, state or non-U.S. bankruptcy, insolvency, reorganization or other similar law; 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25" w:name="page126"/>
    <w:bookmarkEnd w:id="125"/>
    <w:p>
      <w:pPr>
        <w:ind w:left="1300" w:firstLine="652"/>
        <w:spacing w:after="0" w:line="275" w:lineRule="auto"/>
        <w:tabs>
          <w:tab w:leader="none" w:pos="2213" w:val="left"/>
        </w:tabs>
        <w:numPr>
          <w:ilvl w:val="1"/>
          <w:numId w:val="114"/>
        </w:numPr>
        <w:rPr>
          <w:rFonts w:ascii="Arial" w:cs="Arial" w:eastAsia="Arial" w:hAnsi="Arial"/>
          <w:sz w:val="17"/>
          <w:szCs w:val="17"/>
          <w:color w:val="auto"/>
        </w:rPr>
      </w:pPr>
      <w:r>
        <w:rPr>
          <w:rFonts w:ascii="Arial" w:cs="Arial" w:eastAsia="Arial" w:hAnsi="Arial"/>
          <w:sz w:val="17"/>
          <w:szCs w:val="17"/>
          <w:color w:val="auto"/>
        </w:rPr>
        <w:t>a decree or order adjudging the Issuer a bankrupt or insolvent, or approving as properly filed a petition seeking reorganization, arrangement, adjustment or composition of or in respect of the Issuer under any applicable U.S. federal, state or non-U.S. law, or appointing a custodian, receiver, liquidator, assignee, trustee, sequestrator or other similar official of the Issuer or of any substantial part of its property, or ordering the winding up or liquidation of its affairs, and the continuance of any such decree or order for relief or any such other decree or order unstayed and in effect for a period of 60 consecutive days; or</w:t>
      </w:r>
    </w:p>
    <w:p>
      <w:pPr>
        <w:spacing w:after="0" w:line="176" w:lineRule="exact"/>
        <w:rPr>
          <w:rFonts w:ascii="Arial" w:cs="Arial" w:eastAsia="Arial" w:hAnsi="Arial"/>
          <w:sz w:val="17"/>
          <w:szCs w:val="17"/>
          <w:color w:val="auto"/>
        </w:rPr>
      </w:pPr>
    </w:p>
    <w:p>
      <w:pPr>
        <w:ind w:left="660" w:right="60" w:firstLine="644"/>
        <w:spacing w:after="0" w:line="289" w:lineRule="auto"/>
        <w:tabs>
          <w:tab w:leader="none" w:pos="1563"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commencement by the Issuer of a voluntary case or proceeding under any applicable U.S. federal, state or non-U.S. bankruptcy, insolvency, reorganization or other similar law or of any other case or proceeding to be adjudicated a bankrupt or insolvent, or the consent by the Issuer to the entry of a decree or order for relief in respect of the Issuer in an involuntary case or proceeding under any applicable U.S. federal, state or non-U.S. bankruptcy, insolvency, reorganization or other similar law or to the commencement of any bankruptcy or insolvency case or proceeding against the Issuer, or the filing by the Issuer of a petition or answer or consent seeking reorganization or relief under any applicable U.S. federal, state or non-U.S. law, or the consent by the Issuer to the filing of such petition or to the appointment of or the taking possession by a custodian, receiver, liquidator, assignee, trustee, sequestrator or other similar official of the Issuer or of any substantial part of its property, or the making by the Issuer of an assignment for the benefit of creditors, or the admission by the Issuer in writing of its inability to pay its debts generally as they become due, or the taking of corporate action by the Issuer expressly in furtherance of any such action; or</w:t>
      </w:r>
    </w:p>
    <w:p>
      <w:pPr>
        <w:spacing w:after="0" w:line="166" w:lineRule="exact"/>
        <w:rPr>
          <w:rFonts w:ascii="Arial" w:cs="Arial" w:eastAsia="Arial" w:hAnsi="Arial"/>
          <w:sz w:val="16"/>
          <w:szCs w:val="16"/>
          <w:color w:val="auto"/>
        </w:rPr>
      </w:pPr>
    </w:p>
    <w:p>
      <w:pPr>
        <w:ind w:left="660" w:right="80" w:firstLine="644"/>
        <w:spacing w:after="0" w:line="277" w:lineRule="auto"/>
        <w:tabs>
          <w:tab w:leader="none" w:pos="1553"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any other Event of Default provided in the supplemental indenture or resolution of the Board under which such series of Securities is issued or in the form of Security for such series.</w:t>
      </w:r>
    </w:p>
    <w:p>
      <w:pPr>
        <w:spacing w:after="0" w:line="170" w:lineRule="exact"/>
        <w:rPr>
          <w:sz w:val="20"/>
          <w:szCs w:val="20"/>
          <w:color w:val="auto"/>
        </w:rPr>
      </w:pPr>
    </w:p>
    <w:p>
      <w:pPr>
        <w:ind w:right="20" w:firstLine="1296"/>
        <w:spacing w:after="0" w:line="289" w:lineRule="auto"/>
        <w:rPr>
          <w:sz w:val="20"/>
          <w:szCs w:val="20"/>
          <w:color w:val="auto"/>
        </w:rPr>
      </w:pPr>
      <w:r>
        <w:rPr>
          <w:rFonts w:ascii="Arial" w:cs="Arial" w:eastAsia="Arial" w:hAnsi="Arial"/>
          <w:sz w:val="16"/>
          <w:szCs w:val="16"/>
          <w:color w:val="auto"/>
        </w:rPr>
        <w:t>Unless otherwise set forth in any applicable supplemental indenture, if an Event of Default described in Sections 4.01(a), 4.01(b), or 4.01(e) above (if the Event of Default under Sections 4.01(b) or 4.01(e) is with respect to less than all series of Securities then Outstanding) occurs and is continuing, then, and in each and every such case, except for any series the principal of which shall have already become due and payable, either the Trustee or the Holders of not less than 25% in aggregate principal amount of the Securities of all series affected thereby then Outstanding hereunder (treated as one class) by notice in writing to the Issuer (and to the Trustee if given by Securityholders), may declare the entire principal (or, if the Securities of any such affected series are Original Issue Discount Securities, such portion of the principal amount as may be specified in the terms of such series) of all Securities of such affected series and the interest accrued thereon, if any, to be due and payable immediately, and upon any such declaration the same shall become immediately due and payable. Unless otherwise set forth in any applicable supplemental indenture, if an Event of Default described in Sections 4.01(b) or 4.01(e) (if the Event of Default under Sections 4.01(b) or 4.01(e) is with respect to all</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126" w:name="page127"/>
    <w:bookmarkEnd w:id="126"/>
    <w:p>
      <w:pPr>
        <w:spacing w:after="0" w:line="270" w:lineRule="auto"/>
        <w:rPr>
          <w:sz w:val="20"/>
          <w:szCs w:val="20"/>
          <w:color w:val="auto"/>
        </w:rPr>
      </w:pPr>
      <w:r>
        <w:rPr>
          <w:rFonts w:ascii="Arial" w:cs="Arial" w:eastAsia="Arial" w:hAnsi="Arial"/>
          <w:sz w:val="17"/>
          <w:szCs w:val="17"/>
          <w:color w:val="auto"/>
        </w:rPr>
        <w:t>series of Securities at the time Outstanding) occurs and is continuing, then and in each and every such case, unless the principal of all the Securities shall have already become due and payable, either the Trustee or the Holders of not less than 25% in aggregate principal amount of all the then Outstanding Securities hereunder (treated as one class) for which any applicable supplemental indenture does not prevent acceleration under the relevant circumstances, by notice in writing to the Issuer (and to the Trustee if given by Securityholders), may declare the entire principal (or, if any Securities are Original Issue Discount Securities, such portion of the principal as may be specified in the terms thereof) of all the Securities then Outstanding and interest accrued thereon, if any, to be due and payable immediately, and upon any such declaration the same shall become immediately due and payable. Unless otherwise set forth in any applicable supplemental indenture, if an Event of Default described in Sections 4.01(c) or 4.01(d) occurs, then the principal and accrued and unpaid interest, and premium of any, with respect to any Securities then Outstanding shall ipso facto become and be immediately due and payable without any declaration or other act on the part of the Trustee or any Holder.</w:t>
      </w:r>
    </w:p>
    <w:p>
      <w:pPr>
        <w:spacing w:after="0" w:line="181" w:lineRule="exact"/>
        <w:rPr>
          <w:sz w:val="20"/>
          <w:szCs w:val="20"/>
          <w:color w:val="auto"/>
        </w:rPr>
      </w:pPr>
    </w:p>
    <w:p>
      <w:pPr>
        <w:ind w:right="40" w:firstLine="1296"/>
        <w:spacing w:after="0" w:line="285" w:lineRule="auto"/>
        <w:rPr>
          <w:sz w:val="20"/>
          <w:szCs w:val="20"/>
          <w:color w:val="auto"/>
        </w:rPr>
      </w:pPr>
      <w:r>
        <w:rPr>
          <w:rFonts w:ascii="Arial" w:cs="Arial" w:eastAsia="Arial" w:hAnsi="Arial"/>
          <w:sz w:val="16"/>
          <w:szCs w:val="16"/>
          <w:color w:val="auto"/>
        </w:rPr>
        <w:t>The foregoing provisions, however, are subject to the condition that if, at any time after the principal (or, if the Securities are Original Issue Discount Securities, such portion of the principal as may be specified in the terms thereof) of the Securities of any series (or of all the Securities, as the case may be) shall have been so declared due and payable, and before any judgment or decree for the payment of the moneys due shall have been obtained or entered as hereinafter provided, the Issuer shall pay or shall deposit with the Trustee a sum sufficient to pay all matured installments of interest upon all the Securities of such series (or of all the Securities, as the case may be) and the principal of any and all Securities of such series (or of all the Securities, as the case may be) which shall have become due otherwise than by acceleration (with interest upon such principal and, to the extent that payment of such interest is enforceable under applicable law, on overdue installments of interest, at the same rate as the rate of interest or Yield to Maturity (in the case of Original Issue Discount Securities) specified in the Securities of such series (or at the respective rates of interest or Yields to Maturity of all the Securities, as the case may be) to the date of such payment or deposit) and such amount as shall be sufficient to cover reasonable compensation to the Trustee, its agents, attorneys and counsel, and all other expenses and liabilities incurred, and all advances made, by the Trustee except as a result of negligence or bad faith, and if any and all Events of Default under the Indenture, other than the non-payment of the principal of Securities which shall have become due by acceleration, shall have been cured, waived or otherwise remedied as provided herein, then and in every such case the Holders of a majority in aggregate principal amount of all the Securities of each such series (or of all the Securities, as the case may be) then Outstanding (in each case treated as one class), by written notice to the Issuer and to the Trustee, may waive all defaults with respect to each such series (or with respect to all the Securities, as the case may be) and rescind and annul such declaration and its consequences, but no such waiver or rescission and annulment shall extend to or shall affect any subsequent default or shall impair any right consequent thereon.</w:t>
      </w:r>
    </w:p>
    <w:p>
      <w:pPr>
        <w:spacing w:after="0" w:line="176" w:lineRule="exact"/>
        <w:rPr>
          <w:sz w:val="20"/>
          <w:szCs w:val="20"/>
          <w:color w:val="auto"/>
        </w:rPr>
      </w:pPr>
    </w:p>
    <w:p>
      <w:pPr>
        <w:ind w:right="240" w:firstLine="1296"/>
        <w:spacing w:after="0" w:line="277" w:lineRule="auto"/>
        <w:rPr>
          <w:sz w:val="20"/>
          <w:szCs w:val="20"/>
          <w:color w:val="auto"/>
        </w:rPr>
      </w:pPr>
      <w:r>
        <w:rPr>
          <w:rFonts w:ascii="Arial" w:cs="Arial" w:eastAsia="Arial" w:hAnsi="Arial"/>
          <w:sz w:val="18"/>
          <w:szCs w:val="18"/>
          <w:color w:val="auto"/>
        </w:rPr>
        <w:t>For all purposes under this Indenture, if a portion of the principal of any Original Issue Discount Securities shall have been accelerated and declared due and payable pursuant to the provisions hereof, then, from and after such declaration, unless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7" w:name="page128"/>
    <w:bookmarkEnd w:id="127"/>
    <w:p>
      <w:pPr>
        <w:ind w:right="60"/>
        <w:spacing w:after="0" w:line="259" w:lineRule="auto"/>
        <w:rPr>
          <w:sz w:val="20"/>
          <w:szCs w:val="20"/>
          <w:color w:val="auto"/>
        </w:rPr>
      </w:pPr>
      <w:r>
        <w:rPr>
          <w:rFonts w:ascii="Arial" w:cs="Arial" w:eastAsia="Arial" w:hAnsi="Arial"/>
          <w:sz w:val="18"/>
          <w:szCs w:val="18"/>
          <w:color w:val="auto"/>
        </w:rPr>
        <w:t>such declaration has been rescinded and annulled, the principal amount of such Original Issue Discount Securities shall be deemed, for all purposes hereunder, to be such portion of the principal thereof as shall be due and payable as a result of such acceleration, and payment of such portion of the principal thereof as shall be due and payable as a result of such acceleration, together with interest, if any, thereon and all other amounts owing thereunder, shall constitute payment in full of such Original Issue Discount Securities.</w:t>
      </w:r>
    </w:p>
    <w:p>
      <w:pPr>
        <w:spacing w:after="0" w:line="187" w:lineRule="exact"/>
        <w:rPr>
          <w:sz w:val="20"/>
          <w:szCs w:val="20"/>
          <w:color w:val="auto"/>
        </w:rPr>
      </w:pPr>
    </w:p>
    <w:p>
      <w:pPr>
        <w:ind w:right="80" w:firstLine="1296"/>
        <w:spacing w:after="0" w:line="287" w:lineRule="auto"/>
        <w:rPr>
          <w:sz w:val="20"/>
          <w:szCs w:val="20"/>
          <w:color w:val="auto"/>
        </w:rPr>
      </w:pPr>
      <w:r>
        <w:rPr>
          <w:rFonts w:ascii="Arial" w:cs="Arial" w:eastAsia="Arial" w:hAnsi="Arial"/>
          <w:sz w:val="16"/>
          <w:szCs w:val="16"/>
          <w:color w:val="auto"/>
        </w:rPr>
        <w:t xml:space="preserve">SECTION 4.02. </w:t>
      </w:r>
      <w:r>
        <w:rPr>
          <w:rFonts w:ascii="Arial" w:cs="Arial" w:eastAsia="Arial" w:hAnsi="Arial"/>
          <w:sz w:val="16"/>
          <w:szCs w:val="16"/>
          <w:u w:val="single" w:color="auto"/>
          <w:color w:val="auto"/>
        </w:rPr>
        <w:t>Collection of Indebtedness by Trustee; Trustee May Prove Debt.</w:t>
      </w:r>
      <w:r>
        <w:rPr>
          <w:rFonts w:ascii="Arial" w:cs="Arial" w:eastAsia="Arial" w:hAnsi="Arial"/>
          <w:sz w:val="16"/>
          <w:szCs w:val="16"/>
          <w:color w:val="auto"/>
        </w:rPr>
        <w:t xml:space="preserve"> The Issuer covenants that (a) in case default shall be made in the payment of any installment of interest on any of the Securities of any series when such interest shall have become due and payable, and such default shall have continued for a period of 30 days or (b) in case default shall be made in the payment of all or any part of the principal of any of the Securities of any series when the same shall have become due and payable, whether upon maturity of the Securities of such series or upon any redemption or by declaration or otherwise, then upon demand of the Trustee, the Issuer will pay to the Trustee for the benefit of the Holders of the Securities of such series the whole amount that then shall have become due and payable on all Securities of such series for principal or interest, as the case may be (with interest to the date of such payment upon the overdue principal and, to the extent that payment of such interest is enforceable under applicable law, on overdue installments of interest at the same rate as the rate of interest or Yield to Maturity (in the case of Original Issue Discount Securities) specified in the Securities of such series); and in addition thereto, such further amount as shall be sufficient to cover the costs and expenses of collection, including reasonable compensation to the Trustee and each predecessor trustee, their respective agents, attorneys and counsel, and any expenses and liabilities incurred, and all advances made, by the Trustee and each predecessor trustee except as a result of its negligence or bad faith.</w:t>
      </w:r>
    </w:p>
    <w:p>
      <w:pPr>
        <w:spacing w:after="0" w:line="172" w:lineRule="exact"/>
        <w:rPr>
          <w:sz w:val="20"/>
          <w:szCs w:val="20"/>
          <w:color w:val="auto"/>
        </w:rPr>
      </w:pPr>
    </w:p>
    <w:p>
      <w:pPr>
        <w:ind w:right="100" w:firstLine="1296"/>
        <w:spacing w:after="0" w:line="277" w:lineRule="auto"/>
        <w:rPr>
          <w:sz w:val="20"/>
          <w:szCs w:val="20"/>
          <w:color w:val="auto"/>
        </w:rPr>
      </w:pPr>
      <w:r>
        <w:rPr>
          <w:rFonts w:ascii="Arial" w:cs="Arial" w:eastAsia="Arial" w:hAnsi="Arial"/>
          <w:sz w:val="18"/>
          <w:szCs w:val="18"/>
          <w:color w:val="auto"/>
        </w:rPr>
        <w:t>Until such demand is made by the Trustee, the Issuer may pay the principal of and interest on the Securities of any series to the Holders, whether or not the principal of and interest on the Securities of such series be overdue.</w:t>
      </w:r>
    </w:p>
    <w:p>
      <w:pPr>
        <w:spacing w:after="0" w:line="170" w:lineRule="exact"/>
        <w:rPr>
          <w:sz w:val="20"/>
          <w:szCs w:val="20"/>
          <w:color w:val="auto"/>
        </w:rPr>
      </w:pPr>
    </w:p>
    <w:p>
      <w:pPr>
        <w:ind w:firstLine="1296"/>
        <w:spacing w:after="0" w:line="257" w:lineRule="auto"/>
        <w:rPr>
          <w:sz w:val="20"/>
          <w:szCs w:val="20"/>
          <w:color w:val="auto"/>
        </w:rPr>
      </w:pPr>
      <w:r>
        <w:rPr>
          <w:rFonts w:ascii="Arial" w:cs="Arial" w:eastAsia="Arial" w:hAnsi="Arial"/>
          <w:sz w:val="18"/>
          <w:szCs w:val="18"/>
          <w:color w:val="auto"/>
        </w:rPr>
        <w:t>In case the Issuer shall fail forthwith to pay such amounts upon such demand, the Trustee, in its own name and as trustee of an express trust, shall be entitled and empowered to institute any action or proceedings at law or in equity for the collection of the sums so due and unpaid, and may prosecute any such action or proceedings to judgment or final decree, and may enforce any such judgment or final decree against the Issuer or other obligor upon such Securities and collect in the manner provided by law out of the property of the Issuer or other obligor upon such Securities, wherever situated, the moneys adjudged or decreed to be payable.</w:t>
      </w:r>
    </w:p>
    <w:p>
      <w:pPr>
        <w:spacing w:after="0" w:line="188" w:lineRule="exact"/>
        <w:rPr>
          <w:sz w:val="20"/>
          <w:szCs w:val="20"/>
          <w:color w:val="auto"/>
        </w:rPr>
      </w:pPr>
    </w:p>
    <w:p>
      <w:pPr>
        <w:ind w:right="140" w:firstLine="1296"/>
        <w:spacing w:after="0" w:line="301" w:lineRule="auto"/>
        <w:rPr>
          <w:sz w:val="20"/>
          <w:szCs w:val="20"/>
          <w:color w:val="auto"/>
        </w:rPr>
      </w:pPr>
      <w:r>
        <w:rPr>
          <w:rFonts w:ascii="Arial" w:cs="Arial" w:eastAsia="Arial" w:hAnsi="Arial"/>
          <w:sz w:val="16"/>
          <w:szCs w:val="16"/>
          <w:color w:val="auto"/>
        </w:rPr>
        <w:t>In case there shall be pending proceedings relative to the Issuer or any other obligor upon the Securities under Title 11 of the United States Code or any other applicable U.S. federal, state or non-U.S. bankruptcy, insolvency or other similar law, or in case a receiver, assignee or trustee in bankruptcy or reorganization, liquidator, sequestrator or similar official shall have been appointed for or taken possession of the Issuer or its property or such other obligor, or in case of any other comparable judicial proceedings relative to the Issuer or other obligor upon the Securities of any series, or to</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128" w:name="page129"/>
    <w:bookmarkEnd w:id="128"/>
    <w:p>
      <w:pPr>
        <w:spacing w:after="0" w:line="263" w:lineRule="auto"/>
        <w:rPr>
          <w:sz w:val="20"/>
          <w:szCs w:val="20"/>
          <w:color w:val="auto"/>
        </w:rPr>
      </w:pPr>
      <w:r>
        <w:rPr>
          <w:rFonts w:ascii="Arial" w:cs="Arial" w:eastAsia="Arial" w:hAnsi="Arial"/>
          <w:sz w:val="18"/>
          <w:szCs w:val="18"/>
          <w:color w:val="auto"/>
        </w:rPr>
        <w:t>the creditors or property of the Issuer or such other obligor, the Trustee, irrespective of whether the principal of any Securities shall then be due and payable as therein expressed or by declaration or otherwise and irrespective of whether the Trustee shall have made any demand pursuant to the provisions of this Section, shall be entitled and empowered, by intervention in such proceedings or otherwise:</w:t>
      </w:r>
    </w:p>
    <w:p>
      <w:pPr>
        <w:spacing w:after="0" w:line="184" w:lineRule="exact"/>
        <w:rPr>
          <w:sz w:val="20"/>
          <w:szCs w:val="20"/>
          <w:color w:val="auto"/>
        </w:rPr>
      </w:pPr>
    </w:p>
    <w:p>
      <w:pPr>
        <w:ind w:left="660" w:right="140" w:firstLine="644"/>
        <w:spacing w:after="0" w:line="272" w:lineRule="auto"/>
        <w:tabs>
          <w:tab w:leader="none" w:pos="1553"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to file and prove a claim or claims for the whole amount of principal and interest (or, if the Securities of any series are Original Issue Discount Securities, such portion of the principal amount as may be specified in the terms of such series) owing and unpaid in respect of the Securities of any series, and to file such other papers or documents as may be necessary or advisable in order to have the claims of the Trustee (including any claim for reasonable compensation to the Trustee and each predecessor trustee, and their respective agents, attorneys and counsel, and for reimbursement of all expenses and liabilities incurred, and all advances made, by the Trustee and each predecessor trustee, except as a result of negligence or bad faith) and of the Securityholders allowed in any judicial proceedings relative to the Issuer or other obligor upon the Securities of any series, or to the creditors or property of the Issuer or such other obligor,</w:t>
      </w:r>
    </w:p>
    <w:p>
      <w:pPr>
        <w:spacing w:after="0" w:line="177" w:lineRule="exact"/>
        <w:rPr>
          <w:rFonts w:ascii="Arial" w:cs="Arial" w:eastAsia="Arial" w:hAnsi="Arial"/>
          <w:sz w:val="17"/>
          <w:szCs w:val="17"/>
          <w:color w:val="auto"/>
        </w:rPr>
      </w:pPr>
    </w:p>
    <w:p>
      <w:pPr>
        <w:jc w:val="both"/>
        <w:ind w:left="660" w:right="20" w:firstLine="644"/>
        <w:spacing w:after="0" w:line="263" w:lineRule="auto"/>
        <w:tabs>
          <w:tab w:leader="none" w:pos="1563" w:val="left"/>
        </w:tabs>
        <w:numPr>
          <w:ilvl w:val="0"/>
          <w:numId w:val="116"/>
        </w:numPr>
        <w:rPr>
          <w:rFonts w:ascii="Arial" w:cs="Arial" w:eastAsia="Arial" w:hAnsi="Arial"/>
          <w:sz w:val="18"/>
          <w:szCs w:val="18"/>
          <w:color w:val="auto"/>
        </w:rPr>
      </w:pPr>
      <w:r>
        <w:rPr>
          <w:rFonts w:ascii="Arial" w:cs="Arial" w:eastAsia="Arial" w:hAnsi="Arial"/>
          <w:sz w:val="18"/>
          <w:szCs w:val="18"/>
          <w:color w:val="auto"/>
        </w:rPr>
        <w:t>unless prohibited by applicable law and regulations, to vote on behalf of the Holders of the Securities of any series in any election of a trustee or a standby trustee in arrangement, reorganization, liquidation or other bankruptcy or insolvency proceedings or person performing similar functions in comparable proceedings, and</w:t>
      </w:r>
    </w:p>
    <w:p>
      <w:pPr>
        <w:spacing w:after="0" w:line="183" w:lineRule="exact"/>
        <w:rPr>
          <w:rFonts w:ascii="Arial" w:cs="Arial" w:eastAsia="Arial" w:hAnsi="Arial"/>
          <w:sz w:val="18"/>
          <w:szCs w:val="18"/>
          <w:color w:val="auto"/>
        </w:rPr>
      </w:pPr>
    </w:p>
    <w:p>
      <w:pPr>
        <w:ind w:left="660" w:right="120" w:firstLine="644"/>
        <w:spacing w:after="0" w:line="293" w:lineRule="auto"/>
        <w:tabs>
          <w:tab w:leader="none" w:pos="1553"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to collect and receive any moneys or other property payable or deliverable on any such claims, and to distribute all amounts received with respect to the claims of the Securityholders and of the Trustee on their behalf; and any trustee, receiver, or liquidator, custodian or other similar official is hereby authorized by each of the Securityholders to make payments to the Trustee, and, in the event that the Trustee shall consent to the making of payments directly to the Securityholders, to pay to the Trustee such amounts as shall be sufficient to cover reasonable compensation to the Trustee, each predecessor trustee and their respective agents, attorneys and counsel, and all other expenses and liabilities incurred, and all advances made, by the Trustee and each predecessor trustee except as a result of negligence or bad faith.</w:t>
      </w:r>
    </w:p>
    <w:p>
      <w:pPr>
        <w:spacing w:after="0" w:line="164" w:lineRule="exact"/>
        <w:rPr>
          <w:sz w:val="20"/>
          <w:szCs w:val="20"/>
          <w:color w:val="auto"/>
        </w:rPr>
      </w:pPr>
    </w:p>
    <w:p>
      <w:pPr>
        <w:ind w:right="60" w:firstLine="1296"/>
        <w:spacing w:after="0" w:line="259" w:lineRule="auto"/>
        <w:rPr>
          <w:sz w:val="20"/>
          <w:szCs w:val="20"/>
          <w:color w:val="auto"/>
        </w:rPr>
      </w:pPr>
      <w:r>
        <w:rPr>
          <w:rFonts w:ascii="Arial" w:cs="Arial" w:eastAsia="Arial" w:hAnsi="Arial"/>
          <w:sz w:val="18"/>
          <w:szCs w:val="18"/>
          <w:color w:val="auto"/>
        </w:rPr>
        <w:t>Nothing herein contained shall be deemed to authorize the Trustee to authorize or consent to or vote for or accept or adopt on behalf of any Securityholder any plan or reorganization, arrangement, adjustment or composition affecting the Securities of any series or the rights of any Holder thereof, or to authorize the Trustee to vote in respect of the claim of any Securityholder in any such proceeding except, as aforesaid, to vote for the election of a trustee in bankruptcy or similar person.</w:t>
      </w:r>
    </w:p>
    <w:p>
      <w:pPr>
        <w:spacing w:after="0" w:line="187" w:lineRule="exact"/>
        <w:rPr>
          <w:sz w:val="20"/>
          <w:szCs w:val="20"/>
          <w:color w:val="auto"/>
        </w:rPr>
      </w:pPr>
    </w:p>
    <w:p>
      <w:pPr>
        <w:ind w:right="220" w:firstLine="1296"/>
        <w:spacing w:after="0" w:line="277" w:lineRule="auto"/>
        <w:rPr>
          <w:sz w:val="20"/>
          <w:szCs w:val="20"/>
          <w:color w:val="auto"/>
        </w:rPr>
      </w:pPr>
      <w:r>
        <w:rPr>
          <w:rFonts w:ascii="Arial" w:cs="Arial" w:eastAsia="Arial" w:hAnsi="Arial"/>
          <w:sz w:val="18"/>
          <w:szCs w:val="18"/>
          <w:color w:val="auto"/>
        </w:rPr>
        <w:t>All rights of action and of asserting claims under this Indenture, or under any of the Securities, may be enforced by the Trustee without the possession of any of the Securities or the production thereof on any trial or other proceedings relative thereto,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9" w:name="page130"/>
    <w:bookmarkEnd w:id="129"/>
    <w:p>
      <w:pPr>
        <w:ind w:right="60"/>
        <w:spacing w:after="0" w:line="263" w:lineRule="auto"/>
        <w:rPr>
          <w:sz w:val="20"/>
          <w:szCs w:val="20"/>
          <w:color w:val="auto"/>
        </w:rPr>
      </w:pPr>
      <w:r>
        <w:rPr>
          <w:rFonts w:ascii="Arial" w:cs="Arial" w:eastAsia="Arial" w:hAnsi="Arial"/>
          <w:sz w:val="18"/>
          <w:szCs w:val="18"/>
          <w:color w:val="auto"/>
        </w:rPr>
        <w:t>any such action or proceedings instituted by the Trustee shall be brought in its own name as trustee of an express trust, and any recovery of judgment, subject to the payment of the expenses, disbursements and compensation of the Trustee, each predecessor trustee and their respective agents and attorneys, shall be for the ratable benefit of the Holders of the Securities in respect of which such action was taken.</w:t>
      </w:r>
    </w:p>
    <w:p>
      <w:pPr>
        <w:spacing w:after="0" w:line="184" w:lineRule="exact"/>
        <w:rPr>
          <w:sz w:val="20"/>
          <w:szCs w:val="20"/>
          <w:color w:val="auto"/>
        </w:rPr>
      </w:pPr>
    </w:p>
    <w:p>
      <w:pPr>
        <w:ind w:right="180" w:firstLine="1296"/>
        <w:spacing w:after="0" w:line="263" w:lineRule="auto"/>
        <w:rPr>
          <w:sz w:val="20"/>
          <w:szCs w:val="20"/>
          <w:color w:val="auto"/>
        </w:rPr>
      </w:pPr>
      <w:r>
        <w:rPr>
          <w:rFonts w:ascii="Arial" w:cs="Arial" w:eastAsia="Arial" w:hAnsi="Arial"/>
          <w:sz w:val="18"/>
          <w:szCs w:val="18"/>
          <w:color w:val="auto"/>
        </w:rPr>
        <w:t>In any proceedings brought by the Trustee (and also any proceedings involving the interpretation of any provision of this Indenture to which the Trustee shall be a party) the Trustee shall be held to represent all the Holders of the Securities in respect to which such action was taken, and it shall not be necessary to make any Holders of such Securities parties to any such proceedings.</w:t>
      </w:r>
    </w:p>
    <w:p>
      <w:pPr>
        <w:spacing w:after="0" w:line="184" w:lineRule="exact"/>
        <w:rPr>
          <w:sz w:val="20"/>
          <w:szCs w:val="20"/>
          <w:color w:val="auto"/>
        </w:rPr>
      </w:pPr>
    </w:p>
    <w:p>
      <w:pPr>
        <w:ind w:firstLine="1296"/>
        <w:spacing w:after="0" w:line="257" w:lineRule="auto"/>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u w:val="single" w:color="auto"/>
          <w:color w:val="auto"/>
        </w:rPr>
        <w:t>Application of Proceeds.</w:t>
      </w:r>
      <w:r>
        <w:rPr>
          <w:rFonts w:ascii="Arial" w:cs="Arial" w:eastAsia="Arial" w:hAnsi="Arial"/>
          <w:sz w:val="18"/>
          <w:szCs w:val="18"/>
          <w:color w:val="auto"/>
        </w:rPr>
        <w:t xml:space="preserve"> Any moneys collected by the Trustee pursuant to this Article in respect of any series shall be applied in the following order at the date or dates fixed by the Trustee and, in case of the distribution of such moneys on account of principal or interest, upon presentation of the several Securities in respect of which moneys have been collected and stamping (or otherwise noting) thereon the payment, or issuing Securities of such series in reduced principal amounts in exchange for the presented Securities of like series if only partially paid, or upon surrender thereof if fully paid:</w:t>
      </w:r>
    </w:p>
    <w:p>
      <w:pPr>
        <w:spacing w:after="0" w:line="188" w:lineRule="exact"/>
        <w:rPr>
          <w:sz w:val="20"/>
          <w:szCs w:val="20"/>
          <w:color w:val="auto"/>
        </w:rPr>
      </w:pPr>
    </w:p>
    <w:p>
      <w:pPr>
        <w:ind w:left="660" w:right="200" w:firstLine="648"/>
        <w:spacing w:after="0" w:line="311" w:lineRule="auto"/>
        <w:rPr>
          <w:sz w:val="20"/>
          <w:szCs w:val="20"/>
          <w:color w:val="auto"/>
        </w:rPr>
      </w:pPr>
      <w:r>
        <w:rPr>
          <w:rFonts w:ascii="Arial" w:cs="Arial" w:eastAsia="Arial" w:hAnsi="Arial"/>
          <w:sz w:val="16"/>
          <w:szCs w:val="16"/>
          <w:color w:val="auto"/>
        </w:rPr>
        <w:t>FIRST: To the payment of costs and expenses applicable to such series in respect of which moneys have been collected, including reasonable compensation to the Trustee and each predecessor trustee and their respective agents and attorneys and of all expenses and liabilities incurred, and all advances made, by the Trustee and each predecessor trustee except as a result of negligence or bad faith;</w:t>
      </w:r>
    </w:p>
    <w:p>
      <w:pPr>
        <w:spacing w:after="0" w:line="149" w:lineRule="exact"/>
        <w:rPr>
          <w:sz w:val="20"/>
          <w:szCs w:val="20"/>
          <w:color w:val="auto"/>
        </w:rPr>
      </w:pPr>
    </w:p>
    <w:p>
      <w:pPr>
        <w:ind w:left="660" w:right="20" w:firstLine="648"/>
        <w:spacing w:after="0" w:line="275" w:lineRule="auto"/>
        <w:rPr>
          <w:sz w:val="20"/>
          <w:szCs w:val="20"/>
          <w:color w:val="auto"/>
        </w:rPr>
      </w:pPr>
      <w:r>
        <w:rPr>
          <w:rFonts w:ascii="Arial" w:cs="Arial" w:eastAsia="Arial" w:hAnsi="Arial"/>
          <w:sz w:val="17"/>
          <w:szCs w:val="17"/>
          <w:color w:val="auto"/>
        </w:rPr>
        <w:t>SECOND: In case the principal of the Securities of such series in respect of which moneys have been collected shall not have become and be then due and payable, to the payment of interest on the Securities of such series in default in the order of the maturity of the installments of such interest, with interest (to the extent that such interest has been collected by the Trustee) upon the overdue installments of interest at the same rate as the rate of interest or Yield to Maturity (in the case of Original Issue Discount Securities) specified in such Securities, such payments to be made ratably to the persons entitled thereto, without discrimination or preference;</w:t>
      </w:r>
    </w:p>
    <w:p>
      <w:pPr>
        <w:spacing w:after="0" w:line="176" w:lineRule="exact"/>
        <w:rPr>
          <w:sz w:val="20"/>
          <w:szCs w:val="20"/>
          <w:color w:val="auto"/>
        </w:rPr>
      </w:pPr>
    </w:p>
    <w:p>
      <w:pPr>
        <w:ind w:left="660" w:firstLine="648"/>
        <w:spacing w:after="0" w:line="296" w:lineRule="auto"/>
        <w:rPr>
          <w:sz w:val="20"/>
          <w:szCs w:val="20"/>
          <w:color w:val="auto"/>
        </w:rPr>
      </w:pPr>
      <w:r>
        <w:rPr>
          <w:rFonts w:ascii="Arial" w:cs="Arial" w:eastAsia="Arial" w:hAnsi="Arial"/>
          <w:sz w:val="16"/>
          <w:szCs w:val="16"/>
          <w:color w:val="auto"/>
        </w:rPr>
        <w:t>THIRD: In case the principal of the Securities of such series in respect of which moneys have been collected shall have become and shall be then due and payable, to the payment of the whole amount then owing and unpaid upon all the Securities of such series for principal and interest, with interest upon the overdue principal, and (to the extent that such interest has been collected by the Trustee) upon overdue installments of interest at the same rate as the rate of interest or Yield to Maturity (in the case of Original Issue Discount Securities) specified in the Securities of such series; and in case such moneys shall be insufficient to pay in full the whole amount so due and unpaid upon the Securities of such series,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130" w:name="page131"/>
    <w:bookmarkEnd w:id="130"/>
    <w:p>
      <w:pPr>
        <w:ind w:left="660" w:right="40"/>
        <w:spacing w:after="0" w:line="259" w:lineRule="auto"/>
        <w:rPr>
          <w:sz w:val="20"/>
          <w:szCs w:val="20"/>
          <w:color w:val="auto"/>
        </w:rPr>
      </w:pPr>
      <w:r>
        <w:rPr>
          <w:rFonts w:ascii="Arial" w:cs="Arial" w:eastAsia="Arial" w:hAnsi="Arial"/>
          <w:sz w:val="18"/>
          <w:szCs w:val="18"/>
          <w:color w:val="auto"/>
        </w:rPr>
        <w:t>then to the payment of such principal and interest or Yield to Maturity, without preference or priority of principal over interest or Yield to Maturity, or of interest or Yield to Maturity over principal, or of any installment of interest over any other installment of interest, or of any Security of such series over any other Security of such series, ratably to the aggregate of such principal and accrued and unpaid interest or Yield to Maturity; and</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FOURTH: To the payment of the remainder, if any, to the Issuer or as a court of competent jurisdiction shall direct in writing.</w:t>
      </w:r>
    </w:p>
    <w:p>
      <w:pPr>
        <w:spacing w:after="0" w:line="225" w:lineRule="exact"/>
        <w:rPr>
          <w:sz w:val="20"/>
          <w:szCs w:val="20"/>
          <w:color w:val="auto"/>
        </w:rPr>
      </w:pPr>
    </w:p>
    <w:p>
      <w:pPr>
        <w:ind w:right="40" w:firstLine="1296"/>
        <w:spacing w:after="0" w:line="257"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Suits for Enforcement.</w:t>
      </w:r>
      <w:r>
        <w:rPr>
          <w:rFonts w:ascii="Arial" w:cs="Arial" w:eastAsia="Arial" w:hAnsi="Arial"/>
          <w:sz w:val="18"/>
          <w:szCs w:val="18"/>
          <w:color w:val="auto"/>
        </w:rPr>
        <w:t xml:space="preserve"> In case an Event of Default has occurred, has not been waived and is continuing, the Trustee may in its discretion proceed to protect and enforce the rights vested in it by this Indenture by such appropriate judicial proceedings as the Trustee shall deem necessary to protect and enforce any of such rights, either at law or in equity or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spacing w:after="0" w:line="188" w:lineRule="exact"/>
        <w:rPr>
          <w:sz w:val="20"/>
          <w:szCs w:val="20"/>
          <w:color w:val="auto"/>
        </w:rPr>
      </w:pPr>
    </w:p>
    <w:p>
      <w:pPr>
        <w:ind w:right="220" w:firstLine="1296"/>
        <w:spacing w:after="0" w:line="301" w:lineRule="auto"/>
        <w:rPr>
          <w:sz w:val="20"/>
          <w:szCs w:val="20"/>
          <w:color w:val="auto"/>
        </w:rPr>
      </w:pPr>
      <w:r>
        <w:rPr>
          <w:rFonts w:ascii="Arial" w:cs="Arial" w:eastAsia="Arial" w:hAnsi="Arial"/>
          <w:sz w:val="16"/>
          <w:szCs w:val="16"/>
          <w:color w:val="auto"/>
        </w:rPr>
        <w:t xml:space="preserve">SECTION 4.05. </w:t>
      </w:r>
      <w:r>
        <w:rPr>
          <w:rFonts w:ascii="Arial" w:cs="Arial" w:eastAsia="Arial" w:hAnsi="Arial"/>
          <w:sz w:val="16"/>
          <w:szCs w:val="16"/>
          <w:u w:val="single" w:color="auto"/>
          <w:color w:val="auto"/>
        </w:rPr>
        <w:t>Restoration of Rights on Abandonment of Proceeding.</w:t>
      </w:r>
      <w:r>
        <w:rPr>
          <w:rFonts w:ascii="Arial" w:cs="Arial" w:eastAsia="Arial" w:hAnsi="Arial"/>
          <w:sz w:val="16"/>
          <w:szCs w:val="16"/>
          <w:color w:val="auto"/>
        </w:rPr>
        <w:t xml:space="preserve"> In case the Trustee shall have proceeded to enforce any right under this Indenture and such proceedings shall have been discontinued or abandoned for any reason, or shall have been determined adversely to the Trustee, then and in every such case the Issuer and the Trustee shall be restored respectively to their former positions and rights hereunder, and all rights, remedies and powers of the Issuer, the Trustee and the Securityholders shall continue as though no such proceedings had been taken.</w:t>
      </w:r>
    </w:p>
    <w:p>
      <w:pPr>
        <w:spacing w:after="0" w:line="157" w:lineRule="exact"/>
        <w:rPr>
          <w:sz w:val="20"/>
          <w:szCs w:val="20"/>
          <w:color w:val="auto"/>
        </w:rPr>
      </w:pPr>
    </w:p>
    <w:p>
      <w:pPr>
        <w:ind w:firstLine="1296"/>
        <w:spacing w:after="0" w:line="269" w:lineRule="auto"/>
        <w:rPr>
          <w:sz w:val="20"/>
          <w:szCs w:val="20"/>
          <w:color w:val="auto"/>
        </w:rPr>
      </w:pPr>
      <w:r>
        <w:rPr>
          <w:rFonts w:ascii="Arial" w:cs="Arial" w:eastAsia="Arial" w:hAnsi="Arial"/>
          <w:sz w:val="17"/>
          <w:szCs w:val="17"/>
          <w:color w:val="auto"/>
        </w:rPr>
        <w:t xml:space="preserve">SECTION 4.06. </w:t>
      </w:r>
      <w:r>
        <w:rPr>
          <w:rFonts w:ascii="Arial" w:cs="Arial" w:eastAsia="Arial" w:hAnsi="Arial"/>
          <w:sz w:val="17"/>
          <w:szCs w:val="17"/>
          <w:u w:val="single" w:color="auto"/>
          <w:color w:val="auto"/>
        </w:rPr>
        <w:t>Limitations on Suits by Securityholder.</w:t>
      </w:r>
      <w:r>
        <w:rPr>
          <w:rFonts w:ascii="Arial" w:cs="Arial" w:eastAsia="Arial" w:hAnsi="Arial"/>
          <w:sz w:val="17"/>
          <w:szCs w:val="17"/>
          <w:color w:val="auto"/>
        </w:rPr>
        <w:t xml:space="preserve"> No Holder of any Security of any series shall have any right by virtue or by availing of any provision of this Indenture to institute any action or proceeding at law or in equity or in bankruptcy or otherwise upon or under or with respect to this Indenture, or for the appointment of a trustee, receiver, liquidator, custodian or other similar official or for any other remedy hereunder, unless such Holder previously shall have given to the Trustee written notice of default and of the continuance thereof, as hereinbefore provided, and unless also the Holders of not less than 25% in aggregate principal amount of the Securities of each affected series then Outstanding (treated as a single class) shall have made written request upon the Trustee to institute such action or proceedings in its own name as trustee hereunder and shall have offered to the Trustee such indemnity as it may require against the costs, expenses and liabilities to be incurred therein or thereby and the Trustee for 60 days after its receipt of such notice, request and offer of indemnity shall have failed to institute any such action or proceeding and no direction inconsistent with such written request shall have been given to the Trustee pursuant to Section 4.09; it being understood and intended, and being expressly covenanted by the taker and Holder of every Security with every other taker and Holder and the Trustee, that no one or more Holders of Securities of any series shall have any right in any manner whatever by virtue or by availing of any provision of this Indenture to affect, disturb or prejudice the rights of any other such Holder of Securities, or to obtain or seek to obtain priority over or preference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1" w:name="page132"/>
    <w:bookmarkEnd w:id="131"/>
    <w:p>
      <w:pPr>
        <w:ind w:right="40"/>
        <w:spacing w:after="0" w:line="263" w:lineRule="auto"/>
        <w:rPr>
          <w:sz w:val="20"/>
          <w:szCs w:val="20"/>
          <w:color w:val="auto"/>
        </w:rPr>
      </w:pPr>
      <w:r>
        <w:rPr>
          <w:rFonts w:ascii="Arial" w:cs="Arial" w:eastAsia="Arial" w:hAnsi="Arial"/>
          <w:sz w:val="18"/>
          <w:szCs w:val="18"/>
          <w:color w:val="auto"/>
        </w:rPr>
        <w:t>to any other such Holder or to enforce any right under this Indenture, except in the manner herein provided and for the equal, ratable and common benefit of all Holders of Securities of the applicable series. For the protection and enforcement of the provisions of this Section, each and every Securityholder and the Trustee shall be entitled to such relief as can be given either at law or in equity.</w:t>
      </w:r>
    </w:p>
    <w:p>
      <w:pPr>
        <w:spacing w:after="0" w:line="184" w:lineRule="exact"/>
        <w:rPr>
          <w:sz w:val="20"/>
          <w:szCs w:val="20"/>
          <w:color w:val="auto"/>
        </w:rPr>
      </w:pPr>
    </w:p>
    <w:p>
      <w:pPr>
        <w:ind w:right="120" w:firstLine="1296"/>
        <w:spacing w:after="0" w:line="259" w:lineRule="auto"/>
        <w:rPr>
          <w:sz w:val="20"/>
          <w:szCs w:val="20"/>
          <w:color w:val="auto"/>
        </w:rPr>
      </w:pPr>
      <w:r>
        <w:rPr>
          <w:rFonts w:ascii="Arial" w:cs="Arial" w:eastAsia="Arial" w:hAnsi="Arial"/>
          <w:sz w:val="18"/>
          <w:szCs w:val="18"/>
          <w:color w:val="auto"/>
        </w:rPr>
        <w:t xml:space="preserve">SECTION 4.07. </w:t>
      </w:r>
      <w:r>
        <w:rPr>
          <w:rFonts w:ascii="Arial" w:cs="Arial" w:eastAsia="Arial" w:hAnsi="Arial"/>
          <w:sz w:val="18"/>
          <w:szCs w:val="18"/>
          <w:u w:val="single" w:color="auto"/>
          <w:color w:val="auto"/>
        </w:rPr>
        <w:t>Unconditional Right of Securityholders to Institute Certain Suits.</w:t>
      </w:r>
      <w:r>
        <w:rPr>
          <w:rFonts w:ascii="Arial" w:cs="Arial" w:eastAsia="Arial" w:hAnsi="Arial"/>
          <w:sz w:val="18"/>
          <w:szCs w:val="18"/>
          <w:color w:val="auto"/>
        </w:rPr>
        <w:t xml:space="preserve"> Notwithstanding any other provision in this Indenture and any provision of any Security, the right of any Holder of any Security to receive payment of the principal of and interest on such Security, on or after the respective due dates expressed in such Security, or to institute suit for the enforcement of any such payment on or after such respective dates, shall not be impaired or affected without the consent of such Holder.</w:t>
      </w:r>
    </w:p>
    <w:p>
      <w:pPr>
        <w:spacing w:after="0" w:line="187" w:lineRule="exact"/>
        <w:rPr>
          <w:sz w:val="20"/>
          <w:szCs w:val="20"/>
          <w:color w:val="auto"/>
        </w:rPr>
      </w:pPr>
    </w:p>
    <w:p>
      <w:pPr>
        <w:ind w:right="280" w:firstLine="1296"/>
        <w:spacing w:after="0" w:line="257" w:lineRule="auto"/>
        <w:rPr>
          <w:sz w:val="20"/>
          <w:szCs w:val="20"/>
          <w:color w:val="auto"/>
        </w:rPr>
      </w:pPr>
      <w:r>
        <w:rPr>
          <w:rFonts w:ascii="Arial" w:cs="Arial" w:eastAsia="Arial" w:hAnsi="Arial"/>
          <w:sz w:val="18"/>
          <w:szCs w:val="18"/>
          <w:color w:val="auto"/>
        </w:rPr>
        <w:t xml:space="preserve">SECTION 4.08. </w:t>
      </w:r>
      <w:r>
        <w:rPr>
          <w:rFonts w:ascii="Arial" w:cs="Arial" w:eastAsia="Arial" w:hAnsi="Arial"/>
          <w:sz w:val="18"/>
          <w:szCs w:val="18"/>
          <w:u w:val="single" w:color="auto"/>
          <w:color w:val="auto"/>
        </w:rPr>
        <w:t>Powers and Remedies Cumulative; Delay or Omission Not Waiver of Default.</w:t>
      </w:r>
      <w:r>
        <w:rPr>
          <w:rFonts w:ascii="Arial" w:cs="Arial" w:eastAsia="Arial" w:hAnsi="Arial"/>
          <w:sz w:val="18"/>
          <w:szCs w:val="18"/>
          <w:color w:val="auto"/>
        </w:rPr>
        <w:t xml:space="preserve"> Except as provided in Section 4.06, no right or remedy herein conferred upon or reserved to the Trustee or to the Securityholders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88" w:lineRule="exact"/>
        <w:rPr>
          <w:sz w:val="20"/>
          <w:szCs w:val="20"/>
          <w:color w:val="auto"/>
        </w:rPr>
      </w:pPr>
    </w:p>
    <w:p>
      <w:pPr>
        <w:ind w:firstLine="1296"/>
        <w:spacing w:after="0" w:line="279" w:lineRule="auto"/>
        <w:rPr>
          <w:sz w:val="20"/>
          <w:szCs w:val="20"/>
          <w:color w:val="auto"/>
        </w:rPr>
      </w:pPr>
      <w:r>
        <w:rPr>
          <w:rFonts w:ascii="Arial" w:cs="Arial" w:eastAsia="Arial" w:hAnsi="Arial"/>
          <w:sz w:val="17"/>
          <w:szCs w:val="17"/>
          <w:color w:val="auto"/>
        </w:rPr>
        <w:t>No delay or omission of the Trustee or of any Securityholder to exercise any right or power accruing upon any Event of Default occurring and continuing as aforesaid shall impair any such right or power or shall be construed to be a waiver of any such Event of Default or an acquiescence therein; and, subject to Section 4.06, every power and remedy given by this Indenture or by law to the Trustee or to the Securityholders may be exercised from time to time, and as often as shall be deemed expedient, by the Trustee or by the Securityholders.</w:t>
      </w:r>
    </w:p>
    <w:p>
      <w:pPr>
        <w:spacing w:after="0" w:line="171" w:lineRule="exact"/>
        <w:rPr>
          <w:sz w:val="20"/>
          <w:szCs w:val="20"/>
          <w:color w:val="auto"/>
        </w:rPr>
      </w:pPr>
    </w:p>
    <w:p>
      <w:pPr>
        <w:ind w:firstLine="1296"/>
        <w:spacing w:after="0" w:line="253" w:lineRule="auto"/>
        <w:rPr>
          <w:sz w:val="20"/>
          <w:szCs w:val="20"/>
          <w:color w:val="auto"/>
        </w:rPr>
      </w:pPr>
      <w:r>
        <w:rPr>
          <w:rFonts w:ascii="Arial" w:cs="Arial" w:eastAsia="Arial" w:hAnsi="Arial"/>
          <w:sz w:val="18"/>
          <w:szCs w:val="18"/>
          <w:color w:val="auto"/>
        </w:rPr>
        <w:t xml:space="preserve">SECTION 4.09. </w:t>
      </w:r>
      <w:r>
        <w:rPr>
          <w:rFonts w:ascii="Arial" w:cs="Arial" w:eastAsia="Arial" w:hAnsi="Arial"/>
          <w:sz w:val="18"/>
          <w:szCs w:val="18"/>
          <w:u w:val="single" w:color="auto"/>
          <w:color w:val="auto"/>
        </w:rPr>
        <w:t>Control by Securityholders.</w:t>
      </w:r>
      <w:r>
        <w:rPr>
          <w:rFonts w:ascii="Arial" w:cs="Arial" w:eastAsia="Arial" w:hAnsi="Arial"/>
          <w:sz w:val="18"/>
          <w:szCs w:val="18"/>
          <w:color w:val="auto"/>
        </w:rPr>
        <w:t xml:space="preserve"> The Holders of a majority in aggregate principal amount of the Securities of each series affected (with all such series voting as a single class) at the time Outstanding shall have the right to direct the time, method, and place of conducting any proceeding for any remedy available to the Trustee, or exercising any trust or power conferred on the Trustee with respect to the Securities of such series by this Indenture; provided that such direction shall not be otherwise than in accordance with law and the provisions of this Indenture and provided further that (subject to the provisions of Section 5.01) the Trustee shall have the right to decline to follow any such direction if the Trustee shall determine that the action or proceeding so directed may not lawfully be taken or if the Trustee in good faith by its board of directors, the executive committee, or a trust committee of directors or Responsible Officers of the Trustee shall determine that the action or proceedings so directed would involve the Trustee in personal liability or if the Trustee in good faith shall so determine that the actions or forebearances specified in or pursuant to such direction would be unduly prejudicial to the interests of Holders of the Securities of all series so affected not joining in the giving of said direction, it being understood that (subject to Section 5.01) the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color w:val="auto"/>
        </w:rPr>
        <w:t>Trustee shall have no duty to ascertain whether or not such actions or forebearances are unduly prejudicial to such Holders.</w:t>
      </w:r>
    </w:p>
    <w:p>
      <w:pPr>
        <w:spacing w:after="0" w:line="225" w:lineRule="exact"/>
        <w:rPr>
          <w:sz w:val="20"/>
          <w:szCs w:val="20"/>
          <w:color w:val="auto"/>
        </w:rPr>
      </w:pPr>
    </w:p>
    <w:p>
      <w:pPr>
        <w:ind w:right="60" w:firstLine="1296"/>
        <w:spacing w:after="0" w:line="277" w:lineRule="auto"/>
        <w:rPr>
          <w:sz w:val="20"/>
          <w:szCs w:val="20"/>
          <w:color w:val="auto"/>
        </w:rPr>
      </w:pPr>
      <w:r>
        <w:rPr>
          <w:rFonts w:ascii="Arial" w:cs="Arial" w:eastAsia="Arial" w:hAnsi="Arial"/>
          <w:sz w:val="18"/>
          <w:szCs w:val="18"/>
          <w:color w:val="auto"/>
        </w:rPr>
        <w:t>Nothing in this Indenture shall impair the right of the Trustee in its discretion to take any action deemed proper by the Trustee and which is not inconsistent with such direction or directions by Securityholders.</w:t>
      </w:r>
    </w:p>
    <w:p>
      <w:pPr>
        <w:spacing w:after="0" w:line="170" w:lineRule="exact"/>
        <w:rPr>
          <w:sz w:val="20"/>
          <w:szCs w:val="20"/>
          <w:color w:val="auto"/>
        </w:rPr>
      </w:pPr>
    </w:p>
    <w:p>
      <w:pPr>
        <w:ind w:right="20" w:firstLine="1296"/>
        <w:spacing w:after="0" w:line="254" w:lineRule="auto"/>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u w:val="single" w:color="auto"/>
          <w:color w:val="auto"/>
        </w:rPr>
        <w:t>Waiver of Past Defaults.</w:t>
      </w:r>
      <w:r>
        <w:rPr>
          <w:rFonts w:ascii="Arial" w:cs="Arial" w:eastAsia="Arial" w:hAnsi="Arial"/>
          <w:sz w:val="18"/>
          <w:szCs w:val="18"/>
          <w:color w:val="auto"/>
        </w:rPr>
        <w:t xml:space="preserve"> Prior to the acceleration of the maturity of any Securities as provided in Section 4.01, the Holders of a majority in aggregate principal amount of the Securities of all series at the time Outstanding with respect to which an Event of Default shall have occurred and be continuing (voting as a single class) may on behalf of the Holders of all such Securities waive any past default or Event of Default described in Section 4.01 and its consequences, except a default in respect of a covenant or provision hereof which cannot be modified or amended without the consent of the Holder of each Security affected. In the case of any such waiver, the Issuer, the Trustee and the Holders of all such Securities shall be restored to their former positions and rights hereunder, respectively; but no such waiver shall extend to any subsequent or other default or impair any right consequent thereon.</w:t>
      </w:r>
    </w:p>
    <w:p>
      <w:pPr>
        <w:spacing w:after="0" w:line="195" w:lineRule="exact"/>
        <w:rPr>
          <w:sz w:val="20"/>
          <w:szCs w:val="20"/>
          <w:color w:val="auto"/>
        </w:rPr>
      </w:pPr>
    </w:p>
    <w:p>
      <w:pPr>
        <w:ind w:firstLine="1296"/>
        <w:spacing w:after="0" w:line="263" w:lineRule="auto"/>
        <w:rPr>
          <w:sz w:val="20"/>
          <w:szCs w:val="20"/>
          <w:color w:val="auto"/>
        </w:rPr>
      </w:pPr>
      <w:r>
        <w:rPr>
          <w:rFonts w:ascii="Arial" w:cs="Arial" w:eastAsia="Arial" w:hAnsi="Arial"/>
          <w:sz w:val="18"/>
          <w:szCs w:val="18"/>
          <w:color w:val="auto"/>
        </w:rPr>
        <w:t>Upon any such waiver, such default shall cease to exist and be deemed to have been cured and not to have occurred, and any Event of Default arising therefrom shall be deemed to have been cured, and not to have occurred for every purpose of this Indenture; but no such waiver shall extend to any subsequent or other default or Event of Default or impair any right consequent thereon.</w:t>
      </w:r>
    </w:p>
    <w:p>
      <w:pPr>
        <w:spacing w:after="0" w:line="184" w:lineRule="exact"/>
        <w:rPr>
          <w:sz w:val="20"/>
          <w:szCs w:val="20"/>
          <w:color w:val="auto"/>
        </w:rPr>
      </w:pPr>
    </w:p>
    <w:p>
      <w:pPr>
        <w:ind w:right="100" w:firstLine="1296"/>
        <w:spacing w:after="0" w:line="270" w:lineRule="auto"/>
        <w:rPr>
          <w:sz w:val="20"/>
          <w:szCs w:val="20"/>
          <w:color w:val="auto"/>
        </w:rPr>
      </w:pPr>
      <w:r>
        <w:rPr>
          <w:rFonts w:ascii="Arial" w:cs="Arial" w:eastAsia="Arial" w:hAnsi="Arial"/>
          <w:sz w:val="17"/>
          <w:szCs w:val="17"/>
          <w:color w:val="auto"/>
        </w:rPr>
        <w:t xml:space="preserve">SECTION 4.11. </w:t>
      </w:r>
      <w:r>
        <w:rPr>
          <w:rFonts w:ascii="Arial" w:cs="Arial" w:eastAsia="Arial" w:hAnsi="Arial"/>
          <w:sz w:val="17"/>
          <w:szCs w:val="17"/>
          <w:u w:val="single" w:color="auto"/>
          <w:color w:val="auto"/>
        </w:rPr>
        <w:t>Trustee to Give Notice of Default, But May Withhold in Certain Circumstances.</w:t>
      </w:r>
      <w:r>
        <w:rPr>
          <w:rFonts w:ascii="Arial" w:cs="Arial" w:eastAsia="Arial" w:hAnsi="Arial"/>
          <w:sz w:val="17"/>
          <w:szCs w:val="17"/>
          <w:color w:val="auto"/>
        </w:rPr>
        <w:t xml:space="preserve"> The Trustee shall give to the Securityholders of any series, as the names and addresses of such Holders appear on the registry books, notice by mail of all defaults known to the Trustee which have occurred with respect to such series, such notice to be transmitted within 90 days after the occurrence thereof, unless such defaults shall have been cured before the giving of such notice (the term “default” or “defaults” for the purposes of this section being hereby defined to mean any event or condition which is, or with notice or lapse of time or both would become, an Event of Default); provided that, except in the case of default in the payment of the principal of or interest on any of the Securities of such series, or in the payment of any sinking or purchase fund installment with respect to the Securities of such series, the Trustee shall be protected in withholding such notice if and so long as the board of directors, the executive committee, or a trust committee of directors or trustees and/or Responsible Officers of the Trustee in good faith determines that the withholding of such notice is in the interests of the Securityholders of such series.</w:t>
      </w:r>
    </w:p>
    <w:p>
      <w:pPr>
        <w:spacing w:after="0" w:line="181" w:lineRule="exact"/>
        <w:rPr>
          <w:sz w:val="20"/>
          <w:szCs w:val="20"/>
          <w:color w:val="auto"/>
        </w:rPr>
      </w:pPr>
    </w:p>
    <w:p>
      <w:pPr>
        <w:jc w:val="both"/>
        <w:ind w:right="20" w:firstLine="1296"/>
        <w:spacing w:after="0" w:line="259" w:lineRule="auto"/>
        <w:rPr>
          <w:sz w:val="20"/>
          <w:szCs w:val="20"/>
          <w:color w:val="auto"/>
        </w:rPr>
      </w:pPr>
      <w:r>
        <w:rPr>
          <w:rFonts w:ascii="Arial" w:cs="Arial" w:eastAsia="Arial" w:hAnsi="Arial"/>
          <w:sz w:val="18"/>
          <w:szCs w:val="18"/>
          <w:color w:val="auto"/>
        </w:rPr>
        <w:t xml:space="preserve">SECTION 4.12. </w:t>
      </w:r>
      <w:r>
        <w:rPr>
          <w:rFonts w:ascii="Arial" w:cs="Arial" w:eastAsia="Arial" w:hAnsi="Arial"/>
          <w:sz w:val="18"/>
          <w:szCs w:val="18"/>
          <w:u w:val="single" w:color="auto"/>
          <w:color w:val="auto"/>
        </w:rPr>
        <w:t>Right of Court to Require Filing of Undertaking to Pay Costs.</w:t>
      </w:r>
      <w:r>
        <w:rPr>
          <w:rFonts w:ascii="Arial" w:cs="Arial" w:eastAsia="Arial" w:hAnsi="Arial"/>
          <w:sz w:val="18"/>
          <w:szCs w:val="18"/>
          <w:color w:val="auto"/>
        </w:rPr>
        <w:t xml:space="preserve"> 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of any series holding in the aggregate more than 10% in aggregate principal amount of the Securities of such series, or, in the case of any suit relating to or arising under Section 4.01(b) or 4.01(e) (if the suit relates to Securities of more than one but less than all series), 10% in aggregate principal amount of Securities Outstanding affected thereby, or in the case of any suit relating to or arising under Section 4.01(b) or 4.01(e) (if the suit relates to all the Securities then Outstanding), 4.01(c) or 4.01(d), 10% in aggregate principal amount of all Securities Outstanding, or to any suit instituted by any Securityholder for the enforcement of the payment of the principal of or interest on any Security, on or after the due date expressed in such Security.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Concerning the Trustee</w:t>
      </w:r>
    </w:p>
    <w:p>
      <w:pPr>
        <w:spacing w:after="0" w:line="225" w:lineRule="exact"/>
        <w:rPr>
          <w:sz w:val="20"/>
          <w:szCs w:val="20"/>
          <w:color w:val="auto"/>
        </w:rPr>
      </w:pPr>
    </w:p>
    <w:p>
      <w:pPr>
        <w:ind w:right="80" w:firstLine="1296"/>
        <w:spacing w:after="0" w:line="293" w:lineRule="auto"/>
        <w:rPr>
          <w:sz w:val="20"/>
          <w:szCs w:val="20"/>
          <w:color w:val="auto"/>
        </w:rPr>
      </w:pPr>
      <w:r>
        <w:rPr>
          <w:rFonts w:ascii="Arial" w:cs="Arial" w:eastAsia="Arial" w:hAnsi="Arial"/>
          <w:sz w:val="16"/>
          <w:szCs w:val="16"/>
          <w:color w:val="auto"/>
        </w:rPr>
        <w:t xml:space="preserve">SECTION 5.01. </w:t>
      </w:r>
      <w:r>
        <w:rPr>
          <w:rFonts w:ascii="Arial" w:cs="Arial" w:eastAsia="Arial" w:hAnsi="Arial"/>
          <w:sz w:val="16"/>
          <w:szCs w:val="16"/>
          <w:u w:val="single" w:color="auto"/>
          <w:color w:val="auto"/>
        </w:rPr>
        <w:t>Duties and Responsibilities of the Trustee; During Default; Prior to Default.</w:t>
      </w:r>
      <w:r>
        <w:rPr>
          <w:rFonts w:ascii="Arial" w:cs="Arial" w:eastAsia="Arial" w:hAnsi="Arial"/>
          <w:sz w:val="16"/>
          <w:szCs w:val="16"/>
          <w:color w:val="auto"/>
        </w:rPr>
        <w:t xml:space="preserve"> With respect to the Holders of any series of Securities issued hereunder, the Trustee, prior to the occurrence of an Event of Default with respect to the Securities of a particular series and after the curing or waiving of all Events of Default which may have occurred with respect to such series, undertakes to perform such duties and only such duties as are specifically set forth in this Indenture. In case an Event of Default with respect to the Securities of a series has occurred (which has not been cured or waived) the Trustee shall exercise with respect to such series of Securities such of the rights and powers vested in it by this Indenture, and use the same degree of care and skill in their exercise, as a prudent person would exercise or use under the circumstances in the conduct of his or her own affairs.</w:t>
      </w:r>
    </w:p>
    <w:p>
      <w:pPr>
        <w:spacing w:after="0" w:line="164" w:lineRule="exact"/>
        <w:rPr>
          <w:sz w:val="20"/>
          <w:szCs w:val="20"/>
          <w:color w:val="auto"/>
        </w:rPr>
      </w:pPr>
    </w:p>
    <w:p>
      <w:pPr>
        <w:ind w:right="480" w:firstLine="1296"/>
        <w:spacing w:after="0" w:line="277" w:lineRule="auto"/>
        <w:rPr>
          <w:sz w:val="20"/>
          <w:szCs w:val="20"/>
          <w:color w:val="auto"/>
        </w:rPr>
      </w:pPr>
      <w:r>
        <w:rPr>
          <w:rFonts w:ascii="Arial" w:cs="Arial" w:eastAsia="Arial" w:hAnsi="Arial"/>
          <w:sz w:val="18"/>
          <w:szCs w:val="18"/>
          <w:color w:val="auto"/>
        </w:rPr>
        <w:t>No provision of this Indenture shall be construed to relieve the Trustee from liability for its own negligent action, its own negligent failure to act or its own willful misconduct, except that</w:t>
      </w:r>
    </w:p>
    <w:p>
      <w:pPr>
        <w:spacing w:after="0" w:line="170" w:lineRule="exact"/>
        <w:rPr>
          <w:sz w:val="20"/>
          <w:szCs w:val="20"/>
          <w:color w:val="auto"/>
        </w:rPr>
      </w:pPr>
    </w:p>
    <w:p>
      <w:pPr>
        <w:ind w:left="660" w:right="240" w:firstLine="644"/>
        <w:spacing w:after="0" w:line="277" w:lineRule="auto"/>
        <w:tabs>
          <w:tab w:leader="none" w:pos="1553"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prior to the occurrence of an Event of Default with respect to the Securities of any series and after the curing or waiving of all such Events of Default with respect to such series which may have occurred:</w:t>
      </w:r>
    </w:p>
    <w:p>
      <w:pPr>
        <w:spacing w:after="0" w:line="170" w:lineRule="exact"/>
        <w:rPr>
          <w:rFonts w:ascii="Arial" w:cs="Arial" w:eastAsia="Arial" w:hAnsi="Arial"/>
          <w:sz w:val="18"/>
          <w:szCs w:val="18"/>
          <w:color w:val="auto"/>
        </w:rPr>
      </w:pPr>
    </w:p>
    <w:p>
      <w:pPr>
        <w:ind w:left="1300" w:right="100" w:firstLine="652"/>
        <w:spacing w:after="0" w:line="311" w:lineRule="auto"/>
        <w:tabs>
          <w:tab w:leader="none" w:pos="2163" w:val="left"/>
        </w:tabs>
        <w:numPr>
          <w:ilvl w:val="1"/>
          <w:numId w:val="117"/>
        </w:numPr>
        <w:rPr>
          <w:rFonts w:ascii="Arial" w:cs="Arial" w:eastAsia="Arial" w:hAnsi="Arial"/>
          <w:sz w:val="16"/>
          <w:szCs w:val="16"/>
          <w:color w:val="auto"/>
        </w:rPr>
      </w:pPr>
      <w:r>
        <w:rPr>
          <w:rFonts w:ascii="Arial" w:cs="Arial" w:eastAsia="Arial" w:hAnsi="Arial"/>
          <w:sz w:val="16"/>
          <w:szCs w:val="16"/>
          <w:color w:val="auto"/>
        </w:rPr>
        <w:t>the duties and obligations of the Trustee with respect to the Securities of any series shall be determined solely by the express provisions of this Indenture, and the Trustee shall not be liable except for the performance of such duties and obligations as are specifically set forth in this Indenture, and no implied covenants or obligations shall be read into this Indenture against the Trustee; and</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33" w:name="page134"/>
    <w:bookmarkEnd w:id="133"/>
    <w:p>
      <w:pPr>
        <w:ind w:left="1300" w:firstLine="652"/>
        <w:spacing w:after="0" w:line="255" w:lineRule="auto"/>
        <w:tabs>
          <w:tab w:leader="none" w:pos="2213" w:val="left"/>
        </w:tabs>
        <w:numPr>
          <w:ilvl w:val="1"/>
          <w:numId w:val="118"/>
        </w:numPr>
        <w:rPr>
          <w:rFonts w:ascii="Arial" w:cs="Arial" w:eastAsia="Arial" w:hAnsi="Arial"/>
          <w:sz w:val="18"/>
          <w:szCs w:val="18"/>
          <w:color w:val="auto"/>
        </w:rPr>
      </w:pPr>
      <w:r>
        <w:rPr>
          <w:rFonts w:ascii="Arial" w:cs="Arial" w:eastAsia="Arial" w:hAnsi="Arial"/>
          <w:sz w:val="18"/>
          <w:szCs w:val="18"/>
          <w:color w:val="auto"/>
        </w:rPr>
        <w:t>in the absence of bad faith on the part of the Trustee, the Trustee may conclusively rely, as to the truth of the statements and the correctness of the opinions expressed therein, upon any statements, certificates or opinions furnished to the Trustee and conforming to the requirements of this Indenture; but in the case of any such statements, certificates or opinions which by any provision hereof are specifically required to be furnished to the Trustee, the Trustee shall be under a duty to examine the same to determine whether or not they conform to the requirements of this Indenture (but need not confirm or investigate the accuracy of mathematical calculations or other facts stated therein);</w:t>
      </w:r>
    </w:p>
    <w:p>
      <w:pPr>
        <w:spacing w:after="0" w:line="192" w:lineRule="exact"/>
        <w:rPr>
          <w:rFonts w:ascii="Arial" w:cs="Arial" w:eastAsia="Arial" w:hAnsi="Arial"/>
          <w:sz w:val="18"/>
          <w:szCs w:val="18"/>
          <w:color w:val="auto"/>
        </w:rPr>
      </w:pPr>
    </w:p>
    <w:p>
      <w:pPr>
        <w:ind w:left="660" w:right="240" w:firstLine="644"/>
        <w:spacing w:after="0" w:line="277" w:lineRule="auto"/>
        <w:tabs>
          <w:tab w:leader="none" w:pos="1563"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or Responsible Officers of the Trustee, unless it shall be proved that the Trustee was negligent in ascertaining the pertinent facts; and</w:t>
      </w:r>
    </w:p>
    <w:p>
      <w:pPr>
        <w:spacing w:after="0" w:line="170" w:lineRule="exact"/>
        <w:rPr>
          <w:rFonts w:ascii="Arial" w:cs="Arial" w:eastAsia="Arial" w:hAnsi="Arial"/>
          <w:sz w:val="18"/>
          <w:szCs w:val="18"/>
          <w:color w:val="auto"/>
        </w:rPr>
      </w:pPr>
    </w:p>
    <w:p>
      <w:pPr>
        <w:ind w:left="660" w:right="100" w:firstLine="644"/>
        <w:spacing w:after="0" w:line="263" w:lineRule="auto"/>
        <w:tabs>
          <w:tab w:leader="none" w:pos="1553"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Trustee shall not be liable with respect to any action taken or omitted to be taken by it in good faith in accordance with the direction of the Holders pursuant to Section 4.09 relating to the time, method and place of conducting any proceeding for any remedy available to the Trustee, or exercising any trust or power conferred upon the Trustee, under this Indenture.</w:t>
      </w:r>
    </w:p>
    <w:p>
      <w:pPr>
        <w:spacing w:after="0" w:line="184" w:lineRule="exact"/>
        <w:rPr>
          <w:sz w:val="20"/>
          <w:szCs w:val="20"/>
          <w:color w:val="auto"/>
        </w:rPr>
      </w:pPr>
    </w:p>
    <w:p>
      <w:pPr>
        <w:jc w:val="both"/>
        <w:ind w:right="260" w:firstLine="1296"/>
        <w:spacing w:after="0" w:line="286" w:lineRule="auto"/>
        <w:rPr>
          <w:sz w:val="20"/>
          <w:szCs w:val="20"/>
          <w:color w:val="auto"/>
        </w:rPr>
      </w:pPr>
      <w:r>
        <w:rPr>
          <w:rFonts w:ascii="Arial" w:cs="Arial" w:eastAsia="Arial" w:hAnsi="Arial"/>
          <w:sz w:val="17"/>
          <w:szCs w:val="17"/>
          <w:color w:val="auto"/>
        </w:rPr>
        <w:t>None of the provisions contained in this Indenture shall require the Trustee to expend or risk its own funds or otherwise incur personal financial liability in the performance of any of its duties or in the exercise of any of its rights or powers, if there shall be reasonable ground for believing that the repayment of such funds or adequate indemnity against such liability is not reasonably assured to it.</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The provisions of this Section 5.01 are in furtherance of and subject to Sections 315 and 316 of the Trust Indenture Act of 1939.</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Certain Rights of the Trustee.</w:t>
      </w:r>
      <w:r>
        <w:rPr>
          <w:rFonts w:ascii="Arial" w:cs="Arial" w:eastAsia="Arial" w:hAnsi="Arial"/>
          <w:sz w:val="18"/>
          <w:szCs w:val="18"/>
          <w:color w:val="auto"/>
        </w:rPr>
        <w:t xml:space="preserve"> In furtherance of and subject to the Trust Indenture Act of 1939, and subject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Section 5.01:</w:t>
      </w:r>
    </w:p>
    <w:p>
      <w:pPr>
        <w:spacing w:after="0" w:line="211" w:lineRule="exact"/>
        <w:rPr>
          <w:sz w:val="20"/>
          <w:szCs w:val="20"/>
          <w:color w:val="auto"/>
        </w:rPr>
      </w:pPr>
    </w:p>
    <w:p>
      <w:pPr>
        <w:ind w:left="660" w:right="120" w:firstLine="644"/>
        <w:spacing w:after="0" w:line="286" w:lineRule="auto"/>
        <w:tabs>
          <w:tab w:leader="none" w:pos="1553"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 Trustee may conclusively rely and shall be protected in acting or refraining from acting upon any resolution, Officers’ Certificate or any other certificate, statement, instrument, opinion, report, notice, request, consent, order, bond, debenture, note, coupon, security or other paper or document believed by it to be genuine and to have been signed or presented by the proper party or parties;</w:t>
      </w:r>
    </w:p>
    <w:p>
      <w:pPr>
        <w:spacing w:after="0" w:line="165" w:lineRule="exact"/>
        <w:rPr>
          <w:rFonts w:ascii="Arial" w:cs="Arial" w:eastAsia="Arial" w:hAnsi="Arial"/>
          <w:sz w:val="17"/>
          <w:szCs w:val="17"/>
          <w:color w:val="auto"/>
        </w:rPr>
      </w:pPr>
    </w:p>
    <w:p>
      <w:pPr>
        <w:ind w:left="660" w:right="160" w:firstLine="644"/>
        <w:spacing w:after="0" w:line="263" w:lineRule="auto"/>
        <w:tabs>
          <w:tab w:leader="none" w:pos="1563"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any request, direction, order or demand of the Issuer mentioned herein shall be sufficiently evidenced by an Officers’ Certificate (unless other evidence in respect thereof be herein specifically prescribed); and any resolution of the Board may be evidenced to the Trustee by a copy thereof certified by the secretary or an assistant secretary of the Issuer;</w:t>
      </w:r>
    </w:p>
    <w:p>
      <w:pPr>
        <w:spacing w:after="0" w:line="183" w:lineRule="exact"/>
        <w:rPr>
          <w:rFonts w:ascii="Arial" w:cs="Arial" w:eastAsia="Arial" w:hAnsi="Arial"/>
          <w:sz w:val="18"/>
          <w:szCs w:val="18"/>
          <w:color w:val="auto"/>
        </w:rPr>
      </w:pPr>
    </w:p>
    <w:p>
      <w:pPr>
        <w:ind w:left="660" w:right="240" w:firstLine="644"/>
        <w:spacing w:after="0" w:line="277" w:lineRule="auto"/>
        <w:tabs>
          <w:tab w:leader="none" w:pos="1553"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Trustee may consult with counsel of its selection and any advice or Opinion of Counsel shall be full and complete authorization and protection in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4" w:name="page135"/>
    <w:bookmarkEnd w:id="134"/>
    <w:p>
      <w:pPr>
        <w:ind w:right="600"/>
        <w:spacing w:after="0" w:line="277" w:lineRule="auto"/>
        <w:rPr>
          <w:sz w:val="20"/>
          <w:szCs w:val="20"/>
          <w:color w:val="auto"/>
        </w:rPr>
      </w:pPr>
      <w:r>
        <w:rPr>
          <w:rFonts w:ascii="Arial" w:cs="Arial" w:eastAsia="Arial" w:hAnsi="Arial"/>
          <w:sz w:val="18"/>
          <w:szCs w:val="18"/>
          <w:color w:val="auto"/>
        </w:rPr>
        <w:t>respect of any action taken, suffered or omitted to be taken by it hereunder in good faith and in accordance with such advice or Opinion of Counsel;</w:t>
      </w:r>
    </w:p>
    <w:p>
      <w:pPr>
        <w:spacing w:after="0" w:line="170" w:lineRule="exact"/>
        <w:rPr>
          <w:sz w:val="20"/>
          <w:szCs w:val="20"/>
          <w:color w:val="auto"/>
        </w:rPr>
      </w:pPr>
    </w:p>
    <w:p>
      <w:pPr>
        <w:ind w:right="180" w:firstLine="644"/>
        <w:spacing w:after="0" w:line="286" w:lineRule="auto"/>
        <w:tabs>
          <w:tab w:leader="none" w:pos="903"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Trustee shall be under no obligation to exercise any of the trusts or powers vested in it by this Indenture at the request, order or direction of any of the Securityholders pursuant to the provisions of this Indenture, unless such Securityholders shall have offered to the Trustee security or indemnity satisfactory to it against the costs, expenses and liabilities which might be incurred therein or thereby;</w:t>
      </w:r>
    </w:p>
    <w:p>
      <w:pPr>
        <w:spacing w:after="0" w:line="165" w:lineRule="exact"/>
        <w:rPr>
          <w:rFonts w:ascii="Arial" w:cs="Arial" w:eastAsia="Arial" w:hAnsi="Arial"/>
          <w:sz w:val="17"/>
          <w:szCs w:val="17"/>
          <w:color w:val="auto"/>
        </w:rPr>
      </w:pPr>
    </w:p>
    <w:p>
      <w:pPr>
        <w:ind w:right="440" w:firstLine="644"/>
        <w:spacing w:after="0" w:line="277" w:lineRule="auto"/>
        <w:tabs>
          <w:tab w:leader="none" w:pos="893"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Trustee shall not be liable for any action taken or omitted by it in good faith and believed by it to be authorized or within the discretion, rights or powers conferred upon it by this Indenture;</w:t>
      </w:r>
    </w:p>
    <w:p>
      <w:pPr>
        <w:spacing w:after="0" w:line="170" w:lineRule="exact"/>
        <w:rPr>
          <w:rFonts w:ascii="Arial" w:cs="Arial" w:eastAsia="Arial" w:hAnsi="Arial"/>
          <w:sz w:val="18"/>
          <w:szCs w:val="18"/>
          <w:color w:val="auto"/>
        </w:rPr>
      </w:pPr>
    </w:p>
    <w:p>
      <w:pPr>
        <w:ind w:firstLine="644"/>
        <w:spacing w:after="0" w:line="290" w:lineRule="auto"/>
        <w:tabs>
          <w:tab w:leader="none" w:pos="873" w:val="left"/>
        </w:tabs>
        <w:numPr>
          <w:ilvl w:val="0"/>
          <w:numId w:val="121"/>
        </w:numPr>
        <w:rPr>
          <w:rFonts w:ascii="Arial" w:cs="Arial" w:eastAsia="Arial" w:hAnsi="Arial"/>
          <w:sz w:val="16"/>
          <w:szCs w:val="16"/>
          <w:color w:val="auto"/>
        </w:rPr>
      </w:pPr>
      <w:r>
        <w:rPr>
          <w:rFonts w:ascii="Arial" w:cs="Arial" w:eastAsia="Arial" w:hAnsi="Arial"/>
          <w:sz w:val="16"/>
          <w:szCs w:val="16"/>
          <w:color w:val="auto"/>
        </w:rPr>
        <w:t>prior to the occurrence of an Event of Default hereunder and after the curing or waiving of all Events of Default, the Trustee shall not be bound to make any investigation into the facts or matters stated in any resolution, certificate, statement, instrument, opinion, report, notice, request, consent, order, approval, appraisal, bond, debenture, note, coupon, security, or other paper or document unless requested in writing so to do by the Holders of not less than a majority in aggregate principal amount of the Securities of all series affected then outstanding; provided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indemnity satisfactory to it against such expenses or liabilities as a condition to proceeding; the reasonable expenses of every such investigation shall be paid by the Issuer or, if paid by the Trustee or any predecessor trustee, shall be repaid by the Issuer upon demand;</w:t>
      </w:r>
    </w:p>
    <w:p>
      <w:pPr>
        <w:spacing w:after="0" w:line="165" w:lineRule="exact"/>
        <w:rPr>
          <w:rFonts w:ascii="Arial" w:cs="Arial" w:eastAsia="Arial" w:hAnsi="Arial"/>
          <w:sz w:val="16"/>
          <w:szCs w:val="16"/>
          <w:color w:val="auto"/>
        </w:rPr>
      </w:pPr>
    </w:p>
    <w:p>
      <w:pPr>
        <w:jc w:val="both"/>
        <w:ind w:right="40" w:firstLine="644"/>
        <w:spacing w:after="0" w:line="263" w:lineRule="auto"/>
        <w:tabs>
          <w:tab w:leader="none" w:pos="903"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Trustee may execute any of the trusts or powers hereunder or perform any duties hereunder either directly or by or through agents or attorneys not regularly in its employ and the Trustee shall not be responsible for any misconduct or negligence on the part of any such agent or attorney appointed with due care by it hereunder;</w:t>
      </w:r>
    </w:p>
    <w:p>
      <w:pPr>
        <w:spacing w:after="0" w:line="183" w:lineRule="exact"/>
        <w:rPr>
          <w:rFonts w:ascii="Arial" w:cs="Arial" w:eastAsia="Arial" w:hAnsi="Arial"/>
          <w:sz w:val="18"/>
          <w:szCs w:val="18"/>
          <w:color w:val="auto"/>
        </w:rPr>
      </w:pPr>
    </w:p>
    <w:p>
      <w:pPr>
        <w:ind w:right="40" w:firstLine="644"/>
        <w:spacing w:after="0" w:line="263" w:lineRule="auto"/>
        <w:tabs>
          <w:tab w:leader="none" w:pos="903"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conclusively rely upon an Officers’ Certificate;</w:t>
      </w:r>
    </w:p>
    <w:p>
      <w:pPr>
        <w:spacing w:after="0" w:line="183" w:lineRule="exact"/>
        <w:rPr>
          <w:rFonts w:ascii="Arial" w:cs="Arial" w:eastAsia="Arial" w:hAnsi="Arial"/>
          <w:sz w:val="18"/>
          <w:szCs w:val="18"/>
          <w:color w:val="auto"/>
        </w:rPr>
      </w:pPr>
    </w:p>
    <w:p>
      <w:pPr>
        <w:ind w:right="120" w:firstLine="644"/>
        <w:spacing w:after="0" w:line="263" w:lineRule="auto"/>
        <w:tabs>
          <w:tab w:leader="none" w:pos="863"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Trustee shall not be deemed to have notice of any Event of Default or an event which, with notice or lapse of time or both, would constitute an Event of Default unless a Responsible Officer of the Trustee has actual knowledge thereof or unless written notice of any event which is in fact such a default is</w:t>
      </w:r>
    </w:p>
    <w:p>
      <w:pPr>
        <w:spacing w:after="0" w:line="184"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15327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540"/>
          </w:cols>
          <w:pgMar w:left="980" w:top="341" w:right="379" w:bottom="1440" w:gutter="0" w:footer="0" w:header="0"/>
        </w:sectPr>
      </w:pPr>
    </w:p>
    <w:bookmarkStart w:id="135" w:name="page136"/>
    <w:bookmarkEnd w:id="135"/>
    <w:p>
      <w:pPr>
        <w:ind w:left="660"/>
        <w:spacing w:after="0"/>
        <w:rPr>
          <w:sz w:val="20"/>
          <w:szCs w:val="20"/>
          <w:color w:val="auto"/>
        </w:rPr>
      </w:pPr>
      <w:r>
        <w:rPr>
          <w:rFonts w:ascii="Arial" w:cs="Arial" w:eastAsia="Arial" w:hAnsi="Arial"/>
          <w:sz w:val="18"/>
          <w:szCs w:val="18"/>
          <w:color w:val="auto"/>
        </w:rPr>
        <w:t>received by the Trustee at the Corporate Trust Office of the Trustee, and such notice references the Securities and this Indenture;</w:t>
      </w:r>
    </w:p>
    <w:p>
      <w:pPr>
        <w:spacing w:after="0" w:line="225" w:lineRule="exact"/>
        <w:rPr>
          <w:sz w:val="20"/>
          <w:szCs w:val="20"/>
          <w:color w:val="auto"/>
        </w:rPr>
      </w:pPr>
    </w:p>
    <w:p>
      <w:pPr>
        <w:ind w:left="660" w:right="40" w:firstLine="644"/>
        <w:spacing w:after="0" w:line="342" w:lineRule="auto"/>
        <w:tabs>
          <w:tab w:leader="none" w:pos="1523"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rights, privileges, protections, immunities and benefits given to the Trustee, including its right to be indemnified, are extended to, and shall be enforceable by, the Trustee in each of its capacities hereunder, and each agent, custodian and other Person employed to act hereunder;</w:t>
      </w:r>
    </w:p>
    <w:p>
      <w:pPr>
        <w:spacing w:after="0" w:line="123" w:lineRule="exact"/>
        <w:rPr>
          <w:rFonts w:ascii="Arial" w:cs="Arial" w:eastAsia="Arial" w:hAnsi="Arial"/>
          <w:sz w:val="16"/>
          <w:szCs w:val="16"/>
          <w:color w:val="auto"/>
        </w:rPr>
      </w:pPr>
    </w:p>
    <w:p>
      <w:pPr>
        <w:ind w:left="660" w:right="60" w:firstLine="644"/>
        <w:spacing w:after="0" w:line="311" w:lineRule="auto"/>
        <w:tabs>
          <w:tab w:leader="none" w:pos="1563"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Trustee may request that the Issuer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 and</w:t>
      </w:r>
    </w:p>
    <w:p>
      <w:pPr>
        <w:spacing w:after="0" w:line="148" w:lineRule="exact"/>
        <w:rPr>
          <w:rFonts w:ascii="Arial" w:cs="Arial" w:eastAsia="Arial" w:hAnsi="Arial"/>
          <w:sz w:val="16"/>
          <w:szCs w:val="16"/>
          <w:color w:val="auto"/>
        </w:rPr>
      </w:pPr>
    </w:p>
    <w:p>
      <w:pPr>
        <w:jc w:val="both"/>
        <w:ind w:left="660" w:right="380" w:firstLine="644"/>
        <w:spacing w:after="0" w:line="263" w:lineRule="auto"/>
        <w:tabs>
          <w:tab w:leader="none" w:pos="1523"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in no event shall the Trustee be responsible or liable for special, indirect or consequential loss or damage of any kind whatsoever (including, but not limited to, loss of profit) irrespective of whether the Trustee has been advised of the likelihood of such loss or damage and regardless of the form of action.</w:t>
      </w:r>
    </w:p>
    <w:p>
      <w:pPr>
        <w:spacing w:after="0" w:line="184" w:lineRule="exact"/>
        <w:rPr>
          <w:sz w:val="20"/>
          <w:szCs w:val="20"/>
          <w:color w:val="auto"/>
        </w:rPr>
      </w:pPr>
    </w:p>
    <w:p>
      <w:pPr>
        <w:ind w:right="200" w:firstLine="1296"/>
        <w:spacing w:after="0" w:line="301" w:lineRule="auto"/>
        <w:rPr>
          <w:sz w:val="20"/>
          <w:szCs w:val="20"/>
          <w:color w:val="auto"/>
        </w:rPr>
      </w:pPr>
      <w:r>
        <w:rPr>
          <w:rFonts w:ascii="Arial" w:cs="Arial" w:eastAsia="Arial" w:hAnsi="Arial"/>
          <w:sz w:val="16"/>
          <w:szCs w:val="16"/>
          <w:color w:val="auto"/>
        </w:rPr>
        <w:t xml:space="preserve">SECTION 5.03. </w:t>
      </w:r>
      <w:r>
        <w:rPr>
          <w:rFonts w:ascii="Arial" w:cs="Arial" w:eastAsia="Arial" w:hAnsi="Arial"/>
          <w:sz w:val="16"/>
          <w:szCs w:val="16"/>
          <w:u w:val="single" w:color="auto"/>
          <w:color w:val="auto"/>
        </w:rPr>
        <w:t>Trustee Not Responsible for Recitals, Disposition of Securities or Application of Proceeds Thereof.</w:t>
      </w:r>
      <w:r>
        <w:rPr>
          <w:rFonts w:ascii="Arial" w:cs="Arial" w:eastAsia="Arial" w:hAnsi="Arial"/>
          <w:sz w:val="16"/>
          <w:szCs w:val="16"/>
          <w:color w:val="auto"/>
        </w:rPr>
        <w:t xml:space="preserve"> The recitals contained herein and in the Securities, except the Trustee’s certificates of authentication, shall be taken as the statements of the Issuer, and the Trustee assumes no responsibility for the correctness of the same. The Trustee makes no representation as to the validity or sufficiency of this Indenture or of the Securities. The Trustee shall not be accountable for the use or application by the Issuer of any of the Securities or of the proceeds thereof.</w:t>
      </w:r>
    </w:p>
    <w:p>
      <w:pPr>
        <w:spacing w:after="0" w:line="157"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Trustee and Agents May Hold Securities; Collections, etc.</w:t>
      </w:r>
      <w:r>
        <w:rPr>
          <w:rFonts w:ascii="Arial" w:cs="Arial" w:eastAsia="Arial" w:hAnsi="Arial"/>
          <w:sz w:val="18"/>
          <w:szCs w:val="18"/>
          <w:color w:val="auto"/>
        </w:rPr>
        <w:t xml:space="preserve"> Subject to Section 311 of the Trust Indenture Act of 1939, the Trustee or any agent of the Issuer or the Trustee, in its individual or any other capacity, may become the owner or pledgee of Securities with the same rights it would have if it were not the Trustee or such agent and may otherwise deal with the Issuer and receive, collect, hold and retain collections from the Issuer with the same rights it would have if it were not the Trustee or such agent.</w:t>
      </w:r>
    </w:p>
    <w:p>
      <w:pPr>
        <w:spacing w:after="0" w:line="187"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u w:val="single" w:color="auto"/>
          <w:color w:val="auto"/>
        </w:rPr>
        <w:t>Moneys Held by Trustee.</w:t>
      </w:r>
      <w:r>
        <w:rPr>
          <w:rFonts w:ascii="Arial" w:cs="Arial" w:eastAsia="Arial" w:hAnsi="Arial"/>
          <w:sz w:val="18"/>
          <w:szCs w:val="18"/>
          <w:color w:val="auto"/>
        </w:rPr>
        <w:t xml:space="preserve"> Subject to the provisions of Section 9.04 hereof, all moneys received by the Trustee shall, until used or applied as herein provided, be held in trust for the purposes for which they were received, but need not be segregated from other funds except to the extent required by mandatory provisions of law. Neither the Trustee nor any agent of the Issuer or the Trustee shall be under any liability for interest on any moneys received by it hereunder.</w:t>
      </w:r>
    </w:p>
    <w:p>
      <w:pPr>
        <w:spacing w:after="0" w:line="187" w:lineRule="exact"/>
        <w:rPr>
          <w:sz w:val="20"/>
          <w:szCs w:val="20"/>
          <w:color w:val="auto"/>
        </w:rPr>
      </w:pPr>
    </w:p>
    <w:p>
      <w:pPr>
        <w:jc w:val="both"/>
        <w:ind w:right="40" w:firstLine="1296"/>
        <w:spacing w:after="0" w:line="263" w:lineRule="auto"/>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u w:val="single" w:color="auto"/>
          <w:color w:val="auto"/>
        </w:rPr>
        <w:t>Compensation and Indemnification of Trustee and its Prior Claim.</w:t>
      </w:r>
      <w:r>
        <w:rPr>
          <w:rFonts w:ascii="Arial" w:cs="Arial" w:eastAsia="Arial" w:hAnsi="Arial"/>
          <w:sz w:val="18"/>
          <w:szCs w:val="18"/>
          <w:color w:val="auto"/>
        </w:rPr>
        <w:t xml:space="preserve"> The Issuer covenants and agrees to pay to the Trustee from time to time, and the Trustee shall be entitled to, compensation as the Issuer and the Trustee shall from time to time agree in writing (which shall not be limited by any provision of law in regard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36" w:name="page137"/>
    <w:bookmarkEnd w:id="136"/>
    <w:p>
      <w:pPr>
        <w:ind w:right="40"/>
        <w:spacing w:after="0" w:line="287" w:lineRule="auto"/>
        <w:rPr>
          <w:sz w:val="20"/>
          <w:szCs w:val="20"/>
          <w:color w:val="auto"/>
        </w:rPr>
      </w:pPr>
      <w:r>
        <w:rPr>
          <w:rFonts w:ascii="Arial" w:cs="Arial" w:eastAsia="Arial" w:hAnsi="Arial"/>
          <w:sz w:val="16"/>
          <w:szCs w:val="16"/>
          <w:color w:val="auto"/>
        </w:rPr>
        <w:t>to the compensation of a trustee of an express trust) and the Issuer covenants and agrees to pay or reimburse the Trustee and each predecessor trustee upon its request for all expenses, disbursements and advances incurred or made by or on behalf of it in accordance with any of the provisions of this Indenture (including the reasonable compensation and the expenses and disbursements of its counsel and of all agents and other persons not regularly in its employ) except to the extent any such expense, disbursement or advance is caused by its own negligence, willful misconduct or bad faith. The Issuer also covenants to indemnify the Trustee and each predecessor trustee and their agents for, and to hold it harmless against, any loss, liability or expense arising out of or in connection with the acceptance or administration of this Indenture or the trusts hereunder and the performance of its duties hereunder, including the costs and expenses of defending itself against or investigating any claim of liability in the premises, except to the extent such loss liability or expense is caused by the negligence, willful misconduct or bad faith of the Trustee, its agents or employees or such predecessor trustee. The obligations of the Issuer under this section to compensate and indemnify the Trustee and each predecessor trustee and to pay or reimburse the Trustee and each predecessor trustee for expenses, disbursements and advances shall constitute additional indebtedness hereunder and shall survive the satisfaction and discharge of this Indenture. Such additional indebtedness shall be a senior claim to that of the Securities upon all property and funds held or collected by the Trustee as such, except funds held in trust for the benefit of the Holders of particular Securities, and the Securities are hereby subordinated to such senior claim.</w:t>
      </w:r>
    </w:p>
    <w:p>
      <w:pPr>
        <w:spacing w:after="0" w:line="168" w:lineRule="exact"/>
        <w:rPr>
          <w:sz w:val="20"/>
          <w:szCs w:val="20"/>
          <w:color w:val="auto"/>
        </w:rPr>
      </w:pPr>
    </w:p>
    <w:p>
      <w:pPr>
        <w:ind w:right="700" w:firstLine="1296"/>
        <w:spacing w:after="0" w:line="311" w:lineRule="auto"/>
        <w:rPr>
          <w:sz w:val="20"/>
          <w:szCs w:val="20"/>
          <w:color w:val="auto"/>
        </w:rPr>
      </w:pPr>
      <w:r>
        <w:rPr>
          <w:rFonts w:ascii="Arial" w:cs="Arial" w:eastAsia="Arial" w:hAnsi="Arial"/>
          <w:sz w:val="16"/>
          <w:szCs w:val="16"/>
          <w:color w:val="auto"/>
        </w:rPr>
        <w:t>When the Trustee incurs expenses or renders services in connection with an Event of Default specified in Section 4.01(c) or Section 4.01(d), the expenses (including the reasonable charges and expenses of its counsel) and the compensation for the services are intended to constitute expenses of administration under any applicable U.S. federal, state or non-U.S. bankruptcy, insolvency or other similar law.</w:t>
      </w:r>
    </w:p>
    <w:p>
      <w:pPr>
        <w:spacing w:after="0" w:line="149" w:lineRule="exact"/>
        <w:rPr>
          <w:sz w:val="20"/>
          <w:szCs w:val="20"/>
          <w:color w:val="auto"/>
        </w:rPr>
      </w:pPr>
    </w:p>
    <w:p>
      <w:pPr>
        <w:jc w:val="both"/>
        <w:ind w:right="40" w:firstLine="1296"/>
        <w:spacing w:after="0" w:line="255" w:lineRule="auto"/>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Right of Trustee to Rely on Officers’ Certificate, etc.</w:t>
      </w:r>
      <w:r>
        <w:rPr>
          <w:rFonts w:ascii="Arial" w:cs="Arial" w:eastAsia="Arial" w:hAnsi="Arial"/>
          <w:sz w:val="18"/>
          <w:szCs w:val="18"/>
          <w:color w:val="auto"/>
        </w:rPr>
        <w:t xml:space="preserve"> Subject to Sections 5.01 and 5.02, whenever in the administration of the trusts of this Indenture the Trustee shall deem it necessary or desirable that a matter be proved or established prior to taking or suffering or omitting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by it under the provisions of this Indenture upon the faith thereof.</w:t>
      </w:r>
    </w:p>
    <w:p>
      <w:pPr>
        <w:spacing w:after="0" w:line="192" w:lineRule="exact"/>
        <w:rPr>
          <w:sz w:val="20"/>
          <w:szCs w:val="20"/>
          <w:color w:val="auto"/>
        </w:rPr>
      </w:pPr>
    </w:p>
    <w:p>
      <w:pPr>
        <w:ind w:firstLine="1296"/>
        <w:spacing w:after="0" w:line="279" w:lineRule="auto"/>
        <w:rPr>
          <w:sz w:val="20"/>
          <w:szCs w:val="20"/>
          <w:color w:val="auto"/>
        </w:rPr>
      </w:pPr>
      <w:r>
        <w:rPr>
          <w:rFonts w:ascii="Arial" w:cs="Arial" w:eastAsia="Arial" w:hAnsi="Arial"/>
          <w:sz w:val="17"/>
          <w:szCs w:val="17"/>
          <w:color w:val="auto"/>
        </w:rPr>
        <w:t xml:space="preserve">SECTION 5.08. </w:t>
      </w:r>
      <w:r>
        <w:rPr>
          <w:rFonts w:ascii="Arial" w:cs="Arial" w:eastAsia="Arial" w:hAnsi="Arial"/>
          <w:sz w:val="17"/>
          <w:szCs w:val="17"/>
          <w:u w:val="single" w:color="auto"/>
          <w:color w:val="auto"/>
        </w:rPr>
        <w:t>Persons Eligible for Appointment as Trustee.</w:t>
      </w:r>
      <w:r>
        <w:rPr>
          <w:rFonts w:ascii="Arial" w:cs="Arial" w:eastAsia="Arial" w:hAnsi="Arial"/>
          <w:sz w:val="17"/>
          <w:szCs w:val="17"/>
          <w:color w:val="auto"/>
        </w:rPr>
        <w:t xml:space="preserve"> The Trustee for each series of Securities hereunder shall at all times be a corporation organized and doing business under the laws of the United States of America or the District of Columbia having a combined capital and surplus of at least $25,000,000, and which is eligible in accordance with the provisions of Section 310(a) of the Trust Indenture Act of 1939. If such corporation publishes reports of condition at least annually, pursuant to law or to the requirements of a federal, state or District of Columbia</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37" w:name="page138"/>
    <w:bookmarkEnd w:id="137"/>
    <w:p>
      <w:pPr>
        <w:ind w:right="300"/>
        <w:spacing w:after="0" w:line="277" w:lineRule="auto"/>
        <w:rPr>
          <w:sz w:val="20"/>
          <w:szCs w:val="20"/>
          <w:color w:val="auto"/>
        </w:rPr>
      </w:pPr>
      <w:r>
        <w:rPr>
          <w:rFonts w:ascii="Arial" w:cs="Arial" w:eastAsia="Arial" w:hAnsi="Arial"/>
          <w:sz w:val="18"/>
          <w:szCs w:val="18"/>
          <w:color w:val="auto"/>
        </w:rPr>
        <w:t>supervising or examining authority, then for the purposes of this Section, the combined capital and surplus of such corporation shall be deemed to be its combined capital and surplus as set forth in its most recent report of condition so published.</w:t>
      </w:r>
    </w:p>
    <w:p>
      <w:pPr>
        <w:spacing w:after="0" w:line="170" w:lineRule="exact"/>
        <w:rPr>
          <w:sz w:val="20"/>
          <w:szCs w:val="20"/>
          <w:color w:val="auto"/>
        </w:rPr>
      </w:pPr>
    </w:p>
    <w:p>
      <w:pPr>
        <w:ind w:firstLine="1296"/>
        <w:spacing w:after="0" w:line="288" w:lineRule="auto"/>
        <w:rPr>
          <w:sz w:val="20"/>
          <w:szCs w:val="20"/>
          <w:color w:val="auto"/>
        </w:rPr>
      </w:pPr>
      <w:r>
        <w:rPr>
          <w:rFonts w:ascii="Arial" w:cs="Arial" w:eastAsia="Arial" w:hAnsi="Arial"/>
          <w:sz w:val="16"/>
          <w:szCs w:val="16"/>
          <w:color w:val="auto"/>
        </w:rPr>
        <w:t xml:space="preserve">SECTION 5.09. </w:t>
      </w:r>
      <w:r>
        <w:rPr>
          <w:rFonts w:ascii="Arial" w:cs="Arial" w:eastAsia="Arial" w:hAnsi="Arial"/>
          <w:sz w:val="16"/>
          <w:szCs w:val="16"/>
          <w:u w:val="single" w:color="auto"/>
          <w:color w:val="auto"/>
        </w:rPr>
        <w:t>Resignation and Removal; Appointment of Successor Trustee.</w:t>
      </w:r>
      <w:r>
        <w:rPr>
          <w:rFonts w:ascii="Arial" w:cs="Arial" w:eastAsia="Arial" w:hAnsi="Arial"/>
          <w:sz w:val="16"/>
          <w:szCs w:val="16"/>
          <w:color w:val="auto"/>
        </w:rPr>
        <w:t xml:space="preserve"> (a) The Trustee, or any trustee or trustees hereafter appointed, may at any time resign with respect to one or more or all series of Securities by giving written notice of resignation to the Issuer and by mailing notice thereof by first class mail to Holders of the applicable series of Securities at their last addresses as they shall appear on the Security register. Upon receiving such notice of resignation, the Issuer shall promptly appoint a successor trustee or trustees with respect to the applicable series by written instrument in duplicate, executed by authority of the Board, one copy of which instrument shall be delivered to the resigning Trustee and one copy to the successor trustee or trustees. If no successor trustee shall have been so appointed with respect to any series and have accepted appointment within 30 days after the mailing of such notice of resignation, the resigning trustee at the Issuer’s expense may petition any court of competent jurisdiction for the appointment of a successor trustee, or any Securityholder who has been a bona fide Holder of a Security or Securities of the applicable series for at least six months may, subject to the provisions of Section 4.12, on behalf of himself and all others similarly situated, petition any such court for the appointment of a successor trustee. Such court may thereupon, after such notice, if any, as it may deem proper and prescribe, appoint a successor trustee.</w:t>
      </w:r>
    </w:p>
    <w:p>
      <w:pPr>
        <w:spacing w:after="0" w:line="168" w:lineRule="exact"/>
        <w:rPr>
          <w:sz w:val="20"/>
          <w:szCs w:val="20"/>
          <w:color w:val="auto"/>
        </w:rPr>
      </w:pPr>
    </w:p>
    <w:p>
      <w:pPr>
        <w:ind w:left="1560" w:hanging="256"/>
        <w:spacing w:after="0"/>
        <w:tabs>
          <w:tab w:leader="none" w:pos="15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 case at any time any of the following shall occur:</w:t>
      </w:r>
    </w:p>
    <w:p>
      <w:pPr>
        <w:spacing w:after="0" w:line="225" w:lineRule="exact"/>
        <w:rPr>
          <w:rFonts w:ascii="Arial" w:cs="Arial" w:eastAsia="Arial" w:hAnsi="Arial"/>
          <w:sz w:val="18"/>
          <w:szCs w:val="18"/>
          <w:color w:val="auto"/>
        </w:rPr>
      </w:pPr>
    </w:p>
    <w:p>
      <w:pPr>
        <w:ind w:left="1300" w:right="80" w:firstLine="652"/>
        <w:spacing w:after="0" w:line="263" w:lineRule="auto"/>
        <w:tabs>
          <w:tab w:leader="none" w:pos="2163" w:val="left"/>
        </w:tabs>
        <w:numPr>
          <w:ilvl w:val="1"/>
          <w:numId w:val="123"/>
        </w:numPr>
        <w:rPr>
          <w:rFonts w:ascii="Arial" w:cs="Arial" w:eastAsia="Arial" w:hAnsi="Arial"/>
          <w:sz w:val="18"/>
          <w:szCs w:val="18"/>
          <w:color w:val="auto"/>
        </w:rPr>
      </w:pPr>
      <w:r>
        <w:rPr>
          <w:rFonts w:ascii="Arial" w:cs="Arial" w:eastAsia="Arial" w:hAnsi="Arial"/>
          <w:sz w:val="18"/>
          <w:szCs w:val="18"/>
          <w:color w:val="auto"/>
        </w:rPr>
        <w:t>the Trustee shall fail to comply with the provisions of Section 310(b) of the Trust Indenture Act of 1939 with respect to any series of Securities after written request therefor by the Issuer or by any Securityholder who has been a bona fide Holder of a Security or Securities of such series for at least six months; or</w:t>
      </w:r>
    </w:p>
    <w:p>
      <w:pPr>
        <w:spacing w:after="0" w:line="183" w:lineRule="exact"/>
        <w:rPr>
          <w:rFonts w:ascii="Arial" w:cs="Arial" w:eastAsia="Arial" w:hAnsi="Arial"/>
          <w:sz w:val="18"/>
          <w:szCs w:val="18"/>
          <w:color w:val="auto"/>
        </w:rPr>
      </w:pPr>
    </w:p>
    <w:p>
      <w:pPr>
        <w:ind w:left="1300" w:right="120" w:firstLine="652"/>
        <w:spacing w:after="0" w:line="277" w:lineRule="auto"/>
        <w:tabs>
          <w:tab w:leader="none" w:pos="2213" w:val="left"/>
        </w:tabs>
        <w:numPr>
          <w:ilvl w:val="1"/>
          <w:numId w:val="123"/>
        </w:numPr>
        <w:rPr>
          <w:rFonts w:ascii="Arial" w:cs="Arial" w:eastAsia="Arial" w:hAnsi="Arial"/>
          <w:sz w:val="18"/>
          <w:szCs w:val="18"/>
          <w:color w:val="auto"/>
        </w:rPr>
      </w:pPr>
      <w:r>
        <w:rPr>
          <w:rFonts w:ascii="Arial" w:cs="Arial" w:eastAsia="Arial" w:hAnsi="Arial"/>
          <w:sz w:val="18"/>
          <w:szCs w:val="18"/>
          <w:color w:val="auto"/>
        </w:rPr>
        <w:t>the Trustee shall cease to be eligible in accordance with the provisions of Section 310(a) of the Trust Indenture Act of 1939 and shall fail to resign after written request therefor by the Issuer or by any Securityholder; or</w:t>
      </w:r>
    </w:p>
    <w:p>
      <w:pPr>
        <w:spacing w:after="0" w:line="170" w:lineRule="exact"/>
        <w:rPr>
          <w:rFonts w:ascii="Arial" w:cs="Arial" w:eastAsia="Arial" w:hAnsi="Arial"/>
          <w:sz w:val="18"/>
          <w:szCs w:val="18"/>
          <w:color w:val="auto"/>
        </w:rPr>
      </w:pPr>
    </w:p>
    <w:p>
      <w:pPr>
        <w:ind w:left="1300" w:right="120" w:firstLine="652"/>
        <w:spacing w:after="0" w:line="286" w:lineRule="auto"/>
        <w:tabs>
          <w:tab w:leader="none" w:pos="2263" w:val="left"/>
        </w:tabs>
        <w:numPr>
          <w:ilvl w:val="1"/>
          <w:numId w:val="123"/>
        </w:numPr>
        <w:rPr>
          <w:rFonts w:ascii="Arial" w:cs="Arial" w:eastAsia="Arial" w:hAnsi="Arial"/>
          <w:sz w:val="17"/>
          <w:szCs w:val="17"/>
          <w:color w:val="auto"/>
        </w:rPr>
      </w:pPr>
      <w:r>
        <w:rPr>
          <w:rFonts w:ascii="Arial" w:cs="Arial" w:eastAsia="Arial" w:hAnsi="Arial"/>
          <w:sz w:val="17"/>
          <w:szCs w:val="17"/>
          <w:color w:val="auto"/>
        </w:rPr>
        <w:t>the Trustee shall become incapable of acting with respect to any series of Securities, or shall be adjudged a bankrupt or insolvent, or a receiver or liquidator of the Trustee or of its property shall be appointed, or any public officer shall take charge or control of the Trustee or of its property or affairs for the purpose of rehabilitation, conservation or liquidation;</w:t>
      </w:r>
    </w:p>
    <w:p>
      <w:pPr>
        <w:spacing w:after="0" w:line="16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then, in any such case, the Issuer may remove the Trustee with respect to the applicable series of Securities and appoint a successor trustee for such series by written instrument, in duplicate, executed by order of the Board of the Issuer, one copy of which instrument shall be delivered to the Trustee so removed and one copy to the successor trustee, or,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38" w:name="page139"/>
    <w:bookmarkEnd w:id="138"/>
    <w:p>
      <w:pPr>
        <w:ind w:right="40"/>
        <w:spacing w:after="0" w:line="259" w:lineRule="auto"/>
        <w:rPr>
          <w:sz w:val="20"/>
          <w:szCs w:val="20"/>
          <w:color w:val="auto"/>
        </w:rPr>
      </w:pPr>
      <w:r>
        <w:rPr>
          <w:rFonts w:ascii="Arial" w:cs="Arial" w:eastAsia="Arial" w:hAnsi="Arial"/>
          <w:sz w:val="18"/>
          <w:szCs w:val="18"/>
          <w:color w:val="auto"/>
        </w:rPr>
        <w:t>subject to Section 315(e) of the Trust Indenture Act of 1939, any Securityholder who has been a bona fide Holder of a Security or Securities of such series for at least six months may on behalf of himself and all others similarly situated, petition any court of competent jurisdiction for the removal of the Trustee and the appointment of a successor trustee with respect to such series. Such court may thereupon, after such notice, if any, as it may deem proper and prescribe, remove the Trustee and appoint a successor trustee.</w:t>
      </w:r>
    </w:p>
    <w:p>
      <w:pPr>
        <w:spacing w:after="0" w:line="187" w:lineRule="exact"/>
        <w:rPr>
          <w:sz w:val="20"/>
          <w:szCs w:val="20"/>
          <w:color w:val="auto"/>
        </w:rPr>
      </w:pPr>
    </w:p>
    <w:p>
      <w:pPr>
        <w:ind w:left="660" w:firstLine="644"/>
        <w:spacing w:after="0" w:line="259" w:lineRule="auto"/>
        <w:tabs>
          <w:tab w:leader="none" w:pos="1549"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Holders of a majority in aggregate principal amount of the Securities of each series at the time outstanding may at any time remove the Trustee with respect to Securities of such series and appoint a successor trustee with respect to the Securities of such series by delivering to the Trustee so removed, to the successor trustee so appointed and to the Issuer the evidence provided for in Section 6.01 of the action in that regard taken by the Securityholders.</w:t>
      </w:r>
    </w:p>
    <w:p>
      <w:pPr>
        <w:spacing w:after="0" w:line="186" w:lineRule="exact"/>
        <w:rPr>
          <w:rFonts w:ascii="Arial" w:cs="Arial" w:eastAsia="Arial" w:hAnsi="Arial"/>
          <w:sz w:val="18"/>
          <w:szCs w:val="18"/>
          <w:color w:val="auto"/>
        </w:rPr>
      </w:pPr>
    </w:p>
    <w:p>
      <w:pPr>
        <w:ind w:left="660" w:right="160" w:firstLine="644"/>
        <w:spacing w:after="0" w:line="263" w:lineRule="auto"/>
        <w:tabs>
          <w:tab w:leader="none" w:pos="1553"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Any resignation or removal of the Trustee with respect to any series and any appointment of a successor trustee with respect to such series pursuant to any of the provisions of this Section 5.09 shall become effective upon acceptance of appointment by the successor trustee as provided in Section 5.10.</w:t>
      </w:r>
    </w:p>
    <w:p>
      <w:pPr>
        <w:spacing w:after="0" w:line="184" w:lineRule="exact"/>
        <w:rPr>
          <w:sz w:val="20"/>
          <w:szCs w:val="20"/>
          <w:color w:val="auto"/>
        </w:rPr>
      </w:pPr>
    </w:p>
    <w:p>
      <w:pPr>
        <w:ind w:right="80" w:firstLine="1296"/>
        <w:spacing w:after="0" w:line="288" w:lineRule="auto"/>
        <w:rPr>
          <w:sz w:val="20"/>
          <w:szCs w:val="20"/>
          <w:color w:val="auto"/>
        </w:rPr>
      </w:pPr>
      <w:r>
        <w:rPr>
          <w:rFonts w:ascii="Arial" w:cs="Arial" w:eastAsia="Arial" w:hAnsi="Arial"/>
          <w:sz w:val="16"/>
          <w:szCs w:val="16"/>
          <w:color w:val="auto"/>
        </w:rPr>
        <w:t xml:space="preserve">SECTION 5.10. </w:t>
      </w:r>
      <w:r>
        <w:rPr>
          <w:rFonts w:ascii="Arial" w:cs="Arial" w:eastAsia="Arial" w:hAnsi="Arial"/>
          <w:sz w:val="16"/>
          <w:szCs w:val="16"/>
          <w:u w:val="single" w:color="auto"/>
          <w:color w:val="auto"/>
        </w:rPr>
        <w:t>Acceptance of Appointment by Successor Trustee.</w:t>
      </w:r>
      <w:r>
        <w:rPr>
          <w:rFonts w:ascii="Arial" w:cs="Arial" w:eastAsia="Arial" w:hAnsi="Arial"/>
          <w:sz w:val="16"/>
          <w:szCs w:val="16"/>
          <w:color w:val="auto"/>
        </w:rPr>
        <w:t xml:space="preserve"> Any successor trustee appointed as provided in Section 5.09 shall execute and deliver to the Issuer and to its predecessor trustee an instrument accepting such appointment hereunder, and thereupon the resignation or removal of the predecessor trustee with respect to all or any applicable series shall become effective and such successor trustee, without any further act, deed or conveyance, shall become vested with all rights, powers, duties and obligations with respect to such series of its predecessor hereunder, with like effect as if originally named as trustee for such series hereunder; but, nevertheless, on the written request of the Issuer or of the successor trustee, upon payment of its charges then unpaid, the trustee ceasing to act shall, subject to Section 9.04, pay over to the successor trustee all moneys at the time held by it hereunder and shall execute and deliver an instrument transferring to such successor trustee all such rights, powers, duties and obligations. Upon request of any such successor trustee, the Issuer shall execute any and all instruments in writing for more fully and certainly vesting in and confirming to such successor trustee all such rights and powers. Any trustee ceasing to act shall, nevertheless, retain a prior claim upon all property or funds held or collected by such trustee to secure any amounts then due it pursuant to the provisions of Section 5.06.</w:t>
      </w:r>
    </w:p>
    <w:p>
      <w:pPr>
        <w:spacing w:after="0" w:line="168" w:lineRule="exact"/>
        <w:rPr>
          <w:sz w:val="20"/>
          <w:szCs w:val="20"/>
          <w:color w:val="auto"/>
        </w:rPr>
      </w:pPr>
    </w:p>
    <w:p>
      <w:pPr>
        <w:ind w:right="40" w:firstLine="1296"/>
        <w:spacing w:after="0" w:line="296" w:lineRule="auto"/>
        <w:rPr>
          <w:sz w:val="20"/>
          <w:szCs w:val="20"/>
          <w:color w:val="auto"/>
        </w:rPr>
      </w:pPr>
      <w:r>
        <w:rPr>
          <w:rFonts w:ascii="Arial" w:cs="Arial" w:eastAsia="Arial" w:hAnsi="Arial"/>
          <w:sz w:val="16"/>
          <w:szCs w:val="16"/>
          <w:color w:val="auto"/>
        </w:rPr>
        <w:t>If a successor trustee is appointed with respect to the Securities of one or more (but not all) series, the Issuer, the predecessor trustee and each successor trustee with respect to the Securities of any applicable series shall execute and deliver an indenture supplemental hereto which shall contain such provisions as shall be deemed necessary or desirable to confirm that all the rights, powers, trusts and duties of the predecessor trustee with respect to the Securities of any series as to which the predecessor trustee is not retiring shall continue to be vested in the predecessor trustee, and shall add to or change any of the provisions of this Indenture as shall be necessary to provide for or facilitate the administration of the trusts hereunder by more than one</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139" w:name="page140"/>
    <w:bookmarkEnd w:id="139"/>
    <w:p>
      <w:pPr>
        <w:ind w:right="200"/>
        <w:spacing w:after="0" w:line="277" w:lineRule="auto"/>
        <w:rPr>
          <w:sz w:val="20"/>
          <w:szCs w:val="20"/>
          <w:color w:val="auto"/>
        </w:rPr>
      </w:pPr>
      <w:r>
        <w:rPr>
          <w:rFonts w:ascii="Arial" w:cs="Arial" w:eastAsia="Arial" w:hAnsi="Arial"/>
          <w:sz w:val="18"/>
          <w:szCs w:val="18"/>
          <w:color w:val="auto"/>
        </w:rPr>
        <w:t>trustee, it being understood that nothing herein or in such supplemental indenture shall constitute such trustees co-trustees of the same trust and that each such trustee shall be trustee of a trust or trusts under separate indentures.</w:t>
      </w:r>
    </w:p>
    <w:p>
      <w:pPr>
        <w:spacing w:after="0" w:line="170" w:lineRule="exact"/>
        <w:rPr>
          <w:sz w:val="20"/>
          <w:szCs w:val="20"/>
          <w:color w:val="auto"/>
        </w:rPr>
      </w:pPr>
    </w:p>
    <w:p>
      <w:pPr>
        <w:ind w:right="40" w:firstLine="1296"/>
        <w:spacing w:after="0" w:line="275" w:lineRule="auto"/>
        <w:rPr>
          <w:sz w:val="20"/>
          <w:szCs w:val="20"/>
          <w:color w:val="auto"/>
        </w:rPr>
      </w:pPr>
      <w:r>
        <w:rPr>
          <w:rFonts w:ascii="Arial" w:cs="Arial" w:eastAsia="Arial" w:hAnsi="Arial"/>
          <w:sz w:val="17"/>
          <w:szCs w:val="17"/>
          <w:color w:val="auto"/>
        </w:rPr>
        <w:t>Upon acceptance of appointment by any successor trustee as provided in this Section 5.10, the Issuer shall mail notice thereof by first-class mail to the Holders of Securities of any series for which such successor trustee is acting as trustee at their last addresses as they shall appear in the Security register. If the acceptance of appointment is substantially contemporaneous with the resignation, then the notice called for by the preceding sentence may be combined with the notice called for by Section 5.09. If the Issuer fails to mail such notice within ten days after acceptance of appointment by the successor trustee, the successor trustee shall cause such notice to be mailed at the expense of the Issuer.</w:t>
      </w:r>
    </w:p>
    <w:p>
      <w:pPr>
        <w:spacing w:after="0" w:line="176" w:lineRule="exact"/>
        <w:rPr>
          <w:sz w:val="20"/>
          <w:szCs w:val="20"/>
          <w:color w:val="auto"/>
        </w:rPr>
      </w:pPr>
    </w:p>
    <w:p>
      <w:pPr>
        <w:ind w:firstLine="1296"/>
        <w:spacing w:after="0" w:line="275" w:lineRule="auto"/>
        <w:rPr>
          <w:sz w:val="20"/>
          <w:szCs w:val="20"/>
          <w:color w:val="auto"/>
        </w:rPr>
      </w:pPr>
      <w:r>
        <w:rPr>
          <w:rFonts w:ascii="Arial" w:cs="Arial" w:eastAsia="Arial" w:hAnsi="Arial"/>
          <w:sz w:val="17"/>
          <w:szCs w:val="17"/>
          <w:color w:val="auto"/>
        </w:rPr>
        <w:t xml:space="preserve">SECTION 5.11. </w:t>
      </w:r>
      <w:r>
        <w:rPr>
          <w:rFonts w:ascii="Arial" w:cs="Arial" w:eastAsia="Arial" w:hAnsi="Arial"/>
          <w:sz w:val="17"/>
          <w:szCs w:val="17"/>
          <w:u w:val="single" w:color="auto"/>
          <w:color w:val="auto"/>
        </w:rPr>
        <w:t>Merger, Conversion, Consolidation or Succession to Business of Trustee.</w:t>
      </w:r>
      <w:r>
        <w:rPr>
          <w:rFonts w:ascii="Arial" w:cs="Arial" w:eastAsia="Arial" w:hAnsi="Arial"/>
          <w:sz w:val="17"/>
          <w:szCs w:val="17"/>
          <w:color w:val="auto"/>
        </w:rPr>
        <w:t xml:space="preserve"> Any corporation into which the Trustee may be merged or converted or with which it may be consolidated, or any corporation resulting from any merger, conversion or consolidation to which the Trustee shall be a party, or any corporation succeeding to all or substantially all of the corporate trust business of the Trustee, shall be the successor of the Trustee hereunder, provided that such corporation shall be eligible under the provisions of Section 5.08, without the execution or filing of any paper or any further act on the part of any of the parties hereto, anything herein to the contrary notwithstanding.</w:t>
      </w:r>
    </w:p>
    <w:p>
      <w:pPr>
        <w:spacing w:after="0" w:line="176" w:lineRule="exact"/>
        <w:rPr>
          <w:sz w:val="20"/>
          <w:szCs w:val="20"/>
          <w:color w:val="auto"/>
        </w:rPr>
      </w:pPr>
    </w:p>
    <w:p>
      <w:pPr>
        <w:ind w:right="40" w:firstLine="1296"/>
        <w:spacing w:after="0" w:line="291" w:lineRule="auto"/>
        <w:rPr>
          <w:sz w:val="20"/>
          <w:szCs w:val="20"/>
          <w:color w:val="auto"/>
        </w:rPr>
      </w:pPr>
      <w:r>
        <w:rPr>
          <w:rFonts w:ascii="Arial" w:cs="Arial" w:eastAsia="Arial" w:hAnsi="Arial"/>
          <w:sz w:val="16"/>
          <w:szCs w:val="16"/>
          <w:color w:val="auto"/>
        </w:rPr>
        <w:t>In case at the time such successor to the Trustee shall succeed to the trusts created by this Indenture any of the Securities of any series shall have been authenticated but not delivered, any such successor to the Trustee may adopt the certificate of authentication of any predecessor trustee and deliver such Securities so authenticated; and, in case at that time any of the Securities of any series shall not have been authenticated, any successor to the Trustee may authenticate such Securities either in the name of any predecessor hereunder or in the name of the successor trustee; and in all such cases such certificate shall have the full force which it is anywhere in the Securities of such series or in this Indenture provided that the certificate of the Trustee shall have; provided, that the right to adopt the certificate of authentication of any predecessor trustee or to authenticate Securities of any series in the name of any predecessor trustee shall apply only to its successor or successors by merger, conversion or consolidation.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Concerning the Securityholders</w:t>
      </w:r>
    </w:p>
    <w:p>
      <w:pPr>
        <w:spacing w:after="0" w:line="225" w:lineRule="exact"/>
        <w:rPr>
          <w:sz w:val="20"/>
          <w:szCs w:val="20"/>
          <w:color w:val="auto"/>
        </w:rPr>
      </w:pPr>
    </w:p>
    <w:p>
      <w:pPr>
        <w:ind w:right="40" w:firstLine="1296"/>
        <w:spacing w:after="0" w:line="259"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Evidence of Action Taken by Securityholders.</w:t>
      </w:r>
      <w:r>
        <w:rPr>
          <w:rFonts w:ascii="Arial" w:cs="Arial" w:eastAsia="Arial" w:hAnsi="Arial"/>
          <w:sz w:val="18"/>
          <w:szCs w:val="18"/>
          <w:color w:val="auto"/>
        </w:rPr>
        <w:t xml:space="preserve"> Any request, demand, authorization, direction, notice, consent, waiver or other action provided by this Indenture to be given or taken by a specified percentage in principal amount of the Securityholders of any or all series may be embodied in and evidenced by one or more instruments of substantially similar tenor signed by such specified percentage of Securityholders in person or by agent duly appointed in writing; and, except as herein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40" w:name="page141"/>
    <w:bookmarkEnd w:id="140"/>
    <w:p>
      <w:pPr>
        <w:ind w:right="220"/>
        <w:spacing w:after="0" w:line="263" w:lineRule="auto"/>
        <w:rPr>
          <w:sz w:val="20"/>
          <w:szCs w:val="20"/>
          <w:color w:val="auto"/>
        </w:rPr>
      </w:pPr>
      <w:r>
        <w:rPr>
          <w:rFonts w:ascii="Arial" w:cs="Arial" w:eastAsia="Arial" w:hAnsi="Arial"/>
          <w:sz w:val="18"/>
          <w:szCs w:val="18"/>
          <w:color w:val="auto"/>
        </w:rPr>
        <w:t>otherwise expressly provided, such action shall become effective when such instrument or instruments are delivered to the Trustee. Proof of execution of any instrument or of a writing appointing any such agent shall be sufficient for any purpose of this Indenture and (subject to Sections 5.01 and 5.02) conclusive in favor of the Trustee and the Issuer, if made in the manner provided in this Article.</w:t>
      </w:r>
    </w:p>
    <w:p>
      <w:pPr>
        <w:spacing w:after="0" w:line="184" w:lineRule="exact"/>
        <w:rPr>
          <w:sz w:val="20"/>
          <w:szCs w:val="20"/>
          <w:color w:val="auto"/>
        </w:rPr>
      </w:pPr>
    </w:p>
    <w:p>
      <w:pPr>
        <w:ind w:firstLine="1296"/>
        <w:spacing w:after="0" w:line="271" w:lineRule="auto"/>
        <w:rPr>
          <w:sz w:val="20"/>
          <w:szCs w:val="20"/>
          <w:color w:val="auto"/>
        </w:rPr>
      </w:pPr>
      <w:r>
        <w:rPr>
          <w:rFonts w:ascii="Arial" w:cs="Arial" w:eastAsia="Arial" w:hAnsi="Arial"/>
          <w:sz w:val="17"/>
          <w:szCs w:val="17"/>
          <w:color w:val="auto"/>
        </w:rPr>
        <w:t xml:space="preserve">SECTION 6.02. </w:t>
      </w:r>
      <w:r>
        <w:rPr>
          <w:rFonts w:ascii="Arial" w:cs="Arial" w:eastAsia="Arial" w:hAnsi="Arial"/>
          <w:sz w:val="17"/>
          <w:szCs w:val="17"/>
          <w:u w:val="single" w:color="auto"/>
          <w:color w:val="auto"/>
        </w:rPr>
        <w:t>Proof of Execution of Instruments and of Holding of Securities; Record Date.</w:t>
      </w:r>
      <w:r>
        <w:rPr>
          <w:rFonts w:ascii="Arial" w:cs="Arial" w:eastAsia="Arial" w:hAnsi="Arial"/>
          <w:sz w:val="17"/>
          <w:szCs w:val="17"/>
          <w:color w:val="auto"/>
        </w:rPr>
        <w:t xml:space="preserve"> Subject to Sections 5.01 and 5.02, the execution of any instrument by a Securityholder or his agent or proxy may be proved in accordance with such reasonable rules and regulations as may be prescribed by the Trustee or in such manner as shall be satisfactory to the Trustee. The holding of Securities shall be proved by the Security register or by a certificate of the registrar thereof. The Issuer may set a record date for purposes of determining the identity of Holders of Securities of any series entitled to vote or consent to any action referred to in Section 6.01, which record date may be set at any time or from time to time by notice to the Trustee, for any date or dates (in the case of any adjournment or reconsideration) not more than 60 days nor less than five days prior to the proposed date of such vote or consent, and thereafter, notwithstanding any other provisions hereof, only Holders of Securities of such series of record on such record date shall be entitled to so vote or give such consent or revoke such vote or consent.</w:t>
      </w:r>
    </w:p>
    <w:p>
      <w:pPr>
        <w:spacing w:after="0" w:line="178" w:lineRule="exact"/>
        <w:rPr>
          <w:sz w:val="20"/>
          <w:szCs w:val="20"/>
          <w:color w:val="auto"/>
        </w:rPr>
      </w:pPr>
    </w:p>
    <w:p>
      <w:pPr>
        <w:ind w:right="20" w:firstLine="1296"/>
        <w:spacing w:after="0" w:line="254" w:lineRule="auto"/>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Holders to be Treated as Owners.</w:t>
      </w:r>
      <w:r>
        <w:rPr>
          <w:rFonts w:ascii="Arial" w:cs="Arial" w:eastAsia="Arial" w:hAnsi="Arial"/>
          <w:sz w:val="18"/>
          <w:szCs w:val="18"/>
          <w:color w:val="auto"/>
        </w:rPr>
        <w:t xml:space="preserve"> The Issuer, the Trustee and any agent of the Issuer or the Trustee may deem and treat the person in whose name any Security shall be registered upon the Security register for such series as the absolute owner of such Security (whether or not such Security shall be overdue and notwithstanding any notation of ownership or other writing thereon) for the purpose of receiving payment of or on account of the principal of and, subject to the provisions of this Indenture, interest on such Security and for all other purposes; and neither the Issuer nor the Trustee nor any agent of the Issuer or the Trustee shall be affected by any notice to the contrary. All such payments so made to any such person, or upon his order, shall be valid, and, to the extent of the sum or sums so paid, effectual to satisfy and discharge the liability for moneys payable upon any such Security.</w:t>
      </w:r>
    </w:p>
    <w:p>
      <w:pPr>
        <w:spacing w:after="0" w:line="195" w:lineRule="exact"/>
        <w:rPr>
          <w:sz w:val="20"/>
          <w:szCs w:val="20"/>
          <w:color w:val="auto"/>
        </w:rPr>
      </w:pPr>
    </w:p>
    <w:p>
      <w:pPr>
        <w:ind w:firstLine="1296"/>
        <w:spacing w:after="0" w:line="290" w:lineRule="auto"/>
        <w:rPr>
          <w:sz w:val="20"/>
          <w:szCs w:val="20"/>
          <w:color w:val="auto"/>
        </w:rPr>
      </w:pPr>
      <w:r>
        <w:rPr>
          <w:rFonts w:ascii="Arial" w:cs="Arial" w:eastAsia="Arial" w:hAnsi="Arial"/>
          <w:sz w:val="16"/>
          <w:szCs w:val="16"/>
          <w:color w:val="auto"/>
        </w:rPr>
        <w:t xml:space="preserve">SECTION 6.04. </w:t>
      </w:r>
      <w:r>
        <w:rPr>
          <w:rFonts w:ascii="Arial" w:cs="Arial" w:eastAsia="Arial" w:hAnsi="Arial"/>
          <w:sz w:val="16"/>
          <w:szCs w:val="16"/>
          <w:u w:val="single" w:color="auto"/>
          <w:color w:val="auto"/>
        </w:rPr>
        <w:t>Securities Owned by Issuer Deemed Not Outstanding.</w:t>
      </w:r>
      <w:r>
        <w:rPr>
          <w:rFonts w:ascii="Arial" w:cs="Arial" w:eastAsia="Arial" w:hAnsi="Arial"/>
          <w:sz w:val="16"/>
          <w:szCs w:val="16"/>
          <w:color w:val="auto"/>
        </w:rPr>
        <w:t xml:space="preserve"> In determining whether the Holders of the requisite aggregate principal amount of Outstanding Securities of any or all series have concurred in any direction, consent or waiver under this Indenture, Securities which are owned by the Issuer or any other obligor on the Securities with respect to which such determination is being made or by any person directly or indirectly controlling or controlled by or under direct or indirect common control with the Issuer or any other obligor on the Securities with respect to which such determination is being made shall be disregarded and deemed not to be Outstanding for the purpose of any such determination, except that for the purpose of determining whether the Trustee shall be protected in relying on any such direction, consent or waiver only Securities which a Responsible Officer of the Trustee actually knows are so owned shall be so disregarded. Securities so owned which have been pledged in good faith may be regarded as Outstanding if the pledgee establishes to the satisfaction of the Trustee the pledgee’s right so to act with respect to such Securities and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1" w:name="page142"/>
    <w:bookmarkEnd w:id="141"/>
    <w:p>
      <w:pPr>
        <w:ind w:right="80"/>
        <w:spacing w:after="0" w:line="293" w:lineRule="auto"/>
        <w:rPr>
          <w:sz w:val="20"/>
          <w:szCs w:val="20"/>
          <w:color w:val="auto"/>
        </w:rPr>
      </w:pPr>
      <w:r>
        <w:rPr>
          <w:rFonts w:ascii="Arial" w:cs="Arial" w:eastAsia="Arial" w:hAnsi="Arial"/>
          <w:sz w:val="16"/>
          <w:szCs w:val="16"/>
          <w:color w:val="auto"/>
        </w:rPr>
        <w:t>that the pledgee is not the Issuer or any other obligor upon the Securities or any person directly or indirectly controlling or controlled by or under direct or indirect common control with the Issuer or any other obligor on the Securities. In case of a dispute as to such right, the advice of counsel shall be full protection in respect of any decision made by the Trustee in accordance with such advice. Upon request of the Trustee, the Issuer shall furnish to the Trustee promptly an Officers’ Certificate listing and identifying all Securities, if any, known by the Issuer to be owned or held by or for the account of any of the above-described persons; and, subject to Sections 5.01 and 5.02, the Trustee shall be entitled to accept such Officers’ Certificate as conclusive evidence of the facts therein set forth and of the fact that all Securities not listed therein are Outstanding for the purpose of any such determination.</w:t>
      </w:r>
    </w:p>
    <w:p>
      <w:pPr>
        <w:spacing w:after="0" w:line="164" w:lineRule="exact"/>
        <w:rPr>
          <w:sz w:val="20"/>
          <w:szCs w:val="20"/>
          <w:color w:val="auto"/>
        </w:rPr>
      </w:pPr>
    </w:p>
    <w:p>
      <w:pPr>
        <w:ind w:firstLine="1296"/>
        <w:spacing w:after="0" w:line="269" w:lineRule="auto"/>
        <w:rPr>
          <w:sz w:val="20"/>
          <w:szCs w:val="20"/>
          <w:color w:val="auto"/>
        </w:rPr>
      </w:pPr>
      <w:r>
        <w:rPr>
          <w:rFonts w:ascii="Arial" w:cs="Arial" w:eastAsia="Arial" w:hAnsi="Arial"/>
          <w:sz w:val="17"/>
          <w:szCs w:val="17"/>
          <w:color w:val="auto"/>
        </w:rPr>
        <w:t xml:space="preserve">SECTION 6.05. </w:t>
      </w:r>
      <w:r>
        <w:rPr>
          <w:rFonts w:ascii="Arial" w:cs="Arial" w:eastAsia="Arial" w:hAnsi="Arial"/>
          <w:sz w:val="17"/>
          <w:szCs w:val="17"/>
          <w:u w:val="single" w:color="auto"/>
          <w:color w:val="auto"/>
        </w:rPr>
        <w:t>Right of Revocation of Action Taken.</w:t>
      </w:r>
      <w:r>
        <w:rPr>
          <w:rFonts w:ascii="Arial" w:cs="Arial" w:eastAsia="Arial" w:hAnsi="Arial"/>
          <w:sz w:val="17"/>
          <w:szCs w:val="17"/>
          <w:color w:val="auto"/>
        </w:rPr>
        <w:t xml:space="preserve"> At any time prior to (but not after) the evidencing to the Trustee, as provided in Section 6.01, of the taking of any action by the Holders of the percentage in aggregate principal amount of the Securities of any or all series, as the case may be, specified in this Indenture in connection with such action, any Holder of a Security the serial number of which is shown by the evidence to be included among the serial numbers of the Securities the Holders of which have consented to such action may, by filing written notice at the Corporate Trust Office and upon proof of holding as provided in this Article, revoke such action so far as concerns such Security. Except as aforesaid any such action taken by the Holder of any Security shall be conclusive and binding upon such Holder and upon all future Holders and owners of such Security and of any Securities issued in exchange or substitution therefor or on registration of transfer thereof, irrespective of whether or not any notation in regard thereto is made upon any such Security. Any action taken by the Holders of the percentage in aggregate principal amount of the Securities of any or all series, as the case may be, specified in this Indenture in connection with such action shall be conclusively binding upon the Issuer, the Trustee and the Holders of all the Securities affected by such action.</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7</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Supplemental Indentures</w:t>
      </w:r>
    </w:p>
    <w:p>
      <w:pPr>
        <w:spacing w:after="0" w:line="225" w:lineRule="exact"/>
        <w:rPr>
          <w:sz w:val="20"/>
          <w:szCs w:val="20"/>
          <w:color w:val="auto"/>
        </w:rPr>
      </w:pPr>
    </w:p>
    <w:p>
      <w:pPr>
        <w:jc w:val="both"/>
        <w:ind w:right="40" w:firstLine="1296"/>
        <w:spacing w:after="0" w:line="259" w:lineRule="auto"/>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Supplemental Indentures Without Consent of Securityholders.</w:t>
      </w:r>
      <w:r>
        <w:rPr>
          <w:rFonts w:ascii="Arial" w:cs="Arial" w:eastAsia="Arial" w:hAnsi="Arial"/>
          <w:sz w:val="18"/>
          <w:szCs w:val="18"/>
          <w:color w:val="auto"/>
        </w:rPr>
        <w:t xml:space="preserve"> The Issuer, when authorized by a resolution of its Board (which resolutions may provide general authorization for such action and may provide that the specific terms of such action may be determined by officers of the Issuer authorized thereby), and the Trustee may from time to time and at any time enter into an indenture or indentures supplemental hereto for one or more of the following purposes:</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 to convey, transfer, assign, mortgage or pledge to the Trustee as security for the Securities of one or more series any property or</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assets;</w:t>
      </w:r>
    </w:p>
    <w:p>
      <w:pPr>
        <w:spacing w:after="0" w:line="211" w:lineRule="exact"/>
        <w:rPr>
          <w:sz w:val="20"/>
          <w:szCs w:val="20"/>
          <w:color w:val="auto"/>
        </w:rPr>
      </w:pPr>
    </w:p>
    <w:p>
      <w:pPr>
        <w:ind w:left="660" w:right="160" w:firstLine="644"/>
        <w:spacing w:after="0" w:line="277" w:lineRule="auto"/>
        <w:tabs>
          <w:tab w:leader="none" w:pos="1563"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to evidence the succession of another legal entity to the Issuer, or successive successions, and the assumption by the successor legal entity of the covenants, agreements and obligations of the Issuer pursuant to Article 8;</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142" w:name="page143"/>
    <w:bookmarkEnd w:id="142"/>
    <w:p>
      <w:pPr>
        <w:ind w:left="660" w:right="40" w:firstLine="644"/>
        <w:spacing w:after="0" w:line="271" w:lineRule="auto"/>
        <w:tabs>
          <w:tab w:leader="none" w:pos="1553"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to add to the covenants of the Issuer such further covenants, restrictions, conditions or provisions as the Issuer and the Trustee shall consider to be for the protection of the Holders of Securities, and to make the occurrence, or the occurrence and continuance, of a default in any such additional covenants, restrictions, conditions or provisions an Event of Default permitting the enforcement of all or any of the several remedies provided in this Indenture as herein set forth; provided that in respect of any such additional covenant, restriction, condition or provision such supplemental indenture may provide for a particular period of grace after default (which period may be shorter or longer than that allowed in the case of other defaults) or may provide for an immediate enforcement upon such an Event of Default or may limit the remedies available to the Trustee upon such an Event of Default or may limit the right of the Holders of a majority in aggregate principal amount of the Securities of such series to waive such an Event of Default;</w:t>
      </w:r>
    </w:p>
    <w:p>
      <w:pPr>
        <w:spacing w:after="0" w:line="178" w:lineRule="exact"/>
        <w:rPr>
          <w:rFonts w:ascii="Arial" w:cs="Arial" w:eastAsia="Arial" w:hAnsi="Arial"/>
          <w:sz w:val="17"/>
          <w:szCs w:val="17"/>
          <w:color w:val="auto"/>
        </w:rPr>
      </w:pPr>
    </w:p>
    <w:p>
      <w:pPr>
        <w:ind w:left="660" w:right="20" w:firstLine="644"/>
        <w:spacing w:after="0" w:line="279" w:lineRule="auto"/>
        <w:tabs>
          <w:tab w:leader="none" w:pos="1563"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to cure any ambiguity or to correct or supplement any provision contained herein or in any supplemental indenture which may be defective or inconsistent with any other provision contained herein or in any supplemental indenture; or to make such other provisions in regard to matters or questions arising under this Indenture or under any supplemental indenture as the Board may deem necessary or desirable and which shall not adversely affect the interests of the Holders of the Securities in any material respect;</w:t>
      </w:r>
    </w:p>
    <w:p>
      <w:pPr>
        <w:spacing w:after="0" w:line="171" w:lineRule="exact"/>
        <w:rPr>
          <w:rFonts w:ascii="Arial" w:cs="Arial" w:eastAsia="Arial" w:hAnsi="Arial"/>
          <w:sz w:val="17"/>
          <w:szCs w:val="17"/>
          <w:color w:val="auto"/>
        </w:rPr>
      </w:pPr>
    </w:p>
    <w:p>
      <w:pPr>
        <w:ind w:left="1540" w:hanging="236"/>
        <w:spacing w:after="0"/>
        <w:tabs>
          <w:tab w:leader="none" w:pos="15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to establish the form or terms of Securities of any series as permitted by Sections 2.01 and 2.03; and</w:t>
      </w:r>
    </w:p>
    <w:p>
      <w:pPr>
        <w:spacing w:after="0" w:line="225" w:lineRule="exact"/>
        <w:rPr>
          <w:rFonts w:ascii="Arial" w:cs="Arial" w:eastAsia="Arial" w:hAnsi="Arial"/>
          <w:sz w:val="18"/>
          <w:szCs w:val="18"/>
          <w:color w:val="auto"/>
        </w:rPr>
      </w:pPr>
    </w:p>
    <w:p>
      <w:pPr>
        <w:jc w:val="both"/>
        <w:ind w:left="660" w:right="240" w:firstLine="644"/>
        <w:spacing w:after="0" w:line="263" w:lineRule="auto"/>
        <w:tabs>
          <w:tab w:leader="none" w:pos="1533"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5.10.</w:t>
      </w:r>
    </w:p>
    <w:p>
      <w:pPr>
        <w:spacing w:after="0" w:line="184" w:lineRule="exact"/>
        <w:rPr>
          <w:sz w:val="20"/>
          <w:szCs w:val="20"/>
          <w:color w:val="auto"/>
        </w:rPr>
      </w:pPr>
    </w:p>
    <w:p>
      <w:pPr>
        <w:ind w:right="220" w:firstLine="1296"/>
        <w:spacing w:after="0" w:line="259" w:lineRule="auto"/>
        <w:rPr>
          <w:sz w:val="20"/>
          <w:szCs w:val="20"/>
          <w:color w:val="auto"/>
        </w:rPr>
      </w:pPr>
      <w:r>
        <w:rPr>
          <w:rFonts w:ascii="Arial" w:cs="Arial" w:eastAsia="Arial" w:hAnsi="Arial"/>
          <w:sz w:val="18"/>
          <w:szCs w:val="18"/>
          <w:color w:val="auto"/>
        </w:rPr>
        <w:t>The Trustee is hereby authorized to join with the Issuer in the execution of any such supplemental indenture, to make any further appropriate agreements and stipulations which may be therein contained and to accept the conveyance, transfer, assignment, mortgage or pledge of any property thereunder, but the Trustee shall not be obligated to enter into any such supplemental indenture which affects the Trustee’s own rights, duties or immunities under this Indenture or otherwise.</w:t>
      </w:r>
    </w:p>
    <w:p>
      <w:pPr>
        <w:spacing w:after="0" w:line="187"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Any supplemental indenture authorized by the provisions of this section may be executed without the consent of the Holders of any of the Securities at the time outstanding, notwithstanding any of the provisions of Section 7.02.</w:t>
      </w:r>
    </w:p>
    <w:p>
      <w:pPr>
        <w:spacing w:after="0" w:line="170" w:lineRule="exact"/>
        <w:rPr>
          <w:sz w:val="20"/>
          <w:szCs w:val="20"/>
          <w:color w:val="auto"/>
        </w:rPr>
      </w:pPr>
    </w:p>
    <w:p>
      <w:pPr>
        <w:ind w:right="120" w:firstLine="1296"/>
        <w:spacing w:after="0" w:line="263" w:lineRule="auto"/>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Supplemental Indentures With Consent of Securityholders.</w:t>
      </w:r>
      <w:r>
        <w:rPr>
          <w:rFonts w:ascii="Arial" w:cs="Arial" w:eastAsia="Arial" w:hAnsi="Arial"/>
          <w:sz w:val="18"/>
          <w:szCs w:val="18"/>
          <w:color w:val="auto"/>
        </w:rPr>
        <w:t xml:space="preserve"> With the consent (evidenced as provided in Article 6) of the Holders of not less than a majority in aggregate principal amount of the Securities at the time Outstanding of all series affected by such supplemental indenture (voting as one class),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43" w:name="page144"/>
    <w:bookmarkEnd w:id="143"/>
    <w:p>
      <w:pPr>
        <w:spacing w:after="0" w:line="283" w:lineRule="auto"/>
        <w:rPr>
          <w:sz w:val="20"/>
          <w:szCs w:val="20"/>
          <w:color w:val="auto"/>
        </w:rPr>
      </w:pPr>
      <w:r>
        <w:rPr>
          <w:rFonts w:ascii="Arial" w:cs="Arial" w:eastAsia="Arial" w:hAnsi="Arial"/>
          <w:sz w:val="16"/>
          <w:szCs w:val="16"/>
          <w:color w:val="auto"/>
        </w:rPr>
        <w:t>the Issuer, when authorized by a resolution of its Board (which resolutions may provide general authorization for such action and may provide that the specific terms of such action may be determined by officers of the Issuer authorized thereby), and the Trustee may, from time to time and at any time, enter into an indenture or indentures supplemental hereto for the purpose of adding any provisions to or changing in any manner or eliminating any of the provisions of this Indenture or of any supplemental indenture or of modifying in any manner the rights of the Holders of the Securities of each such series; provided, that no such supplemental indenture shall (a) (i) extend the final maturity of any Security, (ii) reduce the principal amount thereof, (iii) reduce the rate or extend the time of payment of interest thereon, (iv) reduce any amount payable on redemption thereof, (v) make the principal thereof (including any amount in respect of original issue discount), or interest thereon payable in any coin or currency other than that provided in the Securities or in accordance with the terms thereof, (vi) modify or amend any provisions for converting any currency into any other currency as provided in the Securities or in accordance with the terms thereof, (vii) reduce the amount of the principal of an Original Issue Discount Security that would be due and payable upon an acceleration of the maturity thereof pursuant to Section 4.01 or the amount thereof provable in bankruptcy pursuant to Section 4.02, (viii) modify or amend any provisions relating to the conversion or exchange of the Securities for securities of the Issuer or of other entities or other property (or the cash value thereof), including the determination of the amount of securities or other property (or cash) into which the Securities shall be converted or exchanged, other than as provided in the antidilution provisions or other similar adjustment provisions of the Securities or otherwise in accordance with the terms thereof,</w:t>
      </w:r>
    </w:p>
    <w:p>
      <w:pPr>
        <w:spacing w:after="0" w:line="2" w:lineRule="exact"/>
        <w:rPr>
          <w:sz w:val="20"/>
          <w:szCs w:val="20"/>
          <w:color w:val="auto"/>
        </w:rPr>
      </w:pPr>
    </w:p>
    <w:p>
      <w:pPr>
        <w:jc w:val="both"/>
        <w:ind w:right="160" w:firstLine="8"/>
        <w:spacing w:after="0" w:line="253" w:lineRule="auto"/>
        <w:tabs>
          <w:tab w:leader="none" w:pos="30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alter the provisions of Section 10.12 or Section 10.14 or impair or affect the right of any Securityholder to institute suit for the payment thereof or, if the Securities provide therefor, any right of repayment at the option of the Securityholder, in each case without the consent of the Holder of each Security so affected, or (b) reduce the aforesaid percentage of Securities of any series, the consent of the Holders of which is required for any such supplemental indenture, without the consent of the Holders of each Security so affected.</w:t>
      </w:r>
    </w:p>
    <w:p>
      <w:pPr>
        <w:spacing w:after="0" w:line="193" w:lineRule="exact"/>
        <w:rPr>
          <w:sz w:val="20"/>
          <w:szCs w:val="20"/>
          <w:color w:val="auto"/>
        </w:rPr>
      </w:pPr>
    </w:p>
    <w:p>
      <w:pPr>
        <w:jc w:val="both"/>
        <w:ind w:right="500" w:firstLine="1296"/>
        <w:spacing w:after="0" w:line="311" w:lineRule="auto"/>
        <w:rPr>
          <w:sz w:val="20"/>
          <w:szCs w:val="20"/>
          <w:color w:val="auto"/>
        </w:rPr>
      </w:pPr>
      <w:r>
        <w:rPr>
          <w:rFonts w:ascii="Arial" w:cs="Arial" w:eastAsia="Arial" w:hAnsi="Arial"/>
          <w:sz w:val="16"/>
          <w:szCs w:val="16"/>
          <w:color w:val="auto"/>
        </w:rPr>
        <w:t>A supplemental indenture which changes or eliminates any covenant or other provision of this Indenture which has expressly been included solely for the benefit of one or more particular series of Securities, or which modifies the rights of Holders of Securities of such series, with respect to such covenant or provision, shall be deemed not to affect the rights under this Indenture of the Holders of Securities of any other series.</w:t>
      </w:r>
    </w:p>
    <w:p>
      <w:pPr>
        <w:spacing w:after="0" w:line="149" w:lineRule="exact"/>
        <w:rPr>
          <w:sz w:val="20"/>
          <w:szCs w:val="20"/>
          <w:color w:val="auto"/>
        </w:rPr>
      </w:pPr>
    </w:p>
    <w:p>
      <w:pPr>
        <w:ind w:right="40" w:firstLine="1296"/>
        <w:spacing w:after="0" w:line="255" w:lineRule="auto"/>
        <w:rPr>
          <w:sz w:val="20"/>
          <w:szCs w:val="20"/>
          <w:color w:val="auto"/>
        </w:rPr>
      </w:pPr>
      <w:r>
        <w:rPr>
          <w:rFonts w:ascii="Arial" w:cs="Arial" w:eastAsia="Arial" w:hAnsi="Arial"/>
          <w:sz w:val="18"/>
          <w:szCs w:val="18"/>
          <w:color w:val="auto"/>
        </w:rPr>
        <w:t>Upon the request of the Issuer, accompanied by a copy of a resolution of the Board (which resolutions may provide general authorization for such action and may provide that the specific terms of such action may be determined by officers of the Issuer authorized thereby) certified by the secretary or an assistant secretary of the Issuer authorizing the execution of any such supplemental indenture, and upon the filing with the Trustee of evidence of the consent of Securityholders as aforesaid and other documents, if any, required by Section 6.01, the Trustee shall join with the Issuer in the execution of such supplemental indenture unless such supplemental indenture affects the Trustee’s own rights, duties or immunities under this Indenture or otherwise, in which</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case the Trustee may in its discretion, but shall not be obligated to, enter into such supplemental indenture.</w:t>
      </w:r>
    </w:p>
    <w:p>
      <w:pPr>
        <w:spacing w:after="0" w:line="225" w:lineRule="exact"/>
        <w:rPr>
          <w:sz w:val="20"/>
          <w:szCs w:val="20"/>
          <w:color w:val="auto"/>
        </w:rPr>
      </w:pPr>
    </w:p>
    <w:p>
      <w:pPr>
        <w:ind w:right="720" w:firstLine="1296"/>
        <w:spacing w:after="0" w:line="277" w:lineRule="auto"/>
        <w:rPr>
          <w:sz w:val="20"/>
          <w:szCs w:val="20"/>
          <w:color w:val="auto"/>
        </w:rPr>
      </w:pPr>
      <w:r>
        <w:rPr>
          <w:rFonts w:ascii="Arial" w:cs="Arial" w:eastAsia="Arial" w:hAnsi="Arial"/>
          <w:sz w:val="18"/>
          <w:szCs w:val="18"/>
          <w:color w:val="auto"/>
        </w:rPr>
        <w:t>It shall not be necessary for the consent of the Securityholders under this section to approve the particular form of any proposed supplemental indenture, but it shall be sufficient if such consent shall approve the substance thereof.</w:t>
      </w:r>
    </w:p>
    <w:p>
      <w:pPr>
        <w:spacing w:after="0" w:line="170" w:lineRule="exact"/>
        <w:rPr>
          <w:sz w:val="20"/>
          <w:szCs w:val="20"/>
          <w:color w:val="auto"/>
        </w:rPr>
      </w:pPr>
    </w:p>
    <w:p>
      <w:pPr>
        <w:ind w:right="100" w:firstLine="1296"/>
        <w:spacing w:after="0" w:line="257" w:lineRule="auto"/>
        <w:rPr>
          <w:sz w:val="20"/>
          <w:szCs w:val="20"/>
          <w:color w:val="auto"/>
        </w:rPr>
      </w:pPr>
      <w:r>
        <w:rPr>
          <w:rFonts w:ascii="Arial" w:cs="Arial" w:eastAsia="Arial" w:hAnsi="Arial"/>
          <w:sz w:val="18"/>
          <w:szCs w:val="18"/>
          <w:color w:val="auto"/>
        </w:rPr>
        <w:t>Promptly after the execution by the Issuer and the Trustee of any supplemental indenture pursuant to the provisions of this Section, the Trustee shall give notice thereof by (a) first class mail to the Holders of Securities of each series affected thereby at their addresses as they shall appear on the registry books of the Issuer or (b) by any other means set forth in such supplemental indenture, setting forth in general terms the substance of such supplemental indenture. Any failure of the Trustee to mail such notice, or any defect therein, shall not, however, in any way impair or affect the validity of any such supplemental indenture.</w:t>
      </w:r>
    </w:p>
    <w:p>
      <w:pPr>
        <w:spacing w:after="0" w:line="188" w:lineRule="exact"/>
        <w:rPr>
          <w:sz w:val="20"/>
          <w:szCs w:val="20"/>
          <w:color w:val="auto"/>
        </w:rPr>
      </w:pPr>
    </w:p>
    <w:p>
      <w:pPr>
        <w:ind w:right="120" w:firstLine="1296"/>
        <w:spacing w:after="0" w:line="296" w:lineRule="auto"/>
        <w:rPr>
          <w:sz w:val="20"/>
          <w:szCs w:val="20"/>
          <w:color w:val="auto"/>
        </w:rPr>
      </w:pPr>
      <w:r>
        <w:rPr>
          <w:rFonts w:ascii="Arial" w:cs="Arial" w:eastAsia="Arial" w:hAnsi="Arial"/>
          <w:sz w:val="16"/>
          <w:szCs w:val="16"/>
          <w:color w:val="auto"/>
        </w:rPr>
        <w:t xml:space="preserve">SECTION 7.03. </w:t>
      </w:r>
      <w:r>
        <w:rPr>
          <w:rFonts w:ascii="Arial" w:cs="Arial" w:eastAsia="Arial" w:hAnsi="Arial"/>
          <w:sz w:val="16"/>
          <w:szCs w:val="16"/>
          <w:u w:val="single" w:color="auto"/>
          <w:color w:val="auto"/>
        </w:rPr>
        <w:t>Effect of Supplemental Indenture.</w:t>
      </w:r>
      <w:r>
        <w:rPr>
          <w:rFonts w:ascii="Arial" w:cs="Arial" w:eastAsia="Arial" w:hAnsi="Arial"/>
          <w:sz w:val="16"/>
          <w:szCs w:val="16"/>
          <w:color w:val="auto"/>
        </w:rPr>
        <w:t xml:space="preserve"> Upon the execution of any supplemental indenture pursuant to the provisions hereof, this Indenture shall be and be deemed to be modified and amended in accordance therewith and the respective rights, limitations of rights, obligations, duties and immunities under this Indenture of the Trustee, the Issuer and the Holders of Securities of each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61" w:lineRule="exact"/>
        <w:rPr>
          <w:sz w:val="20"/>
          <w:szCs w:val="20"/>
          <w:color w:val="auto"/>
        </w:rPr>
      </w:pPr>
    </w:p>
    <w:p>
      <w:pPr>
        <w:ind w:firstLine="1296"/>
        <w:spacing w:after="0" w:line="257" w:lineRule="auto"/>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u w:val="single" w:color="auto"/>
          <w:color w:val="auto"/>
        </w:rPr>
        <w:t>Documents to Be Given to Trustee.</w:t>
      </w:r>
      <w:r>
        <w:rPr>
          <w:rFonts w:ascii="Arial" w:cs="Arial" w:eastAsia="Arial" w:hAnsi="Arial"/>
          <w:sz w:val="18"/>
          <w:szCs w:val="18"/>
          <w:color w:val="auto"/>
        </w:rPr>
        <w:t xml:space="preserve"> In executing, or accepting the additional trusts created by, any supplemental indenture permitted by this Article or the modification thereby of the trusts created by this Indenture, the Trustee shall be provided with, and shall be fully protected in relying upon, an Opinion of Counsel stating that the execution of such supplemental indenture is authorized or permitted by this Indenture. The Trustee may, but shall not be obligated to, enter into any such supplemental indenture which adversely affects the Trustee’s own rights, duties or immunities under this Indenture or otherwise.</w:t>
      </w:r>
    </w:p>
    <w:p>
      <w:pPr>
        <w:spacing w:after="0" w:line="188" w:lineRule="exact"/>
        <w:rPr>
          <w:sz w:val="20"/>
          <w:szCs w:val="20"/>
          <w:color w:val="auto"/>
        </w:rPr>
      </w:pPr>
    </w:p>
    <w:p>
      <w:pPr>
        <w:ind w:right="120" w:firstLine="1296"/>
        <w:spacing w:after="0" w:line="255" w:lineRule="auto"/>
        <w:rPr>
          <w:sz w:val="20"/>
          <w:szCs w:val="20"/>
          <w:color w:val="auto"/>
        </w:rPr>
      </w:pPr>
      <w:r>
        <w:rPr>
          <w:rFonts w:ascii="Arial" w:cs="Arial" w:eastAsia="Arial" w:hAnsi="Arial"/>
          <w:sz w:val="18"/>
          <w:szCs w:val="18"/>
          <w:color w:val="auto"/>
        </w:rPr>
        <w:t xml:space="preserve">SECTION 7.05. </w:t>
      </w:r>
      <w:r>
        <w:rPr>
          <w:rFonts w:ascii="Arial" w:cs="Arial" w:eastAsia="Arial" w:hAnsi="Arial"/>
          <w:sz w:val="18"/>
          <w:szCs w:val="18"/>
          <w:u w:val="single" w:color="auto"/>
          <w:color w:val="auto"/>
        </w:rPr>
        <w:t>Notation on Securities in Respect of Supplemental Indentures.</w:t>
      </w:r>
      <w:r>
        <w:rPr>
          <w:rFonts w:ascii="Arial" w:cs="Arial" w:eastAsia="Arial" w:hAnsi="Arial"/>
          <w:sz w:val="18"/>
          <w:szCs w:val="18"/>
          <w:color w:val="auto"/>
        </w:rPr>
        <w:t xml:space="preserve"> Securities of any series authenticated and delivered after the execution of any supplemental indenture pursuant to the provisions of this Article may bear a notation in form approved by the Trustee for such series as to any matter provided for by such supplemental indenture or as to any action taken by Securityholders. If the Issuer or the Trustee shall so determine, new Securities of any series so modified as to conform, in the opinion of the Trustee and the Board, to any modification of this Indenture contained in any such supplemental indenture may be prepared by the Issuer, authenticated by the Trustee and delivered in exchange for the Securities of such series then Outstanding.</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44" w:name="page145"/>
    <w:bookmarkEnd w:id="144"/>
    <w:p>
      <w:pPr>
        <w:jc w:val="center"/>
        <w:ind w:right="-19"/>
        <w:spacing w:after="0"/>
        <w:rPr>
          <w:sz w:val="20"/>
          <w:szCs w:val="20"/>
          <w:color w:val="auto"/>
        </w:rPr>
      </w:pPr>
      <w:r>
        <w:rPr>
          <w:rFonts w:ascii="Arial" w:cs="Arial" w:eastAsia="Arial" w:hAnsi="Arial"/>
          <w:sz w:val="18"/>
          <w:szCs w:val="18"/>
          <w:color w:val="auto"/>
        </w:rPr>
        <w:t>ARTICLE 8</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Consolidation, Merger, Sale or Conveyance</w:t>
      </w:r>
    </w:p>
    <w:p>
      <w:pPr>
        <w:spacing w:after="0" w:line="225" w:lineRule="exact"/>
        <w:rPr>
          <w:sz w:val="20"/>
          <w:szCs w:val="20"/>
          <w:color w:val="auto"/>
        </w:rPr>
      </w:pPr>
    </w:p>
    <w:p>
      <w:pPr>
        <w:ind w:right="40" w:firstLine="1296"/>
        <w:spacing w:after="0" w:line="291" w:lineRule="auto"/>
        <w:rPr>
          <w:sz w:val="20"/>
          <w:szCs w:val="20"/>
          <w:color w:val="auto"/>
        </w:rPr>
      </w:pPr>
      <w:r>
        <w:rPr>
          <w:rFonts w:ascii="Arial" w:cs="Arial" w:eastAsia="Arial" w:hAnsi="Arial"/>
          <w:sz w:val="16"/>
          <w:szCs w:val="16"/>
          <w:color w:val="auto"/>
        </w:rPr>
        <w:t xml:space="preserve">SECTION 8.01. </w:t>
      </w:r>
      <w:r>
        <w:rPr>
          <w:rFonts w:ascii="Arial" w:cs="Arial" w:eastAsia="Arial" w:hAnsi="Arial"/>
          <w:sz w:val="16"/>
          <w:szCs w:val="16"/>
          <w:u w:val="single" w:color="auto"/>
          <w:color w:val="auto"/>
        </w:rPr>
        <w:t>Issuer May Consolidate, etc., on Certain Terms.</w:t>
      </w:r>
      <w:r>
        <w:rPr>
          <w:rFonts w:ascii="Arial" w:cs="Arial" w:eastAsia="Arial" w:hAnsi="Arial"/>
          <w:sz w:val="16"/>
          <w:szCs w:val="16"/>
          <w:color w:val="auto"/>
        </w:rPr>
        <w:t xml:space="preserve"> The Issuer covenants that it will not merge or consolidate with any other Person or sell or convey all or substantially all of its assets to any Person, unless (i) either the Issuer shall be the continuing legal entity, or the successor legal entity or the Person which acquires by sale or conveyance substantially all the assets of the Issuer (if other than the Issuer) shall expressly assume the due and punctual payment of the principal of and interest on all the Securities, according to their tenor, and the due and punctual performance and observance of all of the covenants and conditions of this Indenture to be performed or observed by the Issuer, by supplemental indenture satisfactory to the Trustee, executed and delivered to the Trustee by such successor legal entity, and (ii) the Issuer or such successor legal entity, as the case may be, shall not, immediately after such merger or consolidation, or such sale or conveyance, be in default in the performance of any such covenant or condition.</w:t>
      </w:r>
    </w:p>
    <w:p>
      <w:pPr>
        <w:spacing w:after="0" w:line="166" w:lineRule="exact"/>
        <w:rPr>
          <w:sz w:val="20"/>
          <w:szCs w:val="20"/>
          <w:color w:val="auto"/>
        </w:rPr>
      </w:pPr>
    </w:p>
    <w:p>
      <w:pPr>
        <w:ind w:firstLine="1296"/>
        <w:spacing w:after="0" w:line="289" w:lineRule="auto"/>
        <w:rPr>
          <w:sz w:val="20"/>
          <w:szCs w:val="20"/>
          <w:color w:val="auto"/>
        </w:rPr>
      </w:pPr>
      <w:r>
        <w:rPr>
          <w:rFonts w:ascii="Arial" w:cs="Arial" w:eastAsia="Arial" w:hAnsi="Arial"/>
          <w:sz w:val="16"/>
          <w:szCs w:val="16"/>
          <w:color w:val="auto"/>
        </w:rPr>
        <w:t xml:space="preserve">SECTION 8.02. </w:t>
      </w:r>
      <w:r>
        <w:rPr>
          <w:rFonts w:ascii="Arial" w:cs="Arial" w:eastAsia="Arial" w:hAnsi="Arial"/>
          <w:sz w:val="16"/>
          <w:szCs w:val="16"/>
          <w:u w:val="single" w:color="auto"/>
          <w:color w:val="auto"/>
        </w:rPr>
        <w:t>Successor Substituted.</w:t>
      </w:r>
      <w:r>
        <w:rPr>
          <w:rFonts w:ascii="Arial" w:cs="Arial" w:eastAsia="Arial" w:hAnsi="Arial"/>
          <w:sz w:val="16"/>
          <w:szCs w:val="16"/>
          <w:color w:val="auto"/>
        </w:rPr>
        <w:t xml:space="preserve"> In case of any such consolidation, merger, sale or conveyance, and following such an assumption by the successor legal entity, all in the manner described in Section 8.01, such successor legal entity shall succeed to and be substituted for the Issuer, with the same effect as if it had been named herein. Such successor legal entity may cause to be signed, and may issue either in its own name or in the name of the Issuer prior to such succession any or all of the Securities issuable hereunder which theretofore shall not have been signed by the Issuer and delivered to the Trustee; and, upon the order of such successor legal entity instead of the Issuer and subject to all the terms, conditions and limitations in this Indenture prescribed, the Trustee shall authenticate and shall deliver any Securities which previously shall have been signed and delivered by the officers of the Issuer to the Trustee for authentication, and any Securities which such successor legal entity thereafter shall cause to be signed and delivered to the Trustee for that purpose. All of the Securities so issued shall in all respects have the same legal rank and benefit under this Indenture as the Securities theretofore or thereafter issued in accordance with the terms of this Indenture as though all of such Securities had been issued at the date of the execution hereof.</w:t>
      </w:r>
    </w:p>
    <w:p>
      <w:pPr>
        <w:spacing w:after="0" w:line="166" w:lineRule="exact"/>
        <w:rPr>
          <w:sz w:val="20"/>
          <w:szCs w:val="20"/>
          <w:color w:val="auto"/>
        </w:rPr>
      </w:pPr>
    </w:p>
    <w:p>
      <w:pPr>
        <w:ind w:right="320" w:firstLine="1296"/>
        <w:spacing w:after="0" w:line="277" w:lineRule="auto"/>
        <w:rPr>
          <w:sz w:val="20"/>
          <w:szCs w:val="20"/>
          <w:color w:val="auto"/>
        </w:rPr>
      </w:pPr>
      <w:r>
        <w:rPr>
          <w:rFonts w:ascii="Arial" w:cs="Arial" w:eastAsia="Arial" w:hAnsi="Arial"/>
          <w:sz w:val="18"/>
          <w:szCs w:val="18"/>
          <w:color w:val="auto"/>
        </w:rPr>
        <w:t>In case of any such consolidation, merger, sale, lease or conveyance such changes in phrasing and form (but not in substance) may be made in the Securities thereafter to be issued as may be appropriate.</w:t>
      </w:r>
    </w:p>
    <w:p>
      <w:pPr>
        <w:spacing w:after="0" w:line="170" w:lineRule="exact"/>
        <w:rPr>
          <w:sz w:val="20"/>
          <w:szCs w:val="20"/>
          <w:color w:val="auto"/>
        </w:rPr>
      </w:pPr>
    </w:p>
    <w:p>
      <w:pPr>
        <w:ind w:right="20" w:firstLine="1296"/>
        <w:spacing w:after="0" w:line="263" w:lineRule="auto"/>
        <w:rPr>
          <w:sz w:val="20"/>
          <w:szCs w:val="20"/>
          <w:color w:val="auto"/>
        </w:rPr>
      </w:pPr>
      <w:r>
        <w:rPr>
          <w:rFonts w:ascii="Arial" w:cs="Arial" w:eastAsia="Arial" w:hAnsi="Arial"/>
          <w:sz w:val="18"/>
          <w:szCs w:val="18"/>
          <w:color w:val="auto"/>
        </w:rPr>
        <w:t>In the event of any such sale or conveyance (other than a conveyance by way of lease) the Issuer or any successor legal entity which shall theretofore have become such in the manner described in this Article shall be discharged from all obligations and covenants under this Indenture and the Securities and may be liquidated and dissolved.</w:t>
      </w:r>
    </w:p>
    <w:p>
      <w:pPr>
        <w:spacing w:after="0" w:line="184" w:lineRule="exact"/>
        <w:rPr>
          <w:sz w:val="20"/>
          <w:szCs w:val="20"/>
          <w:color w:val="auto"/>
        </w:rPr>
      </w:pPr>
    </w:p>
    <w:p>
      <w:pPr>
        <w:ind w:right="40" w:firstLine="1296"/>
        <w:spacing w:after="0" w:line="277" w:lineRule="auto"/>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u w:val="single" w:color="auto"/>
          <w:color w:val="auto"/>
        </w:rPr>
        <w:t>Opinion of Counsel to Trustee.</w:t>
      </w:r>
      <w:r>
        <w:rPr>
          <w:rFonts w:ascii="Arial" w:cs="Arial" w:eastAsia="Arial" w:hAnsi="Arial"/>
          <w:sz w:val="18"/>
          <w:szCs w:val="18"/>
          <w:color w:val="auto"/>
        </w:rPr>
        <w:t xml:space="preserve"> The Trustee, subject to the provisions of Sections 5.01 and 5.02, shall receive an Opinion of Counsel, prepared in accordance with Section 10.06, as conclusive evidence that any such consolidation,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5" w:name="page146"/>
    <w:bookmarkEnd w:id="145"/>
    <w:p>
      <w:pPr>
        <w:ind w:right="580"/>
        <w:spacing w:after="0" w:line="277" w:lineRule="auto"/>
        <w:rPr>
          <w:sz w:val="20"/>
          <w:szCs w:val="20"/>
          <w:color w:val="auto"/>
        </w:rPr>
      </w:pPr>
      <w:r>
        <w:rPr>
          <w:rFonts w:ascii="Arial" w:cs="Arial" w:eastAsia="Arial" w:hAnsi="Arial"/>
          <w:sz w:val="18"/>
          <w:szCs w:val="18"/>
          <w:color w:val="auto"/>
        </w:rPr>
        <w:t>merger, sale, lease or conveyance, and any such assumption, and any such liquidation or dissolution, complies with the applicable provisions of this Indenture.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Satisfaction and Discharge of Indenture; Unclaimed Moneys</w:t>
      </w:r>
    </w:p>
    <w:p>
      <w:pPr>
        <w:spacing w:after="0" w:line="225" w:lineRule="exact"/>
        <w:rPr>
          <w:sz w:val="20"/>
          <w:szCs w:val="20"/>
          <w:color w:val="auto"/>
        </w:rPr>
      </w:pPr>
    </w:p>
    <w:p>
      <w:pPr>
        <w:ind w:firstLine="1296"/>
        <w:spacing w:after="0" w:line="283" w:lineRule="auto"/>
        <w:rPr>
          <w:sz w:val="20"/>
          <w:szCs w:val="20"/>
          <w:color w:val="auto"/>
        </w:rPr>
      </w:pPr>
      <w:r>
        <w:rPr>
          <w:rFonts w:ascii="Arial" w:cs="Arial" w:eastAsia="Arial" w:hAnsi="Arial"/>
          <w:sz w:val="16"/>
          <w:szCs w:val="16"/>
          <w:color w:val="auto"/>
        </w:rPr>
        <w:t xml:space="preserve">SECTION 9.01. </w:t>
      </w:r>
      <w:r>
        <w:rPr>
          <w:rFonts w:ascii="Arial" w:cs="Arial" w:eastAsia="Arial" w:hAnsi="Arial"/>
          <w:sz w:val="16"/>
          <w:szCs w:val="16"/>
          <w:u w:val="single" w:color="auto"/>
          <w:color w:val="auto"/>
        </w:rPr>
        <w:t>Satisfaction and Discharge of Indenture.</w:t>
      </w:r>
      <w:r>
        <w:rPr>
          <w:rFonts w:ascii="Arial" w:cs="Arial" w:eastAsia="Arial" w:hAnsi="Arial"/>
          <w:sz w:val="16"/>
          <w:szCs w:val="16"/>
          <w:color w:val="auto"/>
        </w:rPr>
        <w:t xml:space="preserve"> (a) If at any time (i) the Issuer shall have paid or caused to be paid the principal of and interest on all the Securities of any series outstanding hereunder (other than Securities of such series which have been destroyed, lost or stolen and which have been replaced or paid as provided in Section 2.09) as and when the same shall have become due and payable, or (ii) the Issuer shall have delivered to the Trustee for cancellation all Securities of any series theretofore authenticated (other than any Securities of such series which shall have been destroyed, lost or stolen and which shall have been replaced or paid as provided in Section 2.09) or (iii) (A) all the securities of such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(B) the Issuer shall have irrevocably deposited or caused to be deposited with the Trustee as trust funds the entire amount in cash (other than moneys repaid by the Trustee or any paying agent to the Issuer in accordance with Section 9.04) in the case of any series of Securities the payments on which may only be made in U.S. Dollars, direct obligations of the United States of America, backed by its full faith and credit (“</w:t>
      </w:r>
      <w:r>
        <w:rPr>
          <w:rFonts w:ascii="Arial" w:cs="Arial" w:eastAsia="Arial" w:hAnsi="Arial"/>
          <w:sz w:val="16"/>
          <w:szCs w:val="16"/>
          <w:u w:val="single" w:color="auto"/>
          <w:color w:val="auto"/>
        </w:rPr>
        <w:t>U.S. Government Obligations</w:t>
      </w:r>
      <w:r>
        <w:rPr>
          <w:rFonts w:ascii="Arial" w:cs="Arial" w:eastAsia="Arial" w:hAnsi="Arial"/>
          <w:sz w:val="16"/>
          <w:szCs w:val="16"/>
          <w:color w:val="auto"/>
        </w:rPr>
        <w:t>”), maturing as to principal and interest at such times and in such amounts as will insure the availability of cash, or a combination thereof, sufficient to pay at maturity or upon redemption all Securities of such series (other than any Securities of such series which shall have been destroyed, lost or stolen and which shall have been replaced or paid as provided in Section 2.09) not theretofore delivered to the Trustee for cancellation, including principal and interest due or to become due on or prior to such date of maturity as the case may be, and if, in any such case, the Issuer shall also pay or cause to be paid all other sums payable hereunder by the Issuer with respect to Securities of such series, then this Indenture shall cease to be of further effect with respect to Securities of such series (except as to</w:t>
      </w:r>
    </w:p>
    <w:p>
      <w:pPr>
        <w:ind w:right="40" w:firstLine="8"/>
        <w:spacing w:after="0" w:line="268" w:lineRule="auto"/>
        <w:tabs>
          <w:tab w:leader="none" w:pos="215" w:val="left"/>
        </w:tabs>
        <w:numPr>
          <w:ilvl w:val="0"/>
          <w:numId w:val="128"/>
        </w:numPr>
        <w:rPr>
          <w:rFonts w:ascii="Arial" w:cs="Arial" w:eastAsia="Arial" w:hAnsi="Arial"/>
          <w:sz w:val="17"/>
          <w:szCs w:val="17"/>
          <w:color w:val="auto"/>
        </w:rPr>
      </w:pPr>
      <w:r>
        <w:rPr>
          <w:rFonts w:ascii="Arial" w:cs="Arial" w:eastAsia="Arial" w:hAnsi="Arial"/>
          <w:sz w:val="17"/>
          <w:szCs w:val="17"/>
          <w:color w:val="auto"/>
        </w:rPr>
        <w:t>rights of registration of transfer and exchange of Securities of such series, and the Issuer’s right of optional redemption, if any, (ii) substitution of mutilated, defaced, destroyed, lost or stolen Securities, (iii) rights of Holders to receive payments of principal thereof and interest thereon upon the original stated due date therefor (but not upon acceleration), and remaining rights of the Holders to receive mandatory sinking fund payments, if any, (iv) the rights, obligations and immunities of the Trustee hereunder and (v) the rights of the Securityholders of such series as beneficiaries hereof with respect to the property so deposited with the Trustee payable to all or any of them), and the Trustee, on demand of the Issuer accompanied by an Officers’ Certificate and an Opinion of Counsel and at the cost and expense of the Issuer, shall execute proper instruments acknowledging such satisfaction of and discharging this Indenture with respect to such series; provided, that the rights of Holders of the Securities to receive amounts in respect of principal of and interest on the Securities held by them shall not be delayed longer than required by then-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46" w:name="page147"/>
    <w:bookmarkEnd w:id="146"/>
    <w:p>
      <w:pPr>
        <w:jc w:val="both"/>
        <w:ind w:right="160"/>
        <w:spacing w:after="0" w:line="263" w:lineRule="auto"/>
        <w:rPr>
          <w:sz w:val="20"/>
          <w:szCs w:val="20"/>
          <w:color w:val="auto"/>
        </w:rPr>
      </w:pPr>
      <w:r>
        <w:rPr>
          <w:rFonts w:ascii="Arial" w:cs="Arial" w:eastAsia="Arial" w:hAnsi="Arial"/>
          <w:sz w:val="18"/>
          <w:szCs w:val="18"/>
          <w:color w:val="auto"/>
        </w:rPr>
        <w:t>applicable mandatory rules or policies of any securities exchange upon which the Securities are listed. The Issuer agrees to reimburse the Trustee for any costs or expenses thereafter reasonably and properly incurred and to compensate the Trustee for any services thereafter reasonably and properly rendered by the Trustee in connection with this Indenture or the Securities of such series.</w:t>
      </w:r>
    </w:p>
    <w:p>
      <w:pPr>
        <w:spacing w:after="0" w:line="184" w:lineRule="exact"/>
        <w:rPr>
          <w:sz w:val="20"/>
          <w:szCs w:val="20"/>
          <w:color w:val="auto"/>
        </w:rPr>
      </w:pPr>
    </w:p>
    <w:p>
      <w:pPr>
        <w:ind w:left="660" w:firstLine="644"/>
        <w:spacing w:after="0" w:line="285" w:lineRule="auto"/>
        <w:tabs>
          <w:tab w:leader="none" w:pos="1560" w:val="left"/>
        </w:tabs>
        <w:numPr>
          <w:ilvl w:val="1"/>
          <w:numId w:val="129"/>
        </w:numPr>
        <w:rPr>
          <w:rFonts w:ascii="Arial" w:cs="Arial" w:eastAsia="Arial" w:hAnsi="Arial"/>
          <w:sz w:val="16"/>
          <w:szCs w:val="16"/>
          <w:color w:val="auto"/>
        </w:rPr>
      </w:pPr>
      <w:r>
        <w:rPr>
          <w:rFonts w:ascii="Arial" w:cs="Arial" w:eastAsia="Arial" w:hAnsi="Arial"/>
          <w:sz w:val="16"/>
          <w:szCs w:val="16"/>
          <w:color w:val="auto"/>
        </w:rPr>
        <w:t>The following provisions shall apply to the Securities of each series unless specifically otherwise provided in a Board Resolution, Officers’ Certificate or indenture supplemental hereto provided pursuant to Section 2.03. In addition to discharge of the Indenture pursuant to the next preceding paragraph, in the case of any series of Securities the exact amounts (including the currency of payment) of principal of and interest due on which can be determined at the time of making the deposit referred to in Section 9.01(b)(i) below, the Issuer shall be deemed to have paid and discharged the entire indebtedness on all the Securities of such a series on the 91st day after the date of the deposit referred to in</w:t>
      </w:r>
    </w:p>
    <w:p>
      <w:pPr>
        <w:spacing w:after="0" w:line="1" w:lineRule="exact"/>
        <w:rPr>
          <w:rFonts w:ascii="Arial" w:cs="Arial" w:eastAsia="Arial" w:hAnsi="Arial"/>
          <w:sz w:val="16"/>
          <w:szCs w:val="16"/>
          <w:color w:val="auto"/>
        </w:rPr>
      </w:pPr>
    </w:p>
    <w:p>
      <w:pPr>
        <w:ind w:left="660" w:right="260"/>
        <w:spacing w:after="0" w:line="281" w:lineRule="auto"/>
        <w:rPr>
          <w:rFonts w:ascii="Arial" w:cs="Arial" w:eastAsia="Arial" w:hAnsi="Arial"/>
          <w:sz w:val="16"/>
          <w:szCs w:val="16"/>
          <w:color w:val="auto"/>
        </w:rPr>
      </w:pPr>
      <w:r>
        <w:rPr>
          <w:rFonts w:ascii="Arial" w:cs="Arial" w:eastAsia="Arial" w:hAnsi="Arial"/>
          <w:sz w:val="16"/>
          <w:szCs w:val="16"/>
          <w:color w:val="auto"/>
        </w:rPr>
        <w:t>Section 9.01(b)(i) below, and the provisions of this Indenture with respect to the Securities of such series thereto shall no longer be in effect (except as to (1) rights of registration of transfer and exchange of Securities of such series and the Issuer’s right of optional redemption, if any,</w:t>
      </w:r>
    </w:p>
    <w:p>
      <w:pPr>
        <w:spacing w:after="0" w:line="1" w:lineRule="exact"/>
        <w:rPr>
          <w:rFonts w:ascii="Arial" w:cs="Arial" w:eastAsia="Arial" w:hAnsi="Arial"/>
          <w:sz w:val="16"/>
          <w:szCs w:val="16"/>
          <w:color w:val="auto"/>
        </w:rPr>
      </w:pPr>
    </w:p>
    <w:p>
      <w:pPr>
        <w:ind w:left="660" w:right="40" w:hanging="4"/>
        <w:spacing w:after="0" w:line="281" w:lineRule="auto"/>
        <w:tabs>
          <w:tab w:leader="none" w:pos="915" w:val="left"/>
        </w:tabs>
        <w:numPr>
          <w:ilvl w:val="0"/>
          <w:numId w:val="130"/>
        </w:numPr>
        <w:rPr>
          <w:rFonts w:ascii="Arial" w:cs="Arial" w:eastAsia="Arial" w:hAnsi="Arial"/>
          <w:sz w:val="16"/>
          <w:szCs w:val="16"/>
          <w:color w:val="auto"/>
        </w:rPr>
      </w:pPr>
      <w:r>
        <w:rPr>
          <w:rFonts w:ascii="Arial" w:cs="Arial" w:eastAsia="Arial" w:hAnsi="Arial"/>
          <w:sz w:val="16"/>
          <w:szCs w:val="16"/>
          <w:color w:val="auto"/>
        </w:rPr>
        <w:t>substitution of mutilated, defaced, destroyed, lost or stolen Securities, (3) rights of Holders of Securities to receive payments of principal thereof and interest thereon, upon the original stated due dates therefor (but not upon acceleration), and remaining rights of the Holders to receive mandatory sinking fund payments, if any, (4) the rights, obligations, duties and immunities of the Trustee hereunder, (5) the rights of the Holders of Securities of such series as beneficiaries hereof with respect to the property so deposited with the Trustee payable to all or any of them and</w:t>
      </w:r>
    </w:p>
    <w:p>
      <w:pPr>
        <w:spacing w:after="0" w:line="2" w:lineRule="exact"/>
        <w:rPr>
          <w:rFonts w:ascii="Arial" w:cs="Arial" w:eastAsia="Arial" w:hAnsi="Arial"/>
          <w:sz w:val="16"/>
          <w:szCs w:val="16"/>
          <w:color w:val="auto"/>
        </w:rPr>
      </w:pPr>
    </w:p>
    <w:p>
      <w:pPr>
        <w:ind w:left="660" w:right="440" w:hanging="4"/>
        <w:spacing w:after="0" w:line="260" w:lineRule="auto"/>
        <w:tabs>
          <w:tab w:leader="none" w:pos="91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obligations of the Issuer under Section 3.02) and the Trustee, at the expense of the Issuer, shall at the Issuer’s request, execute proper instruments acknowledging the same, if</w:t>
      </w:r>
    </w:p>
    <w:p>
      <w:pPr>
        <w:spacing w:after="0" w:line="185" w:lineRule="exact"/>
        <w:rPr>
          <w:rFonts w:ascii="Arial" w:cs="Arial" w:eastAsia="Arial" w:hAnsi="Arial"/>
          <w:sz w:val="18"/>
          <w:szCs w:val="18"/>
          <w:color w:val="auto"/>
        </w:rPr>
      </w:pPr>
    </w:p>
    <w:p>
      <w:pPr>
        <w:jc w:val="both"/>
        <w:ind w:left="1300" w:right="20" w:firstLine="652"/>
        <w:spacing w:after="0" w:line="291" w:lineRule="auto"/>
        <w:tabs>
          <w:tab w:leader="none" w:pos="2163" w:val="left"/>
        </w:tabs>
        <w:numPr>
          <w:ilvl w:val="2"/>
          <w:numId w:val="131"/>
        </w:numPr>
        <w:rPr>
          <w:rFonts w:ascii="Arial" w:cs="Arial" w:eastAsia="Arial" w:hAnsi="Arial"/>
          <w:sz w:val="16"/>
          <w:szCs w:val="16"/>
          <w:color w:val="auto"/>
        </w:rPr>
      </w:pPr>
      <w:r>
        <w:rPr>
          <w:rFonts w:ascii="Arial" w:cs="Arial" w:eastAsia="Arial" w:hAnsi="Arial"/>
          <w:sz w:val="16"/>
          <w:szCs w:val="16"/>
          <w:color w:val="auto"/>
        </w:rPr>
        <w:t>with reference to this provision the Issuer has irrevocably deposited or caused to be irrevocably deposited with the Trustee as trust funds in trust, specifically pledged as security for, and dedicated solely to, the benefit of the Holders of the Securities of such series</w:t>
      </w:r>
    </w:p>
    <w:p>
      <w:pPr>
        <w:ind w:left="1300" w:right="20"/>
        <w:spacing w:after="0" w:line="281" w:lineRule="auto"/>
        <w:rPr>
          <w:rFonts w:ascii="Arial" w:cs="Arial" w:eastAsia="Arial" w:hAnsi="Arial"/>
          <w:sz w:val="16"/>
          <w:szCs w:val="16"/>
          <w:color w:val="auto"/>
        </w:rPr>
      </w:pPr>
      <w:r>
        <w:rPr>
          <w:rFonts w:ascii="Arial" w:cs="Arial" w:eastAsia="Arial" w:hAnsi="Arial"/>
          <w:sz w:val="16"/>
          <w:szCs w:val="16"/>
          <w:color w:val="auto"/>
        </w:rPr>
        <w:t>(A) cash in an amount, or (B) in the case of any series of Securities the payments on which may only be made in U.S. Dollars, U.S. Government Obligations, maturing as to principal and interest at such times and in such amounts as will insure the availability of cash or</w:t>
      </w:r>
    </w:p>
    <w:p>
      <w:pPr>
        <w:spacing w:after="0" w:line="1" w:lineRule="exact"/>
        <w:rPr>
          <w:rFonts w:ascii="Arial" w:cs="Arial" w:eastAsia="Arial" w:hAnsi="Arial"/>
          <w:sz w:val="16"/>
          <w:szCs w:val="16"/>
          <w:color w:val="auto"/>
        </w:rPr>
      </w:pPr>
    </w:p>
    <w:p>
      <w:pPr>
        <w:ind w:left="1300" w:right="120"/>
        <w:spacing w:after="0" w:line="295" w:lineRule="auto"/>
        <w:rPr>
          <w:rFonts w:ascii="Arial" w:cs="Arial" w:eastAsia="Arial" w:hAnsi="Arial"/>
          <w:sz w:val="16"/>
          <w:szCs w:val="16"/>
          <w:color w:val="auto"/>
        </w:rPr>
      </w:pPr>
      <w:r>
        <w:rPr>
          <w:rFonts w:ascii="Arial" w:cs="Arial" w:eastAsia="Arial" w:hAnsi="Arial"/>
          <w:sz w:val="16"/>
          <w:szCs w:val="16"/>
          <w:color w:val="auto"/>
        </w:rPr>
        <w:t>(C) a combination thereof, sufficient, in the opinion of a nationally recognized firm of independent public accountants expressed in a written certification thereof delivered to the Trustee, to pay (1) the principal and interest on all Securities of such series and coupons appertaining thereto on each date that such principal or interest is due and payable and (2) any mandatory sinking fund payments on the dates on which such payments are due and payable in accordance with the terms of the Indenture and the Securities of such series;</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147" w:name="page148"/>
    <w:bookmarkEnd w:id="147"/>
    <w:p>
      <w:pPr>
        <w:ind w:left="180" w:right="240" w:firstLine="652"/>
        <w:spacing w:after="0" w:line="277" w:lineRule="auto"/>
        <w:tabs>
          <w:tab w:leader="none" w:pos="1093" w:val="left"/>
        </w:tabs>
        <w:numPr>
          <w:ilvl w:val="1"/>
          <w:numId w:val="132"/>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any agreement or instrument to which the Issuer is a party or by which it is bound;</w:t>
      </w:r>
    </w:p>
    <w:p>
      <w:pPr>
        <w:spacing w:after="0" w:line="170" w:lineRule="exact"/>
        <w:rPr>
          <w:rFonts w:ascii="Arial" w:cs="Arial" w:eastAsia="Arial" w:hAnsi="Arial"/>
          <w:sz w:val="18"/>
          <w:szCs w:val="18"/>
          <w:color w:val="auto"/>
        </w:rPr>
      </w:pPr>
    </w:p>
    <w:p>
      <w:pPr>
        <w:ind w:left="180" w:firstLine="652"/>
        <w:spacing w:after="0" w:line="293" w:lineRule="auto"/>
        <w:tabs>
          <w:tab w:leader="none" w:pos="1143" w:val="left"/>
        </w:tabs>
        <w:numPr>
          <w:ilvl w:val="1"/>
          <w:numId w:val="132"/>
        </w:numPr>
        <w:rPr>
          <w:rFonts w:ascii="Arial" w:cs="Arial" w:eastAsia="Arial" w:hAnsi="Arial"/>
          <w:sz w:val="16"/>
          <w:szCs w:val="16"/>
          <w:color w:val="auto"/>
        </w:rPr>
      </w:pPr>
      <w:r>
        <w:rPr>
          <w:rFonts w:ascii="Arial" w:cs="Arial" w:eastAsia="Arial" w:hAnsi="Arial"/>
          <w:sz w:val="16"/>
          <w:szCs w:val="16"/>
          <w:color w:val="auto"/>
        </w:rPr>
        <w:t>the Issuer has delivered to the Trustee an Opinion of Counsel based on the fact that (x) the Issuer has received from, or there has been published by, the Internal Revenue Service a ruling or (y) since the date hereof, there has been a change in the applicable U.S. federal income tax law, in either case to the effect that, and such opinion shall confirm that, the Holders of the Securities of such series and coupons appertaining thereto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 and</w:t>
      </w:r>
    </w:p>
    <w:p>
      <w:pPr>
        <w:spacing w:after="0" w:line="164" w:lineRule="exact"/>
        <w:rPr>
          <w:rFonts w:ascii="Arial" w:cs="Arial" w:eastAsia="Arial" w:hAnsi="Arial"/>
          <w:sz w:val="16"/>
          <w:szCs w:val="16"/>
          <w:color w:val="auto"/>
        </w:rPr>
      </w:pPr>
    </w:p>
    <w:p>
      <w:pPr>
        <w:ind w:left="180" w:right="260" w:firstLine="652"/>
        <w:spacing w:after="0" w:line="277" w:lineRule="auto"/>
        <w:tabs>
          <w:tab w:leader="none" w:pos="1133" w:val="left"/>
        </w:tabs>
        <w:numPr>
          <w:ilvl w:val="1"/>
          <w:numId w:val="132"/>
        </w:numPr>
        <w:rPr>
          <w:rFonts w:ascii="Arial" w:cs="Arial" w:eastAsia="Arial" w:hAnsi="Arial"/>
          <w:sz w:val="18"/>
          <w:szCs w:val="18"/>
          <w:color w:val="auto"/>
        </w:rPr>
      </w:pPr>
      <w:r>
        <w:rPr>
          <w:rFonts w:ascii="Arial" w:cs="Arial" w:eastAsia="Arial" w:hAnsi="Arial"/>
          <w:sz w:val="18"/>
          <w:szCs w:val="18"/>
          <w:color w:val="auto"/>
        </w:rPr>
        <w:t>the Issuer has delivered to the Trustee an Officers’ Certificate and an Opinion of Counsel, each stating that all conditions precedent provided for relating to the defeasance contemplated by this provision have been complied with.</w:t>
      </w:r>
    </w:p>
    <w:p>
      <w:pPr>
        <w:spacing w:after="0" w:line="170" w:lineRule="exact"/>
        <w:rPr>
          <w:rFonts w:ascii="Arial" w:cs="Arial" w:eastAsia="Arial" w:hAnsi="Arial"/>
          <w:sz w:val="18"/>
          <w:szCs w:val="18"/>
          <w:color w:val="auto"/>
        </w:rPr>
      </w:pPr>
    </w:p>
    <w:p>
      <w:pPr>
        <w:ind w:left="-460" w:right="40" w:firstLine="644"/>
        <w:spacing w:after="0" w:line="291" w:lineRule="auto"/>
        <w:tabs>
          <w:tab w:leader="none" w:pos="429"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 Issuer shall be released from its obligations under Section 9.01 with respect to the Securities of any series Outstanding, on and after the date the conditions set forth below are satisfied (hereinafter, “</w:t>
      </w:r>
      <w:r>
        <w:rPr>
          <w:rFonts w:ascii="Arial" w:cs="Arial" w:eastAsia="Arial" w:hAnsi="Arial"/>
          <w:sz w:val="16"/>
          <w:szCs w:val="16"/>
          <w:u w:val="single" w:color="auto"/>
          <w:color w:val="auto"/>
        </w:rPr>
        <w:t>covenant defeasance</w:t>
      </w:r>
      <w:r>
        <w:rPr>
          <w:rFonts w:ascii="Arial" w:cs="Arial" w:eastAsia="Arial" w:hAnsi="Arial"/>
          <w:sz w:val="16"/>
          <w:szCs w:val="16"/>
          <w:color w:val="auto"/>
        </w:rPr>
        <w:t>”). For this purpose, such covenant defeasance means that, with respect to the Outstanding Securities of any series, the Issuer may omit to comply with and shall have no liability in respect of any term, condition or limitation set forth in such Sections, whether directly or indirectly by reason of any reference elsewhere herein to such Sections or by reason of any reference in such Sections to any other provision herein or in any other document and such omission to comply shall not constitute an Event of Default under Section 4.01, but the remainder of this Indenture and such Securities and coupons shall be unaffected thereby. The following shall be the conditions to application of this subsection (c) of this Section 9.01:</w:t>
      </w:r>
    </w:p>
    <w:p>
      <w:pPr>
        <w:spacing w:after="0" w:line="166" w:lineRule="exact"/>
        <w:rPr>
          <w:rFonts w:ascii="Arial" w:cs="Arial" w:eastAsia="Arial" w:hAnsi="Arial"/>
          <w:sz w:val="16"/>
          <w:szCs w:val="16"/>
          <w:color w:val="auto"/>
        </w:rPr>
      </w:pPr>
    </w:p>
    <w:p>
      <w:pPr>
        <w:ind w:left="180" w:right="160" w:firstLine="652"/>
        <w:spacing w:after="0" w:line="254" w:lineRule="auto"/>
        <w:tabs>
          <w:tab w:leader="none" w:pos="104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The Issuer has irrevocably deposited or caused to be deposited with the Trustee as trust funds in trust for the purpose of making the following payments, specifically pledged as security for, and dedicated solely to, the benefit of the Holders of the Securities of such series, (A) cash in an amount, or (B) in the case of any series of Securities the payments on which may only be made in U.S. Dollars, U.S. Government Obligations maturing as to principal and interest at such times and in such amounts as will insure the availability of cash or (C) a combination thereof, sufficient, in the opinion of a nationally recognized firm of independent public accountants expressed in a written certification thereof delivered to the Trustee, to pay (1) the principal and interest on all Securities of such series and coupons appertaining thereto and (2) any</w:t>
      </w:r>
    </w:p>
    <w:p>
      <w:pPr>
        <w:spacing w:after="0" w:line="19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81280</wp:posOffset>
            </wp:positionV>
            <wp:extent cx="7153275"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00"/>
          </w:cols>
          <w:pgMar w:left="1440" w:top="341" w:right="359" w:bottom="1440" w:gutter="0" w:footer="0" w:header="0"/>
        </w:sectPr>
      </w:pPr>
    </w:p>
    <w:bookmarkStart w:id="148" w:name="page149"/>
    <w:bookmarkEnd w:id="148"/>
    <w:p>
      <w:pPr>
        <w:ind w:left="1300" w:right="80"/>
        <w:spacing w:after="0" w:line="277" w:lineRule="auto"/>
        <w:rPr>
          <w:sz w:val="20"/>
          <w:szCs w:val="20"/>
          <w:color w:val="auto"/>
        </w:rPr>
      </w:pPr>
      <w:r>
        <w:rPr>
          <w:rFonts w:ascii="Arial" w:cs="Arial" w:eastAsia="Arial" w:hAnsi="Arial"/>
          <w:sz w:val="18"/>
          <w:szCs w:val="18"/>
          <w:color w:val="auto"/>
        </w:rPr>
        <w:t>mandatory sinking fund payments on the day on which such payments are due and payable in accordance with the terms of the Indenture and the Securities of such series.</w:t>
      </w:r>
    </w:p>
    <w:p>
      <w:pPr>
        <w:spacing w:after="0" w:line="170" w:lineRule="exact"/>
        <w:rPr>
          <w:sz w:val="20"/>
          <w:szCs w:val="20"/>
          <w:color w:val="auto"/>
        </w:rPr>
      </w:pPr>
    </w:p>
    <w:p>
      <w:pPr>
        <w:ind w:left="1300" w:firstLine="652"/>
        <w:spacing w:after="0" w:line="259" w:lineRule="auto"/>
        <w:tabs>
          <w:tab w:leader="none" w:pos="2213" w:val="left"/>
        </w:tabs>
        <w:numPr>
          <w:ilvl w:val="0"/>
          <w:numId w:val="134"/>
        </w:numPr>
        <w:rPr>
          <w:rFonts w:ascii="Arial" w:cs="Arial" w:eastAsia="Arial" w:hAnsi="Arial"/>
          <w:sz w:val="18"/>
          <w:szCs w:val="18"/>
          <w:color w:val="auto"/>
        </w:rPr>
      </w:pPr>
      <w:r>
        <w:rPr>
          <w:rFonts w:ascii="Arial" w:cs="Arial" w:eastAsia="Arial" w:hAnsi="Arial"/>
          <w:sz w:val="18"/>
          <w:szCs w:val="18"/>
          <w:color w:val="auto"/>
        </w:rPr>
        <w:t>No Event of Default or event which with notice or lapse of time or both would become an Event of Default with respect to the Securities shall have occurred and be continuing on the date of such deposit or, insofar as subsections 4.01(c) and 4.01(d) are concerned, at any time during the period ending on the 91st day after the date of such deposit (it being understood that this condition shall not be deemed satisfied until the expiration of such period).</w:t>
      </w:r>
    </w:p>
    <w:p>
      <w:pPr>
        <w:spacing w:after="0" w:line="186" w:lineRule="exact"/>
        <w:rPr>
          <w:rFonts w:ascii="Arial" w:cs="Arial" w:eastAsia="Arial" w:hAnsi="Arial"/>
          <w:sz w:val="18"/>
          <w:szCs w:val="18"/>
          <w:color w:val="auto"/>
        </w:rPr>
      </w:pPr>
    </w:p>
    <w:p>
      <w:pPr>
        <w:ind w:left="1300" w:right="180" w:firstLine="652"/>
        <w:spacing w:after="0" w:line="277" w:lineRule="auto"/>
        <w:tabs>
          <w:tab w:leader="none" w:pos="2263" w:val="left"/>
        </w:tabs>
        <w:numPr>
          <w:ilvl w:val="0"/>
          <w:numId w:val="134"/>
        </w:numPr>
        <w:rPr>
          <w:rFonts w:ascii="Arial" w:cs="Arial" w:eastAsia="Arial" w:hAnsi="Arial"/>
          <w:sz w:val="18"/>
          <w:szCs w:val="18"/>
          <w:color w:val="auto"/>
        </w:rPr>
      </w:pPr>
      <w:r>
        <w:rPr>
          <w:rFonts w:ascii="Arial" w:cs="Arial" w:eastAsia="Arial" w:hAnsi="Arial"/>
          <w:sz w:val="18"/>
          <w:szCs w:val="18"/>
          <w:color w:val="auto"/>
        </w:rPr>
        <w:t>Such covenant defeasance shall not cause the Trustee to have a conflicting interest for purposes of the Trust Indenture Act of 1939 with respect to any securities of the Issuer.</w:t>
      </w:r>
    </w:p>
    <w:p>
      <w:pPr>
        <w:spacing w:after="0" w:line="170" w:lineRule="exact"/>
        <w:rPr>
          <w:rFonts w:ascii="Arial" w:cs="Arial" w:eastAsia="Arial" w:hAnsi="Arial"/>
          <w:sz w:val="18"/>
          <w:szCs w:val="18"/>
          <w:color w:val="auto"/>
        </w:rPr>
      </w:pPr>
    </w:p>
    <w:p>
      <w:pPr>
        <w:ind w:left="1300" w:right="400" w:firstLine="652"/>
        <w:spacing w:after="0" w:line="277" w:lineRule="auto"/>
        <w:tabs>
          <w:tab w:leader="none" w:pos="2253" w:val="left"/>
        </w:tabs>
        <w:numPr>
          <w:ilvl w:val="0"/>
          <w:numId w:val="134"/>
        </w:numPr>
        <w:rPr>
          <w:rFonts w:ascii="Arial" w:cs="Arial" w:eastAsia="Arial" w:hAnsi="Arial"/>
          <w:sz w:val="18"/>
          <w:szCs w:val="18"/>
          <w:color w:val="auto"/>
        </w:rPr>
      </w:pPr>
      <w:r>
        <w:rPr>
          <w:rFonts w:ascii="Arial" w:cs="Arial" w:eastAsia="Arial" w:hAnsi="Arial"/>
          <w:sz w:val="18"/>
          <w:szCs w:val="18"/>
          <w:color w:val="auto"/>
        </w:rPr>
        <w:t>Such covenant defeasance shall not result in a breach or violation of, or constitute a default under, this Indenture or any other agreement or instrument to which the Issuer is a party or by which it is bound.</w:t>
      </w:r>
    </w:p>
    <w:p>
      <w:pPr>
        <w:spacing w:after="0" w:line="170" w:lineRule="exact"/>
        <w:rPr>
          <w:rFonts w:ascii="Arial" w:cs="Arial" w:eastAsia="Arial" w:hAnsi="Arial"/>
          <w:sz w:val="18"/>
          <w:szCs w:val="18"/>
          <w:color w:val="auto"/>
        </w:rPr>
      </w:pPr>
    </w:p>
    <w:p>
      <w:pPr>
        <w:ind w:left="1300" w:right="120" w:firstLine="652"/>
        <w:spacing w:after="0" w:line="277" w:lineRule="auto"/>
        <w:tabs>
          <w:tab w:leader="none" w:pos="2203" w:val="left"/>
        </w:tabs>
        <w:numPr>
          <w:ilvl w:val="0"/>
          <w:numId w:val="134"/>
        </w:numPr>
        <w:rPr>
          <w:rFonts w:ascii="Arial" w:cs="Arial" w:eastAsia="Arial" w:hAnsi="Arial"/>
          <w:sz w:val="18"/>
          <w:szCs w:val="18"/>
          <w:color w:val="auto"/>
        </w:rPr>
      </w:pPr>
      <w:r>
        <w:rPr>
          <w:rFonts w:ascii="Arial" w:cs="Arial" w:eastAsia="Arial" w:hAnsi="Arial"/>
          <w:sz w:val="18"/>
          <w:szCs w:val="18"/>
          <w:color w:val="auto"/>
        </w:rPr>
        <w:t>Such covenant defeasance shall not cause any Securities then listed on any registered national securities exchange under the Securities Exchange Act of 1934, as amended, to be delisted.</w:t>
      </w:r>
    </w:p>
    <w:p>
      <w:pPr>
        <w:spacing w:after="0" w:line="170" w:lineRule="exact"/>
        <w:rPr>
          <w:rFonts w:ascii="Arial" w:cs="Arial" w:eastAsia="Arial" w:hAnsi="Arial"/>
          <w:sz w:val="18"/>
          <w:szCs w:val="18"/>
          <w:color w:val="auto"/>
        </w:rPr>
      </w:pPr>
    </w:p>
    <w:p>
      <w:pPr>
        <w:ind w:left="1300" w:right="80" w:firstLine="652"/>
        <w:spacing w:after="0" w:line="259" w:lineRule="auto"/>
        <w:tabs>
          <w:tab w:leader="none" w:pos="225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Issuer shall have delivered to the Trustee an Officers’ Certificate and Opinion of Counsel to the effect that the Holders of the Securities of such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86" w:lineRule="exact"/>
        <w:rPr>
          <w:rFonts w:ascii="Arial" w:cs="Arial" w:eastAsia="Arial" w:hAnsi="Arial"/>
          <w:sz w:val="18"/>
          <w:szCs w:val="18"/>
          <w:color w:val="auto"/>
        </w:rPr>
      </w:pPr>
    </w:p>
    <w:p>
      <w:pPr>
        <w:ind w:left="1300" w:right="500" w:firstLine="652"/>
        <w:spacing w:after="0" w:line="342" w:lineRule="auto"/>
        <w:tabs>
          <w:tab w:leader="none" w:pos="230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Issuer shall have delivered to the Trustee an Officers’ Certificate and an Opinion of Counsel, each stating that all conditions precedent provided for relating to the covenant defeasance contemplated by this provision have been complied with.</w:t>
      </w:r>
    </w:p>
    <w:p>
      <w:pPr>
        <w:spacing w:after="0" w:line="124" w:lineRule="exact"/>
        <w:rPr>
          <w:sz w:val="20"/>
          <w:szCs w:val="20"/>
          <w:color w:val="auto"/>
        </w:rPr>
      </w:pPr>
    </w:p>
    <w:p>
      <w:pPr>
        <w:ind w:right="20" w:firstLine="1296"/>
        <w:spacing w:after="0" w:line="275" w:lineRule="auto"/>
        <w:rPr>
          <w:sz w:val="20"/>
          <w:szCs w:val="20"/>
          <w:color w:val="auto"/>
        </w:rPr>
      </w:pPr>
      <w:r>
        <w:rPr>
          <w:rFonts w:ascii="Arial" w:cs="Arial" w:eastAsia="Arial" w:hAnsi="Arial"/>
          <w:sz w:val="17"/>
          <w:szCs w:val="17"/>
          <w:color w:val="auto"/>
        </w:rPr>
        <w:t xml:space="preserve">SECTION 9.02. </w:t>
      </w:r>
      <w:r>
        <w:rPr>
          <w:rFonts w:ascii="Arial" w:cs="Arial" w:eastAsia="Arial" w:hAnsi="Arial"/>
          <w:sz w:val="17"/>
          <w:szCs w:val="17"/>
          <w:u w:val="single" w:color="auto"/>
          <w:color w:val="auto"/>
        </w:rPr>
        <w:t>Application by Trustee of Funds Deposited for Payment of Securities.</w:t>
      </w:r>
      <w:r>
        <w:rPr>
          <w:rFonts w:ascii="Arial" w:cs="Arial" w:eastAsia="Arial" w:hAnsi="Arial"/>
          <w:sz w:val="17"/>
          <w:szCs w:val="17"/>
          <w:color w:val="auto"/>
        </w:rPr>
        <w:t xml:space="preserve"> Subject to Section 9.04 and any subordination provisions applicable to the Securities, all moneys deposited with the Trustee pursuant to Section 9.01 shall be held in trust and applied by it to the payment, either directly or through any paying agent (including the Issuer acting as its own paying agent), to the Holders of the particular Securities of such series for the payment or redemption of which such moneys have been deposited with the Trustee, of all sums due and to become due thereon for principal and interest; but such money need not be segregated from other funds except to the extent required by law.</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9" w:name="page150"/>
    <w:bookmarkEnd w:id="149"/>
    <w:p>
      <w:pPr>
        <w:ind w:right="100" w:firstLine="1296"/>
        <w:spacing w:after="0" w:line="259" w:lineRule="auto"/>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Repayment of Moneys Held by Paying Agent.</w:t>
      </w:r>
      <w:r>
        <w:rPr>
          <w:rFonts w:ascii="Arial" w:cs="Arial" w:eastAsia="Arial" w:hAnsi="Arial"/>
          <w:sz w:val="18"/>
          <w:szCs w:val="18"/>
          <w:color w:val="auto"/>
        </w:rPr>
        <w:t xml:space="preserve"> In connection with the satisfaction and discharge of this Indenture with respect to Securities of any series, all moneys then held by any paying agent under the provisions of this Indenture with respect to such series of Securities shall, upon demand of the Issuer, be repaid to it or paid to the Trustee and thereupon such paying agent shall be released from all further liability with respect to such moneys.</w:t>
      </w:r>
    </w:p>
    <w:p>
      <w:pPr>
        <w:spacing w:after="0" w:line="187" w:lineRule="exact"/>
        <w:rPr>
          <w:sz w:val="20"/>
          <w:szCs w:val="20"/>
          <w:color w:val="auto"/>
        </w:rPr>
      </w:pPr>
    </w:p>
    <w:p>
      <w:pPr>
        <w:ind w:right="60" w:firstLine="1296"/>
        <w:spacing w:after="0" w:line="272" w:lineRule="auto"/>
        <w:rPr>
          <w:sz w:val="20"/>
          <w:szCs w:val="20"/>
          <w:color w:val="auto"/>
        </w:rPr>
      </w:pPr>
      <w:r>
        <w:rPr>
          <w:rFonts w:ascii="Arial" w:cs="Arial" w:eastAsia="Arial" w:hAnsi="Arial"/>
          <w:sz w:val="17"/>
          <w:szCs w:val="17"/>
          <w:color w:val="auto"/>
        </w:rPr>
        <w:t xml:space="preserve">SECTION 9.04. </w:t>
      </w:r>
      <w:r>
        <w:rPr>
          <w:rFonts w:ascii="Arial" w:cs="Arial" w:eastAsia="Arial" w:hAnsi="Arial"/>
          <w:sz w:val="17"/>
          <w:szCs w:val="17"/>
          <w:u w:val="single" w:color="auto"/>
          <w:color w:val="auto"/>
        </w:rPr>
        <w:t>Return of Moneys Held by Trustee and Paying Agent Unclaimed for Two Years.</w:t>
      </w:r>
      <w:r>
        <w:rPr>
          <w:rFonts w:ascii="Arial" w:cs="Arial" w:eastAsia="Arial" w:hAnsi="Arial"/>
          <w:sz w:val="17"/>
          <w:szCs w:val="17"/>
          <w:color w:val="auto"/>
        </w:rPr>
        <w:t xml:space="preserve"> Any moneys deposited with or paid to the Trustee or any paying agent for the payment of the principal of or interest on any Security of any series and not applied but remaining unclaimed for two years after the date upon which such principal or interest shall have become due and payable, shall, upon the written request of the Issuer and unless otherwise required by mandatory provisions of applicable escheat or abandoned or unclaimed property laws, be repaid to the Issuer by the Trustee for such series or such paying agent, and the Holder of the Security of such series shall, unless otherwise required by mandatory provisions of applicable escheat or abandoned or unclaimed property laws, thereafter look only to the Issuer for any payment which such Holder may be entitled to collect, and all liability of the Trustee or any paying agent with respect to such moneys shall thereupon cease.</w:t>
      </w:r>
    </w:p>
    <w:p>
      <w:pPr>
        <w:spacing w:after="0" w:line="177" w:lineRule="exact"/>
        <w:rPr>
          <w:sz w:val="20"/>
          <w:szCs w:val="20"/>
          <w:color w:val="auto"/>
        </w:rPr>
      </w:pPr>
    </w:p>
    <w:p>
      <w:pPr>
        <w:ind w:firstLine="1296"/>
        <w:spacing w:after="0" w:line="263" w:lineRule="auto"/>
        <w:rPr>
          <w:sz w:val="20"/>
          <w:szCs w:val="20"/>
          <w:color w:val="auto"/>
        </w:rPr>
      </w:pPr>
      <w:r>
        <w:rPr>
          <w:rFonts w:ascii="Arial" w:cs="Arial" w:eastAsia="Arial" w:hAnsi="Arial"/>
          <w:sz w:val="18"/>
          <w:szCs w:val="18"/>
          <w:color w:val="auto"/>
        </w:rPr>
        <w:t>The Issuer shall pay and indemnify the Trustee against any tax, fee or other charge imposed on or assessed against the U.S. Government Obligations deposited pursuant to Section 9.01 or the principal and interest received in respect thereof other than any such tax, fee or other charge which by law is for the account of the Holders of Outstanding Securities.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10</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Miscellaneous Provisions</w:t>
      </w:r>
    </w:p>
    <w:p>
      <w:pPr>
        <w:spacing w:after="0" w:line="225" w:lineRule="exact"/>
        <w:rPr>
          <w:sz w:val="20"/>
          <w:szCs w:val="20"/>
          <w:color w:val="auto"/>
        </w:rPr>
      </w:pPr>
    </w:p>
    <w:p>
      <w:pPr>
        <w:ind w:right="60" w:firstLine="1296"/>
        <w:spacing w:after="0" w:line="273" w:lineRule="auto"/>
        <w:rPr>
          <w:sz w:val="20"/>
          <w:szCs w:val="20"/>
          <w:color w:val="auto"/>
        </w:rPr>
      </w:pPr>
      <w:r>
        <w:rPr>
          <w:rFonts w:ascii="Arial" w:cs="Arial" w:eastAsia="Arial" w:hAnsi="Arial"/>
          <w:sz w:val="17"/>
          <w:szCs w:val="17"/>
          <w:color w:val="auto"/>
        </w:rPr>
        <w:t xml:space="preserve">SECTION 10.01. </w:t>
      </w:r>
      <w:r>
        <w:rPr>
          <w:rFonts w:ascii="Arial" w:cs="Arial" w:eastAsia="Arial" w:hAnsi="Arial"/>
          <w:sz w:val="17"/>
          <w:szCs w:val="17"/>
          <w:u w:val="single" w:color="auto"/>
          <w:color w:val="auto"/>
        </w:rPr>
        <w:t>General Partner, Members, Officers and Directors of Issuer Exempt from Individual Liability.</w:t>
      </w:r>
      <w:r>
        <w:rPr>
          <w:rFonts w:ascii="Arial" w:cs="Arial" w:eastAsia="Arial" w:hAnsi="Arial"/>
          <w:sz w:val="17"/>
          <w:szCs w:val="17"/>
          <w:color w:val="auto"/>
        </w:rPr>
        <w:t xml:space="preserve"> No recourse under or upon any obligation, covenant or agreement contained in this Indenture, or in any Security, or because of any indebtedness evidenced thereby, shall be had against any past, present or future managing member or general partner, member, officer or director, as such, of the Issuer or of any successor, either directly or through the Issuer or any successor, under any rule of law, statute or constitutional provision or by the enforcement of any assessment or by any legal or equitable proceeding or otherwise, all such liability being expressly waived and released by the acceptance of the Securities by the Holders thereof and as part of the consideration for the issue of the Securities.</w:t>
      </w:r>
    </w:p>
    <w:p>
      <w:pPr>
        <w:spacing w:after="0" w:line="178" w:lineRule="exact"/>
        <w:rPr>
          <w:sz w:val="20"/>
          <w:szCs w:val="20"/>
          <w:color w:val="auto"/>
        </w:rPr>
      </w:pPr>
    </w:p>
    <w:p>
      <w:pPr>
        <w:ind w:right="60" w:firstLine="1296"/>
        <w:spacing w:after="0" w:line="311" w:lineRule="auto"/>
        <w:rPr>
          <w:sz w:val="20"/>
          <w:szCs w:val="20"/>
          <w:color w:val="auto"/>
        </w:rPr>
      </w:pPr>
      <w:r>
        <w:rPr>
          <w:rFonts w:ascii="Arial" w:cs="Arial" w:eastAsia="Arial" w:hAnsi="Arial"/>
          <w:sz w:val="16"/>
          <w:szCs w:val="16"/>
          <w:color w:val="auto"/>
        </w:rPr>
        <w:t xml:space="preserve">SECTION 10.02. </w:t>
      </w:r>
      <w:r>
        <w:rPr>
          <w:rFonts w:ascii="Arial" w:cs="Arial" w:eastAsia="Arial" w:hAnsi="Arial"/>
          <w:sz w:val="16"/>
          <w:szCs w:val="16"/>
          <w:u w:val="single" w:color="auto"/>
          <w:color w:val="auto"/>
        </w:rPr>
        <w:t>Provisions of Indenture for the Sole Benefit of Parties and Securityholders.</w:t>
      </w:r>
      <w:r>
        <w:rPr>
          <w:rFonts w:ascii="Arial" w:cs="Arial" w:eastAsia="Arial" w:hAnsi="Arial"/>
          <w:sz w:val="16"/>
          <w:szCs w:val="16"/>
          <w:color w:val="auto"/>
        </w:rPr>
        <w:t xml:space="preserve"> Nothing in this Indenture or in the Securities, expressed or implied, shall give or be construed to give to any person, firm or corporation, other than the parties hereto and their successors and the Holders of the Securities, any legal or equitable right, remedy or claim under this Indenture or under any covenant or provision herein</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50" w:name="page151"/>
    <w:bookmarkEnd w:id="150"/>
    <w:p>
      <w:pPr>
        <w:spacing w:after="0"/>
        <w:rPr>
          <w:sz w:val="20"/>
          <w:szCs w:val="20"/>
          <w:color w:val="auto"/>
        </w:rPr>
      </w:pPr>
      <w:r>
        <w:rPr>
          <w:rFonts w:ascii="Arial" w:cs="Arial" w:eastAsia="Arial" w:hAnsi="Arial"/>
          <w:sz w:val="17"/>
          <w:szCs w:val="17"/>
          <w:color w:val="auto"/>
        </w:rPr>
        <w:t>contained, all such covenants and provisions being for the sole benefit of the parties hereto and their successors and of the Holders of the Securities.</w:t>
      </w:r>
    </w:p>
    <w:p>
      <w:pPr>
        <w:spacing w:after="0" w:line="237" w:lineRule="exact"/>
        <w:rPr>
          <w:sz w:val="20"/>
          <w:szCs w:val="20"/>
          <w:color w:val="auto"/>
        </w:rPr>
      </w:pPr>
    </w:p>
    <w:p>
      <w:pPr>
        <w:ind w:right="60" w:firstLine="1296"/>
        <w:spacing w:after="0" w:line="277" w:lineRule="auto"/>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u w:val="single" w:color="auto"/>
          <w:color w:val="auto"/>
        </w:rPr>
        <w:t>Successors and Assigns of Issuer Bound by Indenture.</w:t>
      </w:r>
      <w:r>
        <w:rPr>
          <w:rFonts w:ascii="Arial" w:cs="Arial" w:eastAsia="Arial" w:hAnsi="Arial"/>
          <w:sz w:val="18"/>
          <w:szCs w:val="18"/>
          <w:color w:val="auto"/>
        </w:rPr>
        <w:t xml:space="preserve"> All the covenants, stipulations, promises and agreements in this Indenture contained by or in behalf of the Issuer shall bind its successors and assigns, whether so expressed or not.</w:t>
      </w:r>
    </w:p>
    <w:p>
      <w:pPr>
        <w:spacing w:after="0" w:line="170" w:lineRule="exact"/>
        <w:rPr>
          <w:sz w:val="20"/>
          <w:szCs w:val="20"/>
          <w:color w:val="auto"/>
        </w:rPr>
      </w:pPr>
    </w:p>
    <w:p>
      <w:pPr>
        <w:ind w:right="160" w:firstLine="1296"/>
        <w:spacing w:after="0" w:line="259" w:lineRule="auto"/>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u w:val="single" w:color="auto"/>
          <w:color w:val="auto"/>
        </w:rPr>
        <w:t>Notices and Demands on Issuer, Trustee and Securityholders.</w:t>
      </w:r>
      <w:r>
        <w:rPr>
          <w:rFonts w:ascii="Arial" w:cs="Arial" w:eastAsia="Arial" w:hAnsi="Arial"/>
          <w:sz w:val="18"/>
          <w:szCs w:val="18"/>
          <w:color w:val="auto"/>
        </w:rPr>
        <w:t xml:space="preserve"> Any notice or demand which by any provision of this Indenture is required or permitted to be given or served by the Trustee or by the Holders of Securities to or on the Issuer may be given or served by being deposited postage prepaid, first-class mail (except as otherwise specifically provided herein) addressed (until another address of the Issuer is filed by the Issuer with the Trustee) to GasLog Partners LP at the following address: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GasLog Partners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GasLog LNG Services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69 Akti Miaouli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18537 Piraeus Greece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copies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Cravath Swaine &amp; Moore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825 Eighth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9"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D. Scott Bennett, Esq.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(212) 474-3700</w:t>
      </w:r>
    </w:p>
    <w:p>
      <w:pPr>
        <w:spacing w:after="0" w:line="211" w:lineRule="exact"/>
        <w:rPr>
          <w:sz w:val="20"/>
          <w:szCs w:val="20"/>
          <w:color w:val="auto"/>
        </w:rPr>
      </w:pPr>
    </w:p>
    <w:p>
      <w:pPr>
        <w:ind w:right="600" w:firstLine="1296"/>
        <w:spacing w:after="0" w:line="277" w:lineRule="auto"/>
        <w:rPr>
          <w:sz w:val="20"/>
          <w:szCs w:val="20"/>
          <w:color w:val="auto"/>
        </w:rPr>
      </w:pPr>
      <w:r>
        <w:rPr>
          <w:rFonts w:ascii="Arial" w:cs="Arial" w:eastAsia="Arial" w:hAnsi="Arial"/>
          <w:sz w:val="18"/>
          <w:szCs w:val="18"/>
          <w:color w:val="auto"/>
        </w:rPr>
        <w:t>Any notice, direction, request or demand by the Issuer or any Securityholder to or upon the Trustee shall be deemed to have been sufficiently given or made, for all purposes, if delivered in person or mailed by first-class mail to the Trustee at [ ].</w:t>
      </w:r>
    </w:p>
    <w:p>
      <w:pPr>
        <w:spacing w:after="0" w:line="170" w:lineRule="exact"/>
        <w:rPr>
          <w:sz w:val="20"/>
          <w:szCs w:val="20"/>
          <w:color w:val="auto"/>
        </w:rPr>
      </w:pPr>
    </w:p>
    <w:p>
      <w:pPr>
        <w:ind w:firstLine="1296"/>
        <w:spacing w:after="0" w:line="293" w:lineRule="auto"/>
        <w:rPr>
          <w:sz w:val="20"/>
          <w:szCs w:val="20"/>
          <w:color w:val="auto"/>
        </w:rPr>
      </w:pPr>
      <w:r>
        <w:rPr>
          <w:rFonts w:ascii="Arial" w:cs="Arial" w:eastAsia="Arial" w:hAnsi="Arial"/>
          <w:sz w:val="16"/>
          <w:szCs w:val="16"/>
          <w:color w:val="auto"/>
        </w:rPr>
        <w:t>Where this Indenture provides for notice to Holders, such notice shall be sufficiently given (unless otherwise herein expressly provided) if in writing and mailed, first-class postage prepaid, to each Holder entitled thereto, at his last address as it appears in the Security register. In any case where notice to Holders is given by mail, neither the failure to mail such notice, nor any defect in any notice so mailed, to any particular Holder shall affect the sufficiency of such notice with respect to other Holders. 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151" w:name="page152"/>
    <w:bookmarkEnd w:id="151"/>
    <w:p>
      <w:pPr>
        <w:ind w:right="220" w:firstLine="1296"/>
        <w:spacing w:after="0" w:line="263" w:lineRule="auto"/>
        <w:rPr>
          <w:sz w:val="20"/>
          <w:szCs w:val="20"/>
          <w:color w:val="auto"/>
        </w:rPr>
      </w:pPr>
      <w:r>
        <w:rPr>
          <w:rFonts w:ascii="Arial" w:cs="Arial" w:eastAsia="Arial" w:hAnsi="Arial"/>
          <w:sz w:val="18"/>
          <w:szCs w:val="18"/>
          <w:color w:val="auto"/>
        </w:rPr>
        <w:t>In case, by reason of the suspension of or irregularities in regular mail service, it shall be impracticable to mail notice to the Issuer and Securityholders when such notice is required to be given pursuant to any provision of this Indenture, then any manner of giving such notice as shall be satisfactory to the Trustee shall be deemed to be a sufficient giving of such notice.</w:t>
      </w:r>
    </w:p>
    <w:p>
      <w:pPr>
        <w:spacing w:after="0" w:line="184" w:lineRule="exact"/>
        <w:rPr>
          <w:sz w:val="20"/>
          <w:szCs w:val="20"/>
          <w:color w:val="auto"/>
        </w:rPr>
      </w:pPr>
    </w:p>
    <w:p>
      <w:pPr>
        <w:ind w:firstLine="1296"/>
        <w:spacing w:after="0" w:line="288" w:lineRule="auto"/>
        <w:rPr>
          <w:sz w:val="20"/>
          <w:szCs w:val="20"/>
          <w:color w:val="auto"/>
        </w:rPr>
      </w:pPr>
      <w:r>
        <w:rPr>
          <w:rFonts w:ascii="Arial" w:cs="Arial" w:eastAsia="Arial" w:hAnsi="Arial"/>
          <w:sz w:val="16"/>
          <w:szCs w:val="16"/>
          <w:color w:val="auto"/>
        </w:rPr>
        <w:t>Notwithstanding anything to the contrary, the Trustee agrees to accept and act upon instructions or directions pursuant to this Indenture sent by unsecured e-mail, pdf, facsimile transmission or other similar unsecured electronic methods; provided, however, that (a) the party providing such written instructions, subsequent to such transmission of written instructions, shall provide the originally executed instructions or directions to the Trustee in a timely manner and (b) such originally executed instructions or directions shall be signed by an authorized representative of the party providing such instructions or directions. If the party elects to give the Trustee e-mail or facsimile instructions (or instructions by a similar electronic method) and the Trustee in its discretion elects to act upon such instructions, the Trustee’s understanding of such instructions shall be deemed controlling. The Trustee shall not be liable for any losses, costs or expenses arising directly or indirectly from the Trustee’s reliance upon and compliance with such instructions notwithstanding such instructions conflict or are inconsistent with a subsequent written instruction. The party providing electronic instructions agrees to assume all risks arising out of the use of such electronic methods to submit instructions and directions to the Trustee, including without limitation the risk of the Trustee acting on unauthorized instructions, and the risk of interception and misuse by third parties.</w:t>
      </w:r>
    </w:p>
    <w:p>
      <w:pPr>
        <w:spacing w:after="0" w:line="168" w:lineRule="exact"/>
        <w:rPr>
          <w:sz w:val="20"/>
          <w:szCs w:val="20"/>
          <w:color w:val="auto"/>
        </w:rPr>
      </w:pPr>
    </w:p>
    <w:p>
      <w:pPr>
        <w:ind w:right="140" w:firstLine="1296"/>
        <w:spacing w:after="0" w:line="286" w:lineRule="auto"/>
        <w:rPr>
          <w:sz w:val="20"/>
          <w:szCs w:val="20"/>
          <w:color w:val="auto"/>
        </w:rPr>
      </w:pPr>
      <w:r>
        <w:rPr>
          <w:rFonts w:ascii="Arial" w:cs="Arial" w:eastAsia="Arial" w:hAnsi="Arial"/>
          <w:sz w:val="17"/>
          <w:szCs w:val="17"/>
          <w:color w:val="auto"/>
        </w:rPr>
        <w:t xml:space="preserve">SECTION 10.05. </w:t>
      </w:r>
      <w:r>
        <w:rPr>
          <w:rFonts w:ascii="Arial" w:cs="Arial" w:eastAsia="Arial" w:hAnsi="Arial"/>
          <w:sz w:val="17"/>
          <w:szCs w:val="17"/>
          <w:u w:val="single" w:color="auto"/>
          <w:color w:val="auto"/>
        </w:rPr>
        <w:t>Communication by Securityholders with Other Securityholders</w:t>
      </w:r>
      <w:r>
        <w:rPr>
          <w:rFonts w:ascii="Arial" w:cs="Arial" w:eastAsia="Arial" w:hAnsi="Arial"/>
          <w:sz w:val="17"/>
          <w:szCs w:val="17"/>
          <w:color w:val="auto"/>
        </w:rPr>
        <w:t>. Securityholders may communicate pursuant to Section 312(b) of the Trust Indenture Act of 1939 with other Securityholders with respect to their rights under this Indenture or the Securities. The Issuer, the Trustee, any registrar and anyone else shall have the protection of Section 312(c) of the Trust Indenture Act of 1939.</w:t>
      </w:r>
    </w:p>
    <w:p>
      <w:pPr>
        <w:spacing w:after="0" w:line="165" w:lineRule="exact"/>
        <w:rPr>
          <w:sz w:val="20"/>
          <w:szCs w:val="20"/>
          <w:color w:val="auto"/>
        </w:rPr>
      </w:pPr>
    </w:p>
    <w:p>
      <w:pPr>
        <w:ind w:right="120" w:firstLine="1296"/>
        <w:spacing w:after="0" w:line="279" w:lineRule="auto"/>
        <w:rPr>
          <w:sz w:val="20"/>
          <w:szCs w:val="20"/>
          <w:color w:val="auto"/>
        </w:rPr>
      </w:pPr>
      <w:r>
        <w:rPr>
          <w:rFonts w:ascii="Arial" w:cs="Arial" w:eastAsia="Arial" w:hAnsi="Arial"/>
          <w:sz w:val="17"/>
          <w:szCs w:val="17"/>
          <w:color w:val="auto"/>
        </w:rPr>
        <w:t xml:space="preserve">SECTION 10.06. </w:t>
      </w:r>
      <w:r>
        <w:rPr>
          <w:rFonts w:ascii="Arial" w:cs="Arial" w:eastAsia="Arial" w:hAnsi="Arial"/>
          <w:sz w:val="17"/>
          <w:szCs w:val="17"/>
          <w:u w:val="single" w:color="auto"/>
          <w:color w:val="auto"/>
        </w:rPr>
        <w:t>Officers’ Certificates and Opinions of Counsel; Statements to be Contained Therein.</w:t>
      </w:r>
      <w:r>
        <w:rPr>
          <w:rFonts w:ascii="Arial" w:cs="Arial" w:eastAsia="Arial" w:hAnsi="Arial"/>
          <w:sz w:val="17"/>
          <w:szCs w:val="17"/>
          <w:color w:val="auto"/>
        </w:rPr>
        <w:t xml:space="preserve"> Upon any application or demand by the Issuer to the Trustee to take any action under any of the provisions of this Indenture, the Issuer shall furnish to the Trustee an Officers’ Certificate stating that all conditions precedent provided for in this Indenture relating to the proposed action have been complied with and an Opinion of Counsel stating that in the opinion of such counsel all such conditions precedent have been complied with.</w:t>
      </w:r>
    </w:p>
    <w:p>
      <w:pPr>
        <w:spacing w:after="0" w:line="171" w:lineRule="exact"/>
        <w:rPr>
          <w:sz w:val="20"/>
          <w:szCs w:val="20"/>
          <w:color w:val="auto"/>
        </w:rPr>
      </w:pPr>
    </w:p>
    <w:p>
      <w:pPr>
        <w:ind w:right="20" w:firstLine="1296"/>
        <w:spacing w:after="0" w:line="291" w:lineRule="auto"/>
        <w:rPr>
          <w:sz w:val="20"/>
          <w:szCs w:val="20"/>
          <w:color w:val="auto"/>
        </w:rPr>
      </w:pPr>
      <w:r>
        <w:rPr>
          <w:rFonts w:ascii="Arial" w:cs="Arial" w:eastAsia="Arial" w:hAnsi="Arial"/>
          <w:sz w:val="16"/>
          <w:szCs w:val="16"/>
          <w:color w:val="auto"/>
        </w:rPr>
        <w:t>Each certificate or opinion provided for in this Indenture and delivered to the Trustee with respect to compliance with a condition or covenant provided for in this Indenture shall include (a) a statement that the person making such certificate or opinion has read such covenant or condition,</w:t>
      </w:r>
    </w:p>
    <w:p>
      <w:pPr>
        <w:ind w:right="200" w:firstLine="8"/>
        <w:spacing w:after="0" w:line="255" w:lineRule="auto"/>
        <w:tabs>
          <w:tab w:leader="none" w:pos="25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 (c) a statement that, in the opinion of such person, he has made such examination or investigation as is necessary to enable him to express an informed opinion as to whether or not such covenant or condition has been complied with</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color w:val="auto"/>
        </w:rPr>
        <w:t>and (d) a statement as to whether or not, in the opinion of such person, such condition or covenant has been complied with.</w:t>
      </w:r>
    </w:p>
    <w:p>
      <w:pPr>
        <w:spacing w:after="0" w:line="225" w:lineRule="exact"/>
        <w:rPr>
          <w:sz w:val="20"/>
          <w:szCs w:val="20"/>
          <w:color w:val="auto"/>
        </w:rPr>
      </w:pPr>
    </w:p>
    <w:p>
      <w:pPr>
        <w:ind w:firstLine="1296"/>
        <w:spacing w:after="0" w:line="272" w:lineRule="auto"/>
        <w:rPr>
          <w:sz w:val="20"/>
          <w:szCs w:val="20"/>
          <w:color w:val="auto"/>
        </w:rPr>
      </w:pPr>
      <w:r>
        <w:rPr>
          <w:rFonts w:ascii="Arial" w:cs="Arial" w:eastAsia="Arial" w:hAnsi="Arial"/>
          <w:sz w:val="17"/>
          <w:szCs w:val="17"/>
          <w:color w:val="auto"/>
        </w:rPr>
        <w:t>Any certificate, statement or opinion of an officer of the Issuer may be based, insofar as it relates to legal matters, upon a certificate or opinion of or representations by counsel, unless such officer knows that the certificate or opinion or representations with respect to the matters upon which his certificate, statement or opinion may be based as aforesaid are erroneous, or in the exercise of reasonable care should know that the same are erroneous. Any certificate, statement or opinion of counsel may be based, insofar as it relates to factual matters, information with respect to which is in the possession of the Issuer, upon the certificate, statement or opinion of or representations by an officer or officers of the Issuer, unless such counsel knows that the certificate, statement or opinion or representations with respect to the matters upon which his certificate, statement or opinion may be based as aforesaid are erroneous, or in the exercise of reasonable care should know that the same are erroneous.</w:t>
      </w:r>
    </w:p>
    <w:p>
      <w:pPr>
        <w:spacing w:after="0" w:line="177" w:lineRule="exact"/>
        <w:rPr>
          <w:sz w:val="20"/>
          <w:szCs w:val="20"/>
          <w:color w:val="auto"/>
        </w:rPr>
      </w:pPr>
    </w:p>
    <w:p>
      <w:pPr>
        <w:ind w:right="80" w:firstLine="1296"/>
        <w:spacing w:after="0" w:line="301" w:lineRule="auto"/>
        <w:rPr>
          <w:sz w:val="20"/>
          <w:szCs w:val="20"/>
          <w:color w:val="auto"/>
        </w:rPr>
      </w:pPr>
      <w:r>
        <w:rPr>
          <w:rFonts w:ascii="Arial" w:cs="Arial" w:eastAsia="Arial" w:hAnsi="Arial"/>
          <w:sz w:val="16"/>
          <w:szCs w:val="16"/>
          <w:color w:val="auto"/>
        </w:rPr>
        <w:t>Any certificate, statement or opinion of an officer of the Issuer or of counsel may be based, insofar as it relates to accounting matters, upon a certificate or opinion of or representations by an accountant or firm of accountants in the employ of the Issuer, unless such officer or counsel, as the case may be, knows that the certificate or opinion or representations with respect to the accounting matters upon which his certificate, statement or opinion may be based as aforesaid are erroneous, or in the exercise of reasonable care should know that the same are erroneous.</w:t>
      </w:r>
    </w:p>
    <w:p>
      <w:pPr>
        <w:spacing w:after="0" w:line="15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Any certificate or opinion of any independent firm of public accountants filed with the Trustee shall contain a statement that such firm 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independent.</w:t>
      </w:r>
    </w:p>
    <w:p>
      <w:pPr>
        <w:spacing w:after="0" w:line="211" w:lineRule="exact"/>
        <w:rPr>
          <w:sz w:val="20"/>
          <w:szCs w:val="20"/>
          <w:color w:val="auto"/>
        </w:rPr>
      </w:pPr>
    </w:p>
    <w:p>
      <w:pPr>
        <w:jc w:val="both"/>
        <w:ind w:right="80" w:firstLine="1296"/>
        <w:spacing w:after="0" w:line="259" w:lineRule="auto"/>
        <w:rPr>
          <w:sz w:val="20"/>
          <w:szCs w:val="20"/>
          <w:color w:val="auto"/>
        </w:rPr>
      </w:pPr>
      <w:r>
        <w:rPr>
          <w:rFonts w:ascii="Arial" w:cs="Arial" w:eastAsia="Arial" w:hAnsi="Arial"/>
          <w:sz w:val="18"/>
          <w:szCs w:val="18"/>
          <w:color w:val="auto"/>
        </w:rPr>
        <w:t xml:space="preserve">SECTION 10.07. </w:t>
      </w:r>
      <w:r>
        <w:rPr>
          <w:rFonts w:ascii="Arial" w:cs="Arial" w:eastAsia="Arial" w:hAnsi="Arial"/>
          <w:sz w:val="18"/>
          <w:szCs w:val="18"/>
          <w:u w:val="single" w:color="auto"/>
          <w:color w:val="auto"/>
        </w:rPr>
        <w:t>Payments Due on Saturdays, Sundays and Holidays.</w:t>
      </w:r>
      <w:r>
        <w:rPr>
          <w:rFonts w:ascii="Arial" w:cs="Arial" w:eastAsia="Arial" w:hAnsi="Arial"/>
          <w:sz w:val="18"/>
          <w:szCs w:val="18"/>
          <w:color w:val="auto"/>
        </w:rPr>
        <w:t xml:space="preserve"> If the date of maturity of interest on or principal of the Securities of any series or the date fixed for redemption or repayment of any such Security shall not be a Business Day, then payment of interest or principal need not be made on such date, but may be made on the next succeeding Business Day with the same force and effect as if made on the date of maturity or the date fixed for redemption, and no interest shall accrue for the period after such date.</w:t>
      </w:r>
    </w:p>
    <w:p>
      <w:pPr>
        <w:spacing w:after="0" w:line="187" w:lineRule="exact"/>
        <w:rPr>
          <w:sz w:val="20"/>
          <w:szCs w:val="20"/>
          <w:color w:val="auto"/>
        </w:rPr>
      </w:pPr>
    </w:p>
    <w:p>
      <w:pPr>
        <w:ind w:right="160" w:firstLine="1296"/>
        <w:spacing w:after="0" w:line="263" w:lineRule="auto"/>
        <w:rPr>
          <w:sz w:val="20"/>
          <w:szCs w:val="20"/>
          <w:color w:val="auto"/>
        </w:rPr>
      </w:pPr>
      <w:r>
        <w:rPr>
          <w:rFonts w:ascii="Arial" w:cs="Arial" w:eastAsia="Arial" w:hAnsi="Arial"/>
          <w:sz w:val="18"/>
          <w:szCs w:val="18"/>
          <w:color w:val="auto"/>
        </w:rPr>
        <w:t xml:space="preserve">SECTION 10.08. </w:t>
      </w:r>
      <w:r>
        <w:rPr>
          <w:rFonts w:ascii="Arial" w:cs="Arial" w:eastAsia="Arial" w:hAnsi="Arial"/>
          <w:sz w:val="18"/>
          <w:szCs w:val="18"/>
          <w:u w:val="single" w:color="auto"/>
          <w:color w:val="auto"/>
        </w:rPr>
        <w:t>Conflict of any Provision of Indenture with Trust Indenture Act of 1939.</w:t>
      </w:r>
      <w:r>
        <w:rPr>
          <w:rFonts w:ascii="Arial" w:cs="Arial" w:eastAsia="Arial" w:hAnsi="Arial"/>
          <w:sz w:val="18"/>
          <w:szCs w:val="18"/>
          <w:color w:val="auto"/>
        </w:rPr>
        <w:t xml:space="preserve"> If and to the extent that any provision of this Indenture limits, qualifies or conflicts with another provision included in this Indenture by operation of Sections 310 to 317, inclusive, of the Trust Indenture Act of 1939 (an “</w:t>
      </w:r>
      <w:r>
        <w:rPr>
          <w:rFonts w:ascii="Arial" w:cs="Arial" w:eastAsia="Arial" w:hAnsi="Arial"/>
          <w:sz w:val="18"/>
          <w:szCs w:val="18"/>
          <w:u w:val="single" w:color="auto"/>
          <w:color w:val="auto"/>
        </w:rPr>
        <w:t>incorporated provision</w:t>
      </w:r>
      <w:r>
        <w:rPr>
          <w:rFonts w:ascii="Arial" w:cs="Arial" w:eastAsia="Arial" w:hAnsi="Arial"/>
          <w:sz w:val="18"/>
          <w:szCs w:val="18"/>
          <w:color w:val="auto"/>
        </w:rPr>
        <w:t>”), such incorporated provision shall control.</w:t>
      </w:r>
    </w:p>
    <w:p>
      <w:pPr>
        <w:spacing w:after="0" w:line="184" w:lineRule="exact"/>
        <w:rPr>
          <w:sz w:val="20"/>
          <w:szCs w:val="20"/>
          <w:color w:val="auto"/>
        </w:rPr>
      </w:pPr>
    </w:p>
    <w:p>
      <w:pPr>
        <w:ind w:right="220" w:firstLine="1296"/>
        <w:spacing w:after="0" w:line="277" w:lineRule="auto"/>
        <w:rPr>
          <w:sz w:val="20"/>
          <w:szCs w:val="20"/>
          <w:color w:val="auto"/>
        </w:rPr>
      </w:pPr>
      <w:r>
        <w:rPr>
          <w:rFonts w:ascii="Arial" w:cs="Arial" w:eastAsia="Arial" w:hAnsi="Arial"/>
          <w:sz w:val="18"/>
          <w:szCs w:val="18"/>
          <w:color w:val="auto"/>
        </w:rPr>
        <w:t xml:space="preserve">SECTION 10.09. </w:t>
      </w:r>
      <w:r>
        <w:rPr>
          <w:rFonts w:ascii="Arial" w:cs="Arial" w:eastAsia="Arial" w:hAnsi="Arial"/>
          <w:sz w:val="18"/>
          <w:szCs w:val="18"/>
          <w:u w:val="single" w:color="auto"/>
          <w:color w:val="auto"/>
        </w:rPr>
        <w:t>New York Law to Govern.</w:t>
      </w:r>
      <w:r>
        <w:rPr>
          <w:rFonts w:ascii="Arial" w:cs="Arial" w:eastAsia="Arial" w:hAnsi="Arial"/>
          <w:sz w:val="18"/>
          <w:szCs w:val="18"/>
          <w:color w:val="auto"/>
        </w:rPr>
        <w:t xml:space="preserve"> This Indenture and each Security shall be governed by, and construed in accordance with, the laws of the State of New York, except as may otherwise be required by mandatory provisions of law.</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53" w:name="page154"/>
    <w:bookmarkEnd w:id="153"/>
    <w:p>
      <w:pPr>
        <w:ind w:right="260" w:firstLine="1296"/>
        <w:spacing w:after="0" w:line="277" w:lineRule="auto"/>
        <w:rPr>
          <w:sz w:val="20"/>
          <w:szCs w:val="20"/>
          <w:color w:val="auto"/>
        </w:rPr>
      </w:pPr>
      <w:r>
        <w:rPr>
          <w:rFonts w:ascii="Arial" w:cs="Arial" w:eastAsia="Arial" w:hAnsi="Arial"/>
          <w:sz w:val="18"/>
          <w:szCs w:val="18"/>
          <w:color w:val="auto"/>
        </w:rPr>
        <w:t xml:space="preserve">SECTION 10.10. </w:t>
      </w: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This Indenture may be executed in any number of counterparts, each of which shall be an original; but such counterparts shall together constitute but one and the same instrument.</w:t>
      </w:r>
    </w:p>
    <w:p>
      <w:pPr>
        <w:spacing w:after="0" w:line="170" w:lineRule="exact"/>
        <w:rPr>
          <w:sz w:val="20"/>
          <w:szCs w:val="20"/>
          <w:color w:val="auto"/>
        </w:rPr>
      </w:pPr>
    </w:p>
    <w:p>
      <w:pPr>
        <w:ind w:right="280" w:firstLine="1296"/>
        <w:spacing w:after="0" w:line="277" w:lineRule="auto"/>
        <w:rPr>
          <w:sz w:val="20"/>
          <w:szCs w:val="20"/>
          <w:color w:val="auto"/>
        </w:rPr>
      </w:pPr>
      <w:r>
        <w:rPr>
          <w:rFonts w:ascii="Arial" w:cs="Arial" w:eastAsia="Arial" w:hAnsi="Arial"/>
          <w:sz w:val="18"/>
          <w:szCs w:val="18"/>
          <w:color w:val="auto"/>
        </w:rPr>
        <w:t xml:space="preserve">SECTION 10.11. </w:t>
      </w:r>
      <w:r>
        <w:rPr>
          <w:rFonts w:ascii="Arial" w:cs="Arial" w:eastAsia="Arial" w:hAnsi="Arial"/>
          <w:sz w:val="18"/>
          <w:szCs w:val="18"/>
          <w:u w:val="single" w:color="auto"/>
          <w:color w:val="auto"/>
        </w:rPr>
        <w:t>Effect of Headings.</w:t>
      </w:r>
      <w:r>
        <w:rPr>
          <w:rFonts w:ascii="Arial" w:cs="Arial" w:eastAsia="Arial" w:hAnsi="Arial"/>
          <w:sz w:val="18"/>
          <w:szCs w:val="18"/>
          <w:color w:val="auto"/>
        </w:rPr>
        <w:t xml:space="preserve"> The Article and Section headings herein and the Table of Contents are for convenience only and shall not affect the construction hereof.</w:t>
      </w:r>
    </w:p>
    <w:p>
      <w:pPr>
        <w:spacing w:after="0" w:line="170" w:lineRule="exact"/>
        <w:rPr>
          <w:sz w:val="20"/>
          <w:szCs w:val="20"/>
          <w:color w:val="auto"/>
        </w:rPr>
      </w:pPr>
    </w:p>
    <w:p>
      <w:pPr>
        <w:ind w:firstLine="1296"/>
        <w:spacing w:after="0" w:line="287" w:lineRule="auto"/>
        <w:rPr>
          <w:sz w:val="20"/>
          <w:szCs w:val="20"/>
          <w:color w:val="auto"/>
        </w:rPr>
      </w:pPr>
      <w:r>
        <w:rPr>
          <w:rFonts w:ascii="Arial" w:cs="Arial" w:eastAsia="Arial" w:hAnsi="Arial"/>
          <w:sz w:val="16"/>
          <w:szCs w:val="16"/>
          <w:color w:val="auto"/>
        </w:rPr>
        <w:t xml:space="preserve">SECTION 10.12. </w:t>
      </w:r>
      <w:r>
        <w:rPr>
          <w:rFonts w:ascii="Arial" w:cs="Arial" w:eastAsia="Arial" w:hAnsi="Arial"/>
          <w:sz w:val="16"/>
          <w:szCs w:val="16"/>
          <w:u w:val="single" w:color="auto"/>
          <w:color w:val="auto"/>
        </w:rPr>
        <w:t>Securities in a Non-U.S. Currency.</w:t>
      </w:r>
      <w:r>
        <w:rPr>
          <w:rFonts w:ascii="Arial" w:cs="Arial" w:eastAsia="Arial" w:hAnsi="Arial"/>
          <w:sz w:val="16"/>
          <w:szCs w:val="16"/>
          <w:color w:val="auto"/>
        </w:rPr>
        <w:t xml:space="preserve"> Unless otherwise specified in an Officers’ Certificate delivered pursuant to Section 2.03 of this Indenture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Outstanding Securities of any series which are denominated in a coin or currency other than U.S. Dollars, then the principal amount of Securities of such series which shall be deemed to be Outstanding for the purpose of taking such action shall be that amount of U.S. Dollars that could be obtained for such amount at the Market Exchange Rate. For purposes of this Section 10.12, Market Exchange Rate shall mean the noon Dollar buying rate in New York City for cable transfers of that currency as published by the Federal Reserve Bank of New York. If such Market Exchange Rate is not available for any reason with respect to such currency, the Trustee shall use, in its sole discretion and without liability on its part, such quotation of the Federal Reserve Bank of New York as of the most recent available date, or quotations from one or more major banks in the City of New York or in the country of issue of the currency in question, or such other quotations as the Trustee shall deem appropriate. The provisions of this paragraph shall apply in determining the equivalent principal amount in respect of Securities of a series denominated in a currency other than U.S. Dollars in connection with any action taken by Holders of Securities pursuant to the terms of this Indenture.</w:t>
      </w:r>
    </w:p>
    <w:p>
      <w:pPr>
        <w:spacing w:after="0" w:line="168" w:lineRule="exact"/>
        <w:rPr>
          <w:sz w:val="20"/>
          <w:szCs w:val="20"/>
          <w:color w:val="auto"/>
        </w:rPr>
      </w:pPr>
    </w:p>
    <w:p>
      <w:pPr>
        <w:jc w:val="both"/>
        <w:ind w:right="100" w:firstLine="1296"/>
        <w:spacing w:after="0" w:line="263" w:lineRule="auto"/>
        <w:rPr>
          <w:sz w:val="20"/>
          <w:szCs w:val="20"/>
          <w:color w:val="auto"/>
        </w:rPr>
      </w:pPr>
      <w:r>
        <w:rPr>
          <w:rFonts w:ascii="Arial" w:cs="Arial" w:eastAsia="Arial" w:hAnsi="Arial"/>
          <w:sz w:val="18"/>
          <w:szCs w:val="18"/>
          <w:color w:val="auto"/>
        </w:rPr>
        <w:t>All decisions and determinations of the Trustee regarding the Market Exchange Rate or any alternative determination provided for in the preceding paragraph shall be in its sole discretion and shall, in the absence of manifest error, be conclusive to the extent permitted by law for all purposes and irrevocably binding upon the Issuer and all Holders.</w:t>
      </w:r>
    </w:p>
    <w:p>
      <w:pPr>
        <w:spacing w:after="0" w:line="184" w:lineRule="exact"/>
        <w:rPr>
          <w:sz w:val="20"/>
          <w:szCs w:val="20"/>
          <w:color w:val="auto"/>
        </w:rPr>
      </w:pPr>
    </w:p>
    <w:p>
      <w:pPr>
        <w:ind w:right="120" w:firstLine="1296"/>
        <w:spacing w:after="0" w:line="272" w:lineRule="auto"/>
        <w:rPr>
          <w:sz w:val="20"/>
          <w:szCs w:val="20"/>
          <w:color w:val="auto"/>
        </w:rPr>
      </w:pPr>
      <w:r>
        <w:rPr>
          <w:rFonts w:ascii="Arial" w:cs="Arial" w:eastAsia="Arial" w:hAnsi="Arial"/>
          <w:sz w:val="17"/>
          <w:szCs w:val="17"/>
          <w:color w:val="auto"/>
        </w:rPr>
        <w:t xml:space="preserve">SECTION 10.13. </w:t>
      </w:r>
      <w:r>
        <w:rPr>
          <w:rFonts w:ascii="Arial" w:cs="Arial" w:eastAsia="Arial" w:hAnsi="Arial"/>
          <w:sz w:val="17"/>
          <w:szCs w:val="17"/>
          <w:u w:val="single" w:color="auto"/>
          <w:color w:val="auto"/>
        </w:rPr>
        <w:t>Submission to Jurisdiction.</w:t>
      </w:r>
      <w:r>
        <w:rPr>
          <w:rFonts w:ascii="Arial" w:cs="Arial" w:eastAsia="Arial" w:hAnsi="Arial"/>
          <w:sz w:val="17"/>
          <w:szCs w:val="17"/>
          <w:color w:val="auto"/>
        </w:rPr>
        <w:t xml:space="preserve"> The Issuer agrees that any legal suit, action or proceeding arising out of or based upon this Indenture may be instituted in any federal or state court sitting in New York City, and, to the fullest extent permitted by law, waives any objection which it may now or hereafter have to the laying of venue of any such proceeding, and irrevocably submits to the jurisdiction of such court in any suit, action or proceeding. The Issuer, as long as any of the Securities remain Outstanding or the parties hereto have any obligation under this Indenture, shall have an authorized agent (the “</w:t>
      </w:r>
      <w:r>
        <w:rPr>
          <w:rFonts w:ascii="Arial" w:cs="Arial" w:eastAsia="Arial" w:hAnsi="Arial"/>
          <w:sz w:val="17"/>
          <w:szCs w:val="17"/>
          <w:u w:val="single" w:color="auto"/>
          <w:color w:val="auto"/>
        </w:rPr>
        <w:t>Authorized Agent</w:t>
      </w:r>
      <w:r>
        <w:rPr>
          <w:rFonts w:ascii="Arial" w:cs="Arial" w:eastAsia="Arial" w:hAnsi="Arial"/>
          <w:sz w:val="17"/>
          <w:szCs w:val="17"/>
          <w:color w:val="auto"/>
        </w:rPr>
        <w:t>”) in the United States upon whom process may be served in any such legal action or proceeding. Service of process upon such agent and written notice of such service mailed or delivered to it shall to the extent permitted by law be deemed in every respect effective service of process upon it in any such legal action or</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54" w:name="page155"/>
    <w:bookmarkEnd w:id="154"/>
    <w:p>
      <w:pPr>
        <w:ind w:right="240"/>
        <w:spacing w:after="0" w:line="311" w:lineRule="auto"/>
        <w:rPr>
          <w:sz w:val="20"/>
          <w:szCs w:val="20"/>
          <w:color w:val="auto"/>
        </w:rPr>
      </w:pPr>
      <w:r>
        <w:rPr>
          <w:rFonts w:ascii="Arial" w:cs="Arial" w:eastAsia="Arial" w:hAnsi="Arial"/>
          <w:sz w:val="16"/>
          <w:szCs w:val="16"/>
          <w:color w:val="auto"/>
        </w:rPr>
        <w:t>proceeding and, if it fails to maintain such agent, any such process or summons may be served by mailing a copy thereof by registered mail, or a form of mail substantially equivalent thereto, addressed to it at its address as provided for notices hereunder. The Issuer hereby appoints [ ] as its agent for such purposes, and covenants and agrees that service of process in any legal action or proceeding may be made upon it at such office of such agent.</w:t>
      </w:r>
    </w:p>
    <w:p>
      <w:pPr>
        <w:spacing w:after="0" w:line="149" w:lineRule="exact"/>
        <w:rPr>
          <w:sz w:val="20"/>
          <w:szCs w:val="20"/>
          <w:color w:val="auto"/>
        </w:rPr>
      </w:pPr>
    </w:p>
    <w:p>
      <w:pPr>
        <w:ind w:right="40" w:firstLine="1296"/>
        <w:spacing w:after="0" w:line="286" w:lineRule="auto"/>
        <w:rPr>
          <w:sz w:val="20"/>
          <w:szCs w:val="20"/>
          <w:color w:val="auto"/>
        </w:rPr>
      </w:pPr>
      <w:r>
        <w:rPr>
          <w:rFonts w:ascii="Arial" w:cs="Arial" w:eastAsia="Arial" w:hAnsi="Arial"/>
          <w:sz w:val="16"/>
          <w:szCs w:val="16"/>
          <w:color w:val="auto"/>
        </w:rPr>
        <w:t xml:space="preserve">SECTION 10.14. </w:t>
      </w:r>
      <w:r>
        <w:rPr>
          <w:rFonts w:ascii="Arial" w:cs="Arial" w:eastAsia="Arial" w:hAnsi="Arial"/>
          <w:sz w:val="16"/>
          <w:szCs w:val="16"/>
          <w:u w:val="single" w:color="auto"/>
          <w:color w:val="auto"/>
        </w:rPr>
        <w:t>Judgment Currency.</w:t>
      </w:r>
      <w:r>
        <w:rPr>
          <w:rFonts w:ascii="Arial" w:cs="Arial" w:eastAsia="Arial" w:hAnsi="Arial"/>
          <w:sz w:val="16"/>
          <w:szCs w:val="16"/>
          <w:color w:val="auto"/>
        </w:rPr>
        <w:t xml:space="preserve"> The Issuer agrees, to the fullest extent that it may effectively do so under applicable law, that (a) if for the purpose of obtaining judgment in any court it is necessary to convert the sum due in respect of the principal of or interest on the Securities of any series (the “</w:t>
      </w:r>
      <w:r>
        <w:rPr>
          <w:rFonts w:ascii="Arial" w:cs="Arial" w:eastAsia="Arial" w:hAnsi="Arial"/>
          <w:sz w:val="16"/>
          <w:szCs w:val="16"/>
          <w:u w:val="single" w:color="auto"/>
          <w:color w:val="auto"/>
        </w:rPr>
        <w:t>Required Currency</w:t>
      </w:r>
      <w:r>
        <w:rPr>
          <w:rFonts w:ascii="Arial" w:cs="Arial" w:eastAsia="Arial" w:hAnsi="Arial"/>
          <w:sz w:val="16"/>
          <w:szCs w:val="16"/>
          <w:color w:val="auto"/>
        </w:rPr>
        <w:t>”) into a currency in which a judgment will be rendered (the “</w:t>
      </w:r>
      <w:r>
        <w:rPr>
          <w:rFonts w:ascii="Arial" w:cs="Arial" w:eastAsia="Arial" w:hAnsi="Arial"/>
          <w:sz w:val="16"/>
          <w:szCs w:val="16"/>
          <w:u w:val="single" w:color="auto"/>
          <w:color w:val="auto"/>
        </w:rPr>
        <w:t>Judgment Currency</w:t>
      </w:r>
      <w:r>
        <w:rPr>
          <w:rFonts w:ascii="Arial" w:cs="Arial" w:eastAsia="Arial" w:hAnsi="Arial"/>
          <w:sz w:val="16"/>
          <w:szCs w:val="16"/>
          <w:color w:val="auto"/>
        </w:rPr>
        <w:t>”), the rate of exchange used shall be the rate at which in accordance with normal banking procedures the Trustee could purchase in the City of New York the Required Currency with the Judgment Currency on the day on which final unappealable judgment is entered, unless such day is not a New York Banking Day, then, to the extent permitted by applicable law, the rate of exchange used shall be the rate at which in accordance with normal banking procedures the Trustee could purchase in the City of New York the Required Currency with the Judgment Currency on the New York Banking Day preceding the day on which final unappealable judgment is entered and (b) its obligations under this Indenture to make payments in the Required Currency (i) shall not be discharged or satisfied by any tender, or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 For purposes of the foregoing, “New York Banking Day” means any day except a Saturday, Sunday or a legal holiday in the City of New York or a day on which banking institutions in the City of New York are authorized or required by law or executive order to close.</w:t>
      </w:r>
    </w:p>
    <w:p>
      <w:pPr>
        <w:spacing w:after="0" w:line="16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SECTION 10.15.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OF THE ISSUER AND THE TRUSTEE HEREBY IRREVOCABLY WAIVES, TO THE FULLEST EXTENT PERMITTED BY APPLICABLE LAW, ANY AND ALL RIGHT TO TRIAL BY JURY IN ANY LEGAL PROCEEDING ARISING OUT OF OR RELATING TO THIS INDENTURE, THE SECURITIES OR THE TRANSACTION CONTEMPLATED HEREBY.</w:t>
      </w:r>
    </w:p>
    <w:p>
      <w:pPr>
        <w:spacing w:after="0" w:line="184" w:lineRule="exact"/>
        <w:rPr>
          <w:sz w:val="20"/>
          <w:szCs w:val="20"/>
          <w:color w:val="auto"/>
        </w:rPr>
      </w:pPr>
    </w:p>
    <w:p>
      <w:pPr>
        <w:ind w:right="200" w:firstLine="1296"/>
        <w:spacing w:after="0" w:line="259" w:lineRule="auto"/>
        <w:rPr>
          <w:sz w:val="20"/>
          <w:szCs w:val="20"/>
          <w:color w:val="auto"/>
        </w:rPr>
      </w:pPr>
      <w:r>
        <w:rPr>
          <w:rFonts w:ascii="Arial" w:cs="Arial" w:eastAsia="Arial" w:hAnsi="Arial"/>
          <w:sz w:val="18"/>
          <w:szCs w:val="18"/>
          <w:color w:val="auto"/>
        </w:rPr>
        <w:t xml:space="preserve">SECTION 10.16. </w:t>
      </w:r>
      <w:r>
        <w:rPr>
          <w:rFonts w:ascii="Arial" w:cs="Arial" w:eastAsia="Arial" w:hAnsi="Arial"/>
          <w:sz w:val="18"/>
          <w:szCs w:val="18"/>
          <w:u w:val="single" w:color="auto"/>
          <w:color w:val="auto"/>
        </w:rPr>
        <w:t>Force Majeure.</w:t>
      </w:r>
      <w:r>
        <w:rPr>
          <w:rFonts w:ascii="Arial" w:cs="Arial" w:eastAsia="Arial" w:hAnsi="Arial"/>
          <w:sz w:val="18"/>
          <w:szCs w:val="18"/>
          <w:color w:val="auto"/>
        </w:rPr>
        <w:t xml:space="preserve">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hardware) services; it being understood that the Trustee shall use reasonable efforts which are consistent with accepted practices in the banking industry to resume performance as soon as practicable under the circumstances.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Redemption of Securities</w:t>
      </w:r>
    </w:p>
    <w:p>
      <w:pPr>
        <w:spacing w:after="0" w:line="225" w:lineRule="exact"/>
        <w:rPr>
          <w:sz w:val="20"/>
          <w:szCs w:val="20"/>
          <w:color w:val="auto"/>
        </w:rPr>
      </w:pPr>
    </w:p>
    <w:p>
      <w:pPr>
        <w:ind w:right="420" w:firstLine="1296"/>
        <w:spacing w:after="0" w:line="277" w:lineRule="auto"/>
        <w:rPr>
          <w:sz w:val="20"/>
          <w:szCs w:val="20"/>
          <w:color w:val="auto"/>
        </w:rPr>
      </w:pPr>
      <w:r>
        <w:rPr>
          <w:rFonts w:ascii="Arial" w:cs="Arial" w:eastAsia="Arial" w:hAnsi="Arial"/>
          <w:sz w:val="18"/>
          <w:szCs w:val="18"/>
          <w:color w:val="auto"/>
        </w:rPr>
        <w:t xml:space="preserve">SECTION 11.01. </w:t>
      </w:r>
      <w:r>
        <w:rPr>
          <w:rFonts w:ascii="Arial" w:cs="Arial" w:eastAsia="Arial" w:hAnsi="Arial"/>
          <w:sz w:val="18"/>
          <w:szCs w:val="18"/>
          <w:u w:val="single" w:color="auto"/>
          <w:color w:val="auto"/>
        </w:rPr>
        <w:t>Applicability Of Article.</w:t>
      </w:r>
      <w:r>
        <w:rPr>
          <w:rFonts w:ascii="Arial" w:cs="Arial" w:eastAsia="Arial" w:hAnsi="Arial"/>
          <w:sz w:val="18"/>
          <w:szCs w:val="18"/>
          <w:color w:val="auto"/>
        </w:rPr>
        <w:t xml:space="preserve"> The provisions of this Article shall be applicable to the Securities of any series which are redeemable before their maturity except as otherwise specified as contemplated by Section 2.03 for Securities of such series.</w:t>
      </w:r>
    </w:p>
    <w:p>
      <w:pPr>
        <w:spacing w:after="0" w:line="170" w:lineRule="exact"/>
        <w:rPr>
          <w:sz w:val="20"/>
          <w:szCs w:val="20"/>
          <w:color w:val="auto"/>
        </w:rPr>
      </w:pPr>
    </w:p>
    <w:p>
      <w:pPr>
        <w:ind w:right="80" w:firstLine="1296"/>
        <w:spacing w:after="0" w:line="293" w:lineRule="auto"/>
        <w:rPr>
          <w:sz w:val="20"/>
          <w:szCs w:val="20"/>
          <w:color w:val="auto"/>
        </w:rPr>
      </w:pPr>
      <w:r>
        <w:rPr>
          <w:rFonts w:ascii="Arial" w:cs="Arial" w:eastAsia="Arial" w:hAnsi="Arial"/>
          <w:sz w:val="16"/>
          <w:szCs w:val="16"/>
          <w:color w:val="auto"/>
        </w:rPr>
        <w:t xml:space="preserve">SECTION 11.02. </w:t>
      </w:r>
      <w:r>
        <w:rPr>
          <w:rFonts w:ascii="Arial" w:cs="Arial" w:eastAsia="Arial" w:hAnsi="Arial"/>
          <w:sz w:val="16"/>
          <w:szCs w:val="16"/>
          <w:u w:val="single" w:color="auto"/>
          <w:color w:val="auto"/>
        </w:rPr>
        <w:t>Notice Of Redemption; Partial Redemptions.</w:t>
      </w:r>
      <w:r>
        <w:rPr>
          <w:rFonts w:ascii="Arial" w:cs="Arial" w:eastAsia="Arial" w:hAnsi="Arial"/>
          <w:sz w:val="16"/>
          <w:szCs w:val="16"/>
          <w:color w:val="auto"/>
        </w:rPr>
        <w:t xml:space="preserve"> Notice of redemption to the Holders of Securities of any series to be redeemed as a whole or in part at the option of the Issuer shall be given by mailing notice of such redemption by first class mail, postage prepaid, at least 30 days and not more than 60 days prior to the date fixed for redemption to such Holders of Securities of such series at their last addresses as they shall appear upon the registry books. Any notice which is mailed in the manner herein provided shall be conclusively presumed to have been duly given, whether or not the Holder receives the notice. Failure to give notice by mail, or any defect in the notice to the Holder of any Security of a series designated for redemption as a whole or in part shall not affect the validity of the proceedings for the redemption of any other Security of such series.</w:t>
      </w:r>
    </w:p>
    <w:p>
      <w:pPr>
        <w:spacing w:after="0" w:line="164" w:lineRule="exact"/>
        <w:rPr>
          <w:sz w:val="20"/>
          <w:szCs w:val="20"/>
          <w:color w:val="auto"/>
        </w:rPr>
      </w:pPr>
    </w:p>
    <w:p>
      <w:pPr>
        <w:ind w:right="20" w:firstLine="1296"/>
        <w:spacing w:after="0" w:line="272" w:lineRule="auto"/>
        <w:rPr>
          <w:sz w:val="20"/>
          <w:szCs w:val="20"/>
          <w:color w:val="auto"/>
        </w:rPr>
      </w:pPr>
      <w:r>
        <w:rPr>
          <w:rFonts w:ascii="Arial" w:cs="Arial" w:eastAsia="Arial" w:hAnsi="Arial"/>
          <w:sz w:val="17"/>
          <w:szCs w:val="17"/>
          <w:color w:val="auto"/>
        </w:rPr>
        <w:t>The notice of redemption to each such Holder shall specify the principal amount of each Security of such series held by such Holder to be redeemed, the date fixed for redemption, the redemption price, the place or places of payment, that payment will be made upon presentation and surrender of such Securities, that such redemption is pursuant to the mandatory or optional sinking fund, or both, if such be the case, that interest accrued to the date fixed for redemption will be paid as specified in such notice and that on and after said date interest thereon or on the portions thereof to be redeemed will cease to accrue. In case any Security of a series is to be redeemed in part only the notice of redemption shall state the portion of the principal amount thereof to be redeemed and shall state that on and after the date fixed for redemption, upon surrender of such Security, a new Security or Securities of such series in principal amount equal to the unredeemed portion thereof will be issued.</w:t>
      </w:r>
    </w:p>
    <w:p>
      <w:pPr>
        <w:spacing w:after="0" w:line="177" w:lineRule="exact"/>
        <w:rPr>
          <w:sz w:val="20"/>
          <w:szCs w:val="20"/>
          <w:color w:val="auto"/>
        </w:rPr>
      </w:pPr>
    </w:p>
    <w:p>
      <w:pPr>
        <w:ind w:right="240" w:firstLine="1296"/>
        <w:spacing w:after="0" w:line="311" w:lineRule="auto"/>
        <w:rPr>
          <w:sz w:val="20"/>
          <w:szCs w:val="20"/>
          <w:color w:val="auto"/>
        </w:rPr>
      </w:pPr>
      <w:r>
        <w:rPr>
          <w:rFonts w:ascii="Arial" w:cs="Arial" w:eastAsia="Arial" w:hAnsi="Arial"/>
          <w:sz w:val="16"/>
          <w:szCs w:val="16"/>
          <w:color w:val="auto"/>
        </w:rPr>
        <w:t xml:space="preserve">The notice of redemption of Securities of any series to be redeemed at the option of the Issuer shall be given by the Issuer or, at the Issuer’s request, by the Trustee in the name and at the expense of the Issuer;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in the latter case the Issuer shall give the Trustee at least ten (10) days advance notice of the date upon which the notice is to be given (unless a shorter notice period shall be agreed to by the Trustee in writing).</w:t>
      </w:r>
    </w:p>
    <w:p>
      <w:pPr>
        <w:spacing w:after="0" w:line="14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 notice of redemption may be conditioned and provide that it is subject to the occurrence of any event described in the notice before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date fixed for the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55" w:name="page156"/>
    <w:bookmarkEnd w:id="155"/>
    <w:p>
      <w:pPr>
        <w:ind w:right="300"/>
        <w:spacing w:after="0" w:line="277" w:lineRule="auto"/>
        <w:rPr>
          <w:sz w:val="20"/>
          <w:szCs w:val="20"/>
          <w:color w:val="auto"/>
        </w:rPr>
      </w:pPr>
      <w:r>
        <w:rPr>
          <w:rFonts w:ascii="Arial" w:cs="Arial" w:eastAsia="Arial" w:hAnsi="Arial"/>
          <w:sz w:val="18"/>
          <w:szCs w:val="18"/>
          <w:color w:val="auto"/>
        </w:rPr>
        <w:t>redemption. A notice of conditional redemption will be of no effect unless all conditions to the redemption have occurred before the redemption date or have been waived by the Issuer.</w:t>
      </w:r>
    </w:p>
    <w:p>
      <w:pPr>
        <w:spacing w:after="0" w:line="170" w:lineRule="exact"/>
        <w:rPr>
          <w:sz w:val="20"/>
          <w:szCs w:val="20"/>
          <w:color w:val="auto"/>
        </w:rPr>
      </w:pPr>
    </w:p>
    <w:p>
      <w:pPr>
        <w:ind w:right="140" w:firstLine="1296"/>
        <w:spacing w:after="0" w:line="291" w:lineRule="auto"/>
        <w:rPr>
          <w:sz w:val="20"/>
          <w:szCs w:val="20"/>
          <w:color w:val="auto"/>
        </w:rPr>
      </w:pPr>
      <w:r>
        <w:rPr>
          <w:rFonts w:ascii="Arial" w:cs="Arial" w:eastAsia="Arial" w:hAnsi="Arial"/>
          <w:sz w:val="16"/>
          <w:szCs w:val="16"/>
          <w:color w:val="auto"/>
        </w:rPr>
        <w:t>On or before the redemption date specified in the notice of redemption given as provided in this Section, the Issuer will deposit with the Trustee or with one or more paying agents (or, if the Issuer is acting as its own paying agent, set aside, segregate and hold in trust as provided in</w:t>
      </w:r>
    </w:p>
    <w:p>
      <w:pPr>
        <w:ind w:right="40"/>
        <w:spacing w:after="0" w:line="253" w:lineRule="auto"/>
        <w:rPr>
          <w:sz w:val="20"/>
          <w:szCs w:val="20"/>
          <w:color w:val="auto"/>
        </w:rPr>
      </w:pPr>
      <w:r>
        <w:rPr>
          <w:rFonts w:ascii="Arial" w:cs="Arial" w:eastAsia="Arial" w:hAnsi="Arial"/>
          <w:sz w:val="18"/>
          <w:szCs w:val="18"/>
          <w:color w:val="auto"/>
        </w:rPr>
        <w:t>Section 3.04) an amount of money or other property sufficient to redeem on the redemption date all the Securities of such series so called for redemption at the appropriate redemption price, together with accrued interest to the date fixed for redemption. If less than all the outstanding Securities of a series are to be redeemed, the Issuer will deliver to the Trustee at least 70 days prior to the date fixed for redemption an Officers’ Certificate stating the aggregate principal amount of Securities to be redeemed.</w:t>
      </w:r>
    </w:p>
    <w:p>
      <w:pPr>
        <w:spacing w:after="0" w:line="193" w:lineRule="exact"/>
        <w:rPr>
          <w:sz w:val="20"/>
          <w:szCs w:val="20"/>
          <w:color w:val="auto"/>
        </w:rPr>
      </w:pPr>
    </w:p>
    <w:p>
      <w:pPr>
        <w:ind w:firstLine="1296"/>
        <w:spacing w:after="0" w:line="293" w:lineRule="auto"/>
        <w:rPr>
          <w:sz w:val="20"/>
          <w:szCs w:val="20"/>
          <w:color w:val="auto"/>
        </w:rPr>
      </w:pPr>
      <w:r>
        <w:rPr>
          <w:rFonts w:ascii="Arial" w:cs="Arial" w:eastAsia="Arial" w:hAnsi="Arial"/>
          <w:sz w:val="16"/>
          <w:szCs w:val="16"/>
          <w:color w:val="auto"/>
        </w:rPr>
        <w:t>If less than all the Securities of a series are to be redeemed, the Trustee shall select, in such manner as it shall deem appropriate and fair, Securities of such series to be redeemed in whole or in part. Securities may be redeemed in part in multiples equal to the minimum authorized denomination for Securities of such series or any multiple thereof. The Trustee shall promptly notify the Issuer in writing of the Securities of such series selected for redemption and, in the case of any Securities of such series selected for partial redemption, the principal amount thereof to be redeemed. For all purposes of this Indenture, unless the context otherwise requires, all provisions relating to the redemption of Securities of any series shall relate, in the case of any Security redeemed or to be redeemed only in part, to the portion of the principal amount of such Security which has been or is to be redeemed.</w:t>
      </w:r>
    </w:p>
    <w:p>
      <w:pPr>
        <w:spacing w:after="0" w:line="164" w:lineRule="exact"/>
        <w:rPr>
          <w:sz w:val="20"/>
          <w:szCs w:val="20"/>
          <w:color w:val="auto"/>
        </w:rPr>
      </w:pPr>
    </w:p>
    <w:p>
      <w:pPr>
        <w:ind w:right="60" w:firstLine="1296"/>
        <w:spacing w:after="0" w:line="269" w:lineRule="auto"/>
        <w:rPr>
          <w:sz w:val="20"/>
          <w:szCs w:val="20"/>
          <w:color w:val="auto"/>
        </w:rPr>
      </w:pPr>
      <w:r>
        <w:rPr>
          <w:rFonts w:ascii="Arial" w:cs="Arial" w:eastAsia="Arial" w:hAnsi="Arial"/>
          <w:sz w:val="17"/>
          <w:szCs w:val="17"/>
          <w:color w:val="auto"/>
        </w:rPr>
        <w:t xml:space="preserve">SECTION 11.03. </w:t>
      </w:r>
      <w:r>
        <w:rPr>
          <w:rFonts w:ascii="Arial" w:cs="Arial" w:eastAsia="Arial" w:hAnsi="Arial"/>
          <w:sz w:val="17"/>
          <w:szCs w:val="17"/>
          <w:u w:val="single" w:color="auto"/>
          <w:color w:val="auto"/>
        </w:rPr>
        <w:t>Payment of Securities Called for Redemption.</w:t>
      </w:r>
      <w:r>
        <w:rPr>
          <w:rFonts w:ascii="Arial" w:cs="Arial" w:eastAsia="Arial" w:hAnsi="Arial"/>
          <w:sz w:val="17"/>
          <w:szCs w:val="17"/>
          <w:color w:val="auto"/>
        </w:rPr>
        <w:t xml:space="preserve"> If notice of redemption has been given as above provided, the Securities or portions of Securities specified in such notice shall become due and payable on the date and at the place stated in such notice at the applicable redemption price, together with interest accrued to the date fixed for redemption, and on and after said date (unless the Issuer shall default in the payment of such Securities at the redemption price, together with interest accrued to said date) interest on the Securities or portions of Securities so called for redemption shall cease to accrue and, except as provided in Sections 5.05 and 9.04, such Securities shall cease from and after the date fixed for redemption to be entitled to any benefit or security under this Indenture, and the Holders thereof shall have no right in respect of such Securities except the right to receive the redemption price thereof and unpaid interest to the date fixed for redemption. On presentation and surrender of such Securities at a place of payment specified in said notice, said Securities or the specified portions thereof shall be paid and redeemed by the Issuer at the applicable redemption price, together with interest accrued thereon to the date fixed for redemption; provided that any semiannual payment of interest becoming due on the date fixed for redemption shall be payable to the Holders of such Securities registered as such on the relevant record date subject to the terms and provisions of Sections 2.03 and 2.04 hereof.</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56" w:name="page157"/>
    <w:bookmarkEnd w:id="156"/>
    <w:p>
      <w:pPr>
        <w:ind w:firstLine="1296"/>
        <w:spacing w:after="0" w:line="263" w:lineRule="auto"/>
        <w:rPr>
          <w:sz w:val="20"/>
          <w:szCs w:val="20"/>
          <w:color w:val="auto"/>
        </w:rPr>
      </w:pPr>
      <w:r>
        <w:rPr>
          <w:rFonts w:ascii="Arial" w:cs="Arial" w:eastAsia="Arial" w:hAnsi="Arial"/>
          <w:sz w:val="18"/>
          <w:szCs w:val="18"/>
          <w:color w:val="auto"/>
        </w:rPr>
        <w:t>If any Security called for redemption shall not be so paid upon surrender thereof for redemption, the principal shall, until paid or duly provided for, bear interest from the date fixed for redemption at the rate of interest or Yield to Maturity (in the case of an Original Issue Discount Security) borne by such Security.</w:t>
      </w:r>
    </w:p>
    <w:p>
      <w:pPr>
        <w:spacing w:after="0" w:line="184" w:lineRule="exact"/>
        <w:rPr>
          <w:sz w:val="20"/>
          <w:szCs w:val="20"/>
          <w:color w:val="auto"/>
        </w:rPr>
      </w:pPr>
    </w:p>
    <w:p>
      <w:pPr>
        <w:jc w:val="both"/>
        <w:ind w:right="120" w:firstLine="1296"/>
        <w:spacing w:after="0" w:line="263" w:lineRule="auto"/>
        <w:rPr>
          <w:sz w:val="20"/>
          <w:szCs w:val="20"/>
          <w:color w:val="auto"/>
        </w:rPr>
      </w:pPr>
      <w:r>
        <w:rPr>
          <w:rFonts w:ascii="Arial" w:cs="Arial" w:eastAsia="Arial" w:hAnsi="Arial"/>
          <w:sz w:val="18"/>
          <w:szCs w:val="18"/>
          <w:color w:val="auto"/>
        </w:rPr>
        <w:t>Upon presentation of any Security redeemed in part only, the Issuer shall execute and the Trustee shall authenticate and deliver to or on the order of the Holder thereof, at the expense of the Issuer, a new Security or Securities of such series, of authorized denominations, in principal amount equal to the unredeemed portion of the Security so presented.</w:t>
      </w:r>
    </w:p>
    <w:p>
      <w:pPr>
        <w:spacing w:after="0" w:line="184" w:lineRule="exact"/>
        <w:rPr>
          <w:sz w:val="20"/>
          <w:szCs w:val="20"/>
          <w:color w:val="auto"/>
        </w:rPr>
      </w:pPr>
    </w:p>
    <w:p>
      <w:pPr>
        <w:ind w:right="60" w:firstLine="1296"/>
        <w:spacing w:after="0" w:line="275" w:lineRule="auto"/>
        <w:rPr>
          <w:sz w:val="20"/>
          <w:szCs w:val="20"/>
          <w:color w:val="auto"/>
        </w:rPr>
      </w:pPr>
      <w:r>
        <w:rPr>
          <w:rFonts w:ascii="Arial" w:cs="Arial" w:eastAsia="Arial" w:hAnsi="Arial"/>
          <w:sz w:val="17"/>
          <w:szCs w:val="17"/>
          <w:color w:val="auto"/>
        </w:rPr>
        <w:t xml:space="preserve">SECTION 11.04. </w:t>
      </w:r>
      <w:r>
        <w:rPr>
          <w:rFonts w:ascii="Arial" w:cs="Arial" w:eastAsia="Arial" w:hAnsi="Arial"/>
          <w:sz w:val="17"/>
          <w:szCs w:val="17"/>
          <w:u w:val="single" w:color="auto"/>
          <w:color w:val="auto"/>
        </w:rPr>
        <w:t>Exclusion of Certain Securities from Eligibility for Selection for Redemption.</w:t>
      </w:r>
      <w:r>
        <w:rPr>
          <w:rFonts w:ascii="Arial" w:cs="Arial" w:eastAsia="Arial" w:hAnsi="Arial"/>
          <w:sz w:val="17"/>
          <w:szCs w:val="17"/>
          <w:color w:val="auto"/>
        </w:rPr>
        <w:t xml:space="preserve"> Securities shall be excluded from eligibility for selection for redemption if they are identified by registration and certificate number in a written statement signed by an authorized officer of the Issuer and delivered to the Trustee at least 40 days prior to the last date on which notice of redemption may be given as being owned of record and beneficially by, and not pledged or hypothecated by either (a) the Issuer or (b) an entity specifically identified in such written statement as directly or indirectly controlling or controlled by or under direct or indirect common control with the Issuer.</w:t>
      </w:r>
    </w:p>
    <w:p>
      <w:pPr>
        <w:spacing w:after="0" w:line="176"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[Signature Page Follows]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157" w:name="page158"/>
    <w:bookmarkEnd w:id="157"/>
    <w:p>
      <w:pPr>
        <w:ind w:left="180"/>
        <w:spacing w:after="0"/>
        <w:tabs>
          <w:tab w:leader="none" w:pos="7780" w:val="left"/>
          <w:tab w:leader="none" w:pos="8240" w:val="left"/>
        </w:tabs>
        <w:rPr>
          <w:sz w:val="20"/>
          <w:szCs w:val="20"/>
          <w:color w:val="auto"/>
        </w:rPr>
      </w:pPr>
      <w:r>
        <w:rPr>
          <w:rFonts w:ascii="Arial" w:cs="Arial" w:eastAsia="Arial" w:hAnsi="Arial"/>
          <w:sz w:val="17"/>
          <w:szCs w:val="17"/>
          <w:color w:val="auto"/>
        </w:rPr>
        <w:t>IN WITNESS WHEREOF, the parties hereto have caused this Indenture to be duly executed as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3"/>
          <w:szCs w:val="13"/>
          <w:color w:val="auto"/>
        </w:rPr>
        <w:t>.</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GASLOG PARTNERS LP</w:t>
      </w:r>
    </w:p>
    <w:p>
      <w:pPr>
        <w:spacing w:after="0" w:line="225"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3100070</wp:posOffset>
            </wp:positionH>
            <wp:positionV relativeFrom="paragraph">
              <wp:posOffset>14605</wp:posOffset>
            </wp:positionV>
            <wp:extent cx="332613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8">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3100070</wp:posOffset>
            </wp:positionH>
            <wp:positionV relativeFrom="paragraph">
              <wp:posOffset>14605</wp:posOffset>
            </wp:positionV>
            <wp:extent cx="332613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9">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81280</wp:posOffset>
            </wp:positionV>
            <wp:extent cx="7153275"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154305</wp:posOffset>
            </wp:positionV>
            <wp:extent cx="1405890" cy="50609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1">
                      <a:extLst>
                        <a:ext uri="{28A0092B-C50C-407E-A947-70E740481C1C}"/>
                      </a:extLst>
                    </a:blip>
                    <a:srcRect/>
                    <a:stretch>
                      <a:fillRect/>
                    </a:stretch>
                  </pic:blipFill>
                  <pic:spPr bwMode="auto">
                    <a:xfrm>
                      <a:off x="0" y="0"/>
                      <a:ext cx="140589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October 9,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Gaslog Partners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GasLog LNG Services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69 Akti Miaouli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18537 Piraeus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Greece</w:t>
      </w:r>
    </w:p>
    <w:p>
      <w:pPr>
        <w:spacing w:after="0" w:line="21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Gaslog Partners,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ind w:right="80" w:firstLine="648"/>
        <w:spacing w:after="0" w:line="285" w:lineRule="auto"/>
        <w:rPr>
          <w:sz w:val="20"/>
          <w:szCs w:val="20"/>
          <w:color w:val="auto"/>
        </w:rPr>
      </w:pPr>
      <w:r>
        <w:rPr>
          <w:rFonts w:ascii="Arial" w:cs="Arial" w:eastAsia="Arial" w:hAnsi="Arial"/>
          <w:sz w:val="16"/>
          <w:szCs w:val="16"/>
          <w:color w:val="auto"/>
        </w:rPr>
        <w:t>We have acted as special counsel on matters of the law of the Republic of the Marshall Islands (“</w:t>
      </w:r>
      <w:r>
        <w:rPr>
          <w:rFonts w:ascii="Arial" w:cs="Arial" w:eastAsia="Arial" w:hAnsi="Arial"/>
          <w:sz w:val="16"/>
          <w:szCs w:val="16"/>
          <w:u w:val="single" w:color="auto"/>
          <w:color w:val="auto"/>
        </w:rPr>
        <w:t>Marshall Islands Law</w:t>
      </w:r>
      <w:r>
        <w:rPr>
          <w:rFonts w:ascii="Arial" w:cs="Arial" w:eastAsia="Arial" w:hAnsi="Arial"/>
          <w:sz w:val="16"/>
          <w:szCs w:val="16"/>
          <w:color w:val="auto"/>
        </w:rPr>
        <w:t>”) to Gaslog Partners LP (the “</w:t>
      </w:r>
      <w:r>
        <w:rPr>
          <w:rFonts w:ascii="Arial" w:cs="Arial" w:eastAsia="Arial" w:hAnsi="Arial"/>
          <w:sz w:val="16"/>
          <w:szCs w:val="16"/>
          <w:u w:val="single" w:color="auto"/>
          <w:color w:val="auto"/>
        </w:rPr>
        <w:t>Partnership</w:t>
      </w:r>
      <w:r>
        <w:rPr>
          <w:rFonts w:ascii="Arial" w:cs="Arial" w:eastAsia="Arial" w:hAnsi="Arial"/>
          <w:sz w:val="16"/>
          <w:szCs w:val="16"/>
          <w:color w:val="auto"/>
        </w:rPr>
        <w:t>”), a Marshall Islands limited partnership, in connection with the preparation and filing with the U.S.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of a registration statement on Form F-3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under the Securities Act of 1933, as amended (the “</w:t>
      </w:r>
      <w:r>
        <w:rPr>
          <w:rFonts w:ascii="Arial" w:cs="Arial" w:eastAsia="Arial" w:hAnsi="Arial"/>
          <w:sz w:val="16"/>
          <w:szCs w:val="16"/>
          <w:u w:val="single" w:color="auto"/>
          <w:color w:val="auto"/>
        </w:rPr>
        <w:t>Act</w:t>
      </w:r>
      <w:r>
        <w:rPr>
          <w:rFonts w:ascii="Arial" w:cs="Arial" w:eastAsia="Arial" w:hAnsi="Arial"/>
          <w:sz w:val="16"/>
          <w:szCs w:val="16"/>
          <w:color w:val="auto"/>
        </w:rPr>
        <w:t>”), with respect to the registration under the Act and the proposed issuance and sale from time to time pursuant to Rule 415 under the Act of up to an aggregate initial offering amount of $400,000,000 of (i) common units representing limited partner interests of the Partnership (the “</w:t>
      </w:r>
      <w:r>
        <w:rPr>
          <w:rFonts w:ascii="Arial" w:cs="Arial" w:eastAsia="Arial" w:hAnsi="Arial"/>
          <w:sz w:val="16"/>
          <w:szCs w:val="16"/>
          <w:u w:val="single" w:color="auto"/>
          <w:color w:val="auto"/>
        </w:rPr>
        <w:t>Common Units</w:t>
      </w:r>
      <w:r>
        <w:rPr>
          <w:rFonts w:ascii="Arial" w:cs="Arial" w:eastAsia="Arial" w:hAnsi="Arial"/>
          <w:sz w:val="16"/>
          <w:szCs w:val="16"/>
          <w:color w:val="auto"/>
        </w:rPr>
        <w:t>”),</w:t>
      </w:r>
    </w:p>
    <w:p>
      <w:pPr>
        <w:spacing w:after="0" w:line="2" w:lineRule="exact"/>
        <w:rPr>
          <w:sz w:val="20"/>
          <w:szCs w:val="20"/>
          <w:color w:val="auto"/>
        </w:rPr>
      </w:pPr>
    </w:p>
    <w:p>
      <w:pPr>
        <w:ind w:right="220" w:firstLine="8"/>
        <w:spacing w:after="0" w:line="268" w:lineRule="auto"/>
        <w:tabs>
          <w:tab w:leader="none" w:pos="265" w:val="left"/>
        </w:tabs>
        <w:numPr>
          <w:ilvl w:val="0"/>
          <w:numId w:val="136"/>
        </w:numPr>
        <w:rPr>
          <w:rFonts w:ascii="Arial" w:cs="Arial" w:eastAsia="Arial" w:hAnsi="Arial"/>
          <w:sz w:val="17"/>
          <w:szCs w:val="17"/>
          <w:color w:val="auto"/>
        </w:rPr>
      </w:pPr>
      <w:r>
        <w:rPr>
          <w:rFonts w:ascii="Arial" w:cs="Arial" w:eastAsia="Arial" w:hAnsi="Arial"/>
          <w:sz w:val="17"/>
          <w:szCs w:val="17"/>
          <w:color w:val="auto"/>
        </w:rPr>
        <w:t>series A cumulative redeemable perpetual fixed to floating rate preference units representing limited partner interest of the Partnership (the “</w:t>
      </w:r>
      <w:r>
        <w:rPr>
          <w:rFonts w:ascii="Arial" w:cs="Arial" w:eastAsia="Arial" w:hAnsi="Arial"/>
          <w:sz w:val="17"/>
          <w:szCs w:val="17"/>
          <w:u w:val="single" w:color="auto"/>
          <w:color w:val="auto"/>
        </w:rPr>
        <w:t>Series A</w:t>
      </w:r>
      <w:r>
        <w:rPr>
          <w:rFonts w:ascii="Arial" w:cs="Arial" w:eastAsia="Arial" w:hAnsi="Arial"/>
          <w:sz w:val="17"/>
          <w:szCs w:val="17"/>
          <w:color w:val="auto"/>
        </w:rPr>
        <w:t xml:space="preserve"> </w:t>
      </w:r>
      <w:r>
        <w:rPr>
          <w:rFonts w:ascii="Arial" w:cs="Arial" w:eastAsia="Arial" w:hAnsi="Arial"/>
          <w:sz w:val="17"/>
          <w:szCs w:val="17"/>
          <w:u w:val="single" w:color="auto"/>
          <w:color w:val="auto"/>
        </w:rPr>
        <w:t>Preference Units</w:t>
      </w:r>
      <w:r>
        <w:rPr>
          <w:rFonts w:ascii="Arial" w:cs="Arial" w:eastAsia="Arial" w:hAnsi="Arial"/>
          <w:sz w:val="17"/>
          <w:szCs w:val="17"/>
          <w:color w:val="auto"/>
        </w:rPr>
        <w:t>”), (iii) series B cumulative redeemable perpetual fixed to floating rate preference units representing limited partner interest of the Partnership (the “</w:t>
      </w:r>
      <w:r>
        <w:rPr>
          <w:rFonts w:ascii="Arial" w:cs="Arial" w:eastAsia="Arial" w:hAnsi="Arial"/>
          <w:sz w:val="17"/>
          <w:szCs w:val="17"/>
          <w:u w:val="single" w:color="auto"/>
          <w:color w:val="auto"/>
        </w:rPr>
        <w:t>Series B Preference Units</w:t>
      </w:r>
      <w:r>
        <w:rPr>
          <w:rFonts w:ascii="Arial" w:cs="Arial" w:eastAsia="Arial" w:hAnsi="Arial"/>
          <w:sz w:val="17"/>
          <w:szCs w:val="17"/>
          <w:color w:val="auto"/>
        </w:rPr>
        <w:t>”), (iv) series C cumulative redeemable perpetual fixed to floating rate preference units representing limited partner interest of the Partnership (the “</w:t>
      </w:r>
      <w:r>
        <w:rPr>
          <w:rFonts w:ascii="Arial" w:cs="Arial" w:eastAsia="Arial" w:hAnsi="Arial"/>
          <w:sz w:val="17"/>
          <w:szCs w:val="17"/>
          <w:u w:val="single" w:color="auto"/>
          <w:color w:val="auto"/>
        </w:rPr>
        <w:t>Series C Preference Units</w:t>
      </w:r>
      <w:r>
        <w:rPr>
          <w:rFonts w:ascii="Arial" w:cs="Arial" w:eastAsia="Arial" w:hAnsi="Arial"/>
          <w:sz w:val="17"/>
          <w:szCs w:val="17"/>
          <w:color w:val="auto"/>
        </w:rPr>
        <w:t>”), (v) other classes of units representing limited partnership interests of the Partnership (the “</w:t>
      </w:r>
      <w:r>
        <w:rPr>
          <w:rFonts w:ascii="Arial" w:cs="Arial" w:eastAsia="Arial" w:hAnsi="Arial"/>
          <w:sz w:val="17"/>
          <w:szCs w:val="17"/>
          <w:u w:val="single" w:color="auto"/>
          <w:color w:val="auto"/>
        </w:rPr>
        <w:t>Other Units</w:t>
      </w:r>
      <w:r>
        <w:rPr>
          <w:rFonts w:ascii="Arial" w:cs="Arial" w:eastAsia="Arial" w:hAnsi="Arial"/>
          <w:sz w:val="17"/>
          <w:szCs w:val="17"/>
          <w:color w:val="auto"/>
        </w:rPr>
        <w:t>”), (vi) debt securities of the Partnership (the “</w:t>
      </w:r>
      <w:r>
        <w:rPr>
          <w:rFonts w:ascii="Arial" w:cs="Arial" w:eastAsia="Arial" w:hAnsi="Arial"/>
          <w:sz w:val="17"/>
          <w:szCs w:val="17"/>
          <w:u w:val="single" w:color="auto"/>
          <w:color w:val="auto"/>
        </w:rPr>
        <w:t>Debt Securities</w:t>
      </w:r>
      <w:r>
        <w:rPr>
          <w:rFonts w:ascii="Arial" w:cs="Arial" w:eastAsia="Arial" w:hAnsi="Arial"/>
          <w:sz w:val="17"/>
          <w:szCs w:val="17"/>
          <w:color w:val="auto"/>
        </w:rPr>
        <w:t>”), (vii) warrants to purchase Common Units, Series A Preference Units, Series B Preference Units, Series C Preference Units, Other Units or other rights of the Partnership (the “</w:t>
      </w:r>
      <w:r>
        <w:rPr>
          <w:rFonts w:ascii="Arial" w:cs="Arial" w:eastAsia="Arial" w:hAnsi="Arial"/>
          <w:sz w:val="17"/>
          <w:szCs w:val="17"/>
          <w:u w:val="single" w:color="auto"/>
          <w:color w:val="auto"/>
        </w:rPr>
        <w:t>Warrants</w:t>
      </w:r>
      <w:r>
        <w:rPr>
          <w:rFonts w:ascii="Arial" w:cs="Arial" w:eastAsia="Arial" w:hAnsi="Arial"/>
          <w:sz w:val="17"/>
          <w:szCs w:val="17"/>
          <w:color w:val="auto"/>
        </w:rPr>
        <w:t>”), (viii) rights to purchase Common Units, Series A Preference Units, Series B Preference Units, Series C Preference Units or Other Units (the “</w:t>
      </w:r>
      <w:r>
        <w:rPr>
          <w:rFonts w:ascii="Arial" w:cs="Arial" w:eastAsia="Arial" w:hAnsi="Arial"/>
          <w:sz w:val="17"/>
          <w:szCs w:val="17"/>
          <w:u w:val="single" w:color="auto"/>
          <w:color w:val="auto"/>
        </w:rPr>
        <w:t>Rights</w:t>
      </w:r>
      <w:r>
        <w:rPr>
          <w:rFonts w:ascii="Arial" w:cs="Arial" w:eastAsia="Arial" w:hAnsi="Arial"/>
          <w:sz w:val="17"/>
          <w:szCs w:val="17"/>
          <w:color w:val="auto"/>
        </w:rPr>
        <w:t>”) and (ix) units consisting of any combination of Common Units, Series A Preference Units, Series B</w:t>
      </w:r>
    </w:p>
    <w:p>
      <w:pPr>
        <w:spacing w:after="0" w:line="18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45 Broadway 16th Floor New York, NY 10006</w:t>
      </w:r>
    </w:p>
    <w:p>
      <w:pPr>
        <w:spacing w:after="0" w:line="23"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212.509.9400 800.437.7040 212.509.9492 Fax cozen.com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153275"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59" w:name="page160"/>
    <w:bookmarkEnd w:id="159"/>
    <w:p>
      <w:pPr>
        <w:jc w:val="both"/>
        <w:ind w:right="60"/>
        <w:spacing w:after="0" w:line="263" w:lineRule="auto"/>
        <w:rPr>
          <w:sz w:val="20"/>
          <w:szCs w:val="20"/>
          <w:color w:val="auto"/>
        </w:rPr>
      </w:pPr>
      <w:r>
        <w:rPr>
          <w:rFonts w:ascii="Arial" w:cs="Arial" w:eastAsia="Arial" w:hAnsi="Arial"/>
          <w:sz w:val="18"/>
          <w:szCs w:val="18"/>
          <w:color w:val="auto"/>
        </w:rPr>
        <w:t>Preference Units, Series C Preference Units, Other Units, Debt Securities, Warrants and Rights (the “</w:t>
      </w:r>
      <w:r>
        <w:rPr>
          <w:rFonts w:ascii="Arial" w:cs="Arial" w:eastAsia="Arial" w:hAnsi="Arial"/>
          <w:sz w:val="18"/>
          <w:szCs w:val="18"/>
          <w:u w:val="single" w:color="auto"/>
          <w:color w:val="auto"/>
        </w:rPr>
        <w:t>Combination Units</w:t>
      </w:r>
      <w:r>
        <w:rPr>
          <w:rFonts w:ascii="Arial" w:cs="Arial" w:eastAsia="Arial" w:hAnsi="Arial"/>
          <w:sz w:val="18"/>
          <w:szCs w:val="18"/>
          <w:color w:val="auto"/>
        </w:rPr>
        <w:t>” and, together with the securities specified in clauses (i) through (viii) above, the “</w:t>
      </w:r>
      <w:r>
        <w:rPr>
          <w:rFonts w:ascii="Arial" w:cs="Arial" w:eastAsia="Arial" w:hAnsi="Arial"/>
          <w:sz w:val="18"/>
          <w:szCs w:val="18"/>
          <w:u w:val="single" w:color="auto"/>
          <w:color w:val="auto"/>
        </w:rPr>
        <w:t>Securities</w:t>
      </w:r>
      <w:r>
        <w:rPr>
          <w:rFonts w:ascii="Arial" w:cs="Arial" w:eastAsia="Arial" w:hAnsi="Arial"/>
          <w:sz w:val="18"/>
          <w:szCs w:val="18"/>
          <w:color w:val="auto"/>
        </w:rPr>
        <w:t>”). Except as otherwise defined herein, capitalized terms are used as defined in the Registration Statement.</w:t>
      </w:r>
    </w:p>
    <w:p>
      <w:pPr>
        <w:spacing w:after="0" w:line="184" w:lineRule="exact"/>
        <w:rPr>
          <w:sz w:val="20"/>
          <w:szCs w:val="20"/>
          <w:color w:val="auto"/>
        </w:rPr>
      </w:pPr>
    </w:p>
    <w:p>
      <w:pPr>
        <w:ind w:right="180" w:firstLine="648"/>
        <w:spacing w:after="0" w:line="271" w:lineRule="auto"/>
        <w:rPr>
          <w:sz w:val="20"/>
          <w:szCs w:val="20"/>
          <w:color w:val="auto"/>
        </w:rPr>
      </w:pPr>
      <w:r>
        <w:rPr>
          <w:rFonts w:ascii="Arial" w:cs="Arial" w:eastAsia="Arial" w:hAnsi="Arial"/>
          <w:sz w:val="17"/>
          <w:szCs w:val="17"/>
          <w:color w:val="auto"/>
        </w:rPr>
        <w:t>In so acting, we have examined originals, or copies, certified or otherwise identified to our satisfaction, of (i) the Registration Statement and the form of preliminary prospectus (the “</w:t>
      </w:r>
      <w:r>
        <w:rPr>
          <w:rFonts w:ascii="Arial" w:cs="Arial" w:eastAsia="Arial" w:hAnsi="Arial"/>
          <w:sz w:val="17"/>
          <w:szCs w:val="17"/>
          <w:u w:val="single" w:color="auto"/>
          <w:color w:val="auto"/>
        </w:rPr>
        <w:t>Prospectus</w:t>
      </w:r>
      <w:r>
        <w:rPr>
          <w:rFonts w:ascii="Arial" w:cs="Arial" w:eastAsia="Arial" w:hAnsi="Arial"/>
          <w:sz w:val="17"/>
          <w:szCs w:val="17"/>
          <w:color w:val="auto"/>
        </w:rPr>
        <w:t>”) included therein, and (ii) originals, or copies certified or otherwise identified to our satisfaction, of all such records of the Partnership, agreements and other documents, certificates of public officials, officers and representatives of the Partnership and other appropriate persons, and such other documents as we have deemed necessary as a basis for the opinions hereinafter expressed. In such examination, we have assumed without investigation, the genuineness of all signatures, the authenticity of all documents submitted to us as originals, the conformity with the original documents of all documents submitted to us as photostatic or facsimile copies, and the accuracy of the factual representations made to us by officers and other representatives of the Partnership. As to any questions of fact material to our opinion, we have, wherein relevant facts were not independently established, relied upon the aforesaid certificates.</w:t>
      </w:r>
    </w:p>
    <w:p>
      <w:pPr>
        <w:spacing w:after="0" w:line="178"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We have also assumed that (i) the definitive terms of any Securities, other than Common Units, Series A Preference Units, Series B Preference Units and Series C Preference Units, offered pursuant to the Registration Statement will have been established in accordance with the provisions of the Seventh Amended and Restated Agreement of Limited Partnership of the Partnership filed with the Commission on August 5, 2020, resolutions of the Board of Directors of the Partnership and applicable law, (ii) any Securities issuable upon conversion, exchange or exercise of any Securities being offered, will be duly authorized, created and, if appropriate, reserved for issuance upon such conversion, exchange or exercise, (iii) any Securities consisting of Common Units, Series A Preference Units, Series B Preference Units, Series C Preference Units and Other Units have been duly approved for issuance by the Partnership and will be validly issued, against receipt of the consideration approved by the Partnership, (iv) the Registration Statement, and any amendments thereto, will have become effective, (v) a Prospectus Supplement will have been filed with the Commission describing the Securities offered thereby, (vi) all Securities will be issued in compliance with applicable U.S. Federal and State Securities and other laws as well as the terms of the Registration Statement and the Prospectus, and (vii) a definitive underwriting agreement or similar agreement with respect to any Securities offered will have been duly authorized and validly executed and delivered by the Partnership and the other parties thereto.</w:t>
      </w:r>
    </w:p>
    <w:p>
      <w:pPr>
        <w:spacing w:after="0" w:line="172"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color w:val="auto"/>
        </w:rPr>
        <w:t>With respect to the issuance and sale of any Warrants, we have further assumed that (i) a warrant agreement (the “</w:t>
      </w:r>
      <w:r>
        <w:rPr>
          <w:rFonts w:ascii="Arial" w:cs="Arial" w:eastAsia="Arial" w:hAnsi="Arial"/>
          <w:sz w:val="18"/>
          <w:szCs w:val="18"/>
          <w:u w:val="single" w:color="auto"/>
          <w:color w:val="auto"/>
        </w:rPr>
        <w:t>Warrant Agreement</w:t>
      </w:r>
      <w:r>
        <w:rPr>
          <w:rFonts w:ascii="Arial" w:cs="Arial" w:eastAsia="Arial" w:hAnsi="Arial"/>
          <w:sz w:val="18"/>
          <w:szCs w:val="18"/>
          <w:color w:val="auto"/>
        </w:rPr>
        <w:t>”) with respect to such Warrants will have been executed and delivered by the Partnership, as issuer, and a warrant agent, (ii) the Warrant Agreement will be governed by New York law and will be in compliance with all applicable provisions of Marshall Islands law, (iii) the Warrants will have been duly and validly authorized, created, executed and delivered by the Partnership and duly executed by the warrant agent appointed by the Partnership, and (iv) the Warrants will have been issued</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color w:val="auto"/>
        </w:rPr>
        <w:t>and delivered by the Partnership against receipt of the consideration therefor approved by the Partnership.</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With respect to the issuance and sale of any Debt Securities, we have further assumed that (i) an indenture in substantially the form annexed to the Registration Statement which we have reviewed together with any applicable supplemental indenture (collectively, an “</w:t>
      </w:r>
      <w:r>
        <w:rPr>
          <w:rFonts w:ascii="Arial" w:cs="Arial" w:eastAsia="Arial" w:hAnsi="Arial"/>
          <w:sz w:val="18"/>
          <w:szCs w:val="18"/>
          <w:u w:val="single" w:color="auto"/>
          <w:color w:val="auto"/>
        </w:rPr>
        <w:t>Indenture</w:t>
      </w:r>
      <w:r>
        <w:rPr>
          <w:rFonts w:ascii="Arial" w:cs="Arial" w:eastAsia="Arial" w:hAnsi="Arial"/>
          <w:sz w:val="18"/>
          <w:szCs w:val="18"/>
          <w:color w:val="auto"/>
        </w:rPr>
        <w:t>”) will have been duly executed and delivered by the Partnership and the trustee named therein as well as any other entities party thereto, (ii) such Indenture will be governed by New York law and will be in compliance with all applicable provisions of Marshall Islands and U.S. Federal and State laws, and (iii) the Debt Securities will have been duly and validly authorized, executed and delivered by the Partnership and, such Debt Securities will be executed, authenticated, issued and delivered (a) against receipt of consideration therefor approved by the Partnership and (b) as provided in such Indenture and otherwise issued in compliance with all applicable laws.</w:t>
      </w:r>
    </w:p>
    <w:p>
      <w:pPr>
        <w:spacing w:after="0" w:line="19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With respect to the issuance and sale of Rights, we have further assumed (i) that a subscription rights agreement (the “</w:t>
      </w:r>
      <w:r>
        <w:rPr>
          <w:rFonts w:ascii="Arial" w:cs="Arial" w:eastAsia="Arial" w:hAnsi="Arial"/>
          <w:sz w:val="18"/>
          <w:szCs w:val="18"/>
          <w:u w:val="single" w:color="auto"/>
          <w:color w:val="auto"/>
        </w:rPr>
        <w:t>Subscription Agreement</w:t>
      </w:r>
      <w:r>
        <w:rPr>
          <w:rFonts w:ascii="Arial" w:cs="Arial" w:eastAsia="Arial" w:hAnsi="Arial"/>
          <w:sz w:val="18"/>
          <w:szCs w:val="18"/>
          <w:color w:val="auto"/>
        </w:rPr>
        <w:t>”) with respect to such Rights will have been executed and delivered by the parties thereto, (ii) the Subscription Agreement will be governed by New York law and will be in compliance with all applicable provisions of Marshall Islands and U.S. Federal and State laws, and (iii) the Rights will have been duly and validly authorized, executed and delivered by the Partnership and, such Rights will be issued (a) against receipt of consideration therefor approved by the Partnership and (b) as provided in the Subscription Agreement.</w:t>
      </w:r>
    </w:p>
    <w:p>
      <w:pPr>
        <w:spacing w:after="0" w:line="188"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With respect to the issuance and sale of any Combination Units, we have further assumed that (i) a unit agreement (the “</w:t>
      </w:r>
      <w:r>
        <w:rPr>
          <w:rFonts w:ascii="Arial" w:cs="Arial" w:eastAsia="Arial" w:hAnsi="Arial"/>
          <w:sz w:val="17"/>
          <w:szCs w:val="17"/>
          <w:u w:val="single" w:color="auto"/>
          <w:color w:val="auto"/>
        </w:rPr>
        <w:t>Unit Agreement</w:t>
      </w:r>
      <w:r>
        <w:rPr>
          <w:rFonts w:ascii="Arial" w:cs="Arial" w:eastAsia="Arial" w:hAnsi="Arial"/>
          <w:sz w:val="17"/>
          <w:szCs w:val="17"/>
          <w:color w:val="auto"/>
        </w:rPr>
        <w:t>”) with respect to such Combination Units will have been executed and delivered by the Partnership, as issuer, and a unit agent, (ii) the Unit Agreement will be governed by New York law and will be in compliance with all applicable provisions of Marshall Islands and U.S. Federal and State laws, (iii) the Combination Units will have been duly and validly authorized, created, executed and delivered by the Partnership and duly executed by the unit agent appointed by the Partnership, and (iv) the Combination Units will have been issued and delivered by the Partnership (a) against receipt of the consideration therefor approved by the Partnership and (b) as provided in the Unit Agreement.</w:t>
      </w:r>
    </w:p>
    <w:p>
      <w:pPr>
        <w:spacing w:after="0" w:line="178"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This opinion is limited to Marshall Islands Law as of the date hereof. In rendering our opinion as to the valid existence in good standing of the Partnership, we have relied solely on a Certificate of Goodstanding issued by the Registrar of Corporations of the Republic of the Marshall Islands on October 9, 2020.</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Based on the foregoing and having regard to legal considerations which we deem relevant, we are of the opinion that:</w:t>
      </w:r>
    </w:p>
    <w:p>
      <w:pPr>
        <w:spacing w:after="0" w:line="225" w:lineRule="exact"/>
        <w:rPr>
          <w:sz w:val="20"/>
          <w:szCs w:val="20"/>
          <w:color w:val="auto"/>
        </w:rPr>
      </w:pPr>
    </w:p>
    <w:p>
      <w:pPr>
        <w:ind w:left="1300" w:right="20" w:hanging="644"/>
        <w:spacing w:after="0" w:line="277" w:lineRule="auto"/>
        <w:tabs>
          <w:tab w:leader="none" w:pos="1313"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Partnership is a limited partnership duly formed, validly existing and in good standing under the law of the Republic of The Marshall Islands and has the limited partnership power to issue the Securities.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1" w:name="page162"/>
    <w:bookmarkEnd w:id="161"/>
    <w:p>
      <w:pPr>
        <w:jc w:val="both"/>
        <w:ind w:left="1300" w:right="60" w:hanging="644"/>
        <w:spacing w:after="0" w:line="286" w:lineRule="auto"/>
        <w:tabs>
          <w:tab w:leader="none" w:pos="1303" w:val="left"/>
        </w:tabs>
        <w:numPr>
          <w:ilvl w:val="0"/>
          <w:numId w:val="138"/>
        </w:numPr>
        <w:rPr>
          <w:rFonts w:ascii="Arial" w:cs="Arial" w:eastAsia="Arial" w:hAnsi="Arial"/>
          <w:sz w:val="17"/>
          <w:szCs w:val="17"/>
          <w:color w:val="auto"/>
        </w:rPr>
      </w:pPr>
      <w:r>
        <w:rPr>
          <w:rFonts w:ascii="Arial" w:cs="Arial" w:eastAsia="Arial" w:hAnsi="Arial"/>
          <w:sz w:val="17"/>
          <w:szCs w:val="17"/>
          <w:color w:val="auto"/>
        </w:rPr>
        <w:t>Any Securities consisting of Common Units, Series A Preference Units, Series B Preference Units, Series C Preference Units and Other Units when issued and delivered against payment therefor, will be duly and validly issued, fully paid and non-assessable (except as such non-assessability may be affected by Sections 30, 41, 51 and 60 of the Marshall Islands Limited Partnership Act).</w:t>
      </w:r>
    </w:p>
    <w:p>
      <w:pPr>
        <w:spacing w:after="0" w:line="165" w:lineRule="exact"/>
        <w:rPr>
          <w:rFonts w:ascii="Arial" w:cs="Arial" w:eastAsia="Arial" w:hAnsi="Arial"/>
          <w:sz w:val="17"/>
          <w:szCs w:val="17"/>
          <w:color w:val="auto"/>
        </w:rPr>
      </w:pPr>
    </w:p>
    <w:p>
      <w:pPr>
        <w:ind w:left="1300" w:hanging="644"/>
        <w:spacing w:after="0" w:line="259" w:lineRule="auto"/>
        <w:tabs>
          <w:tab w:leader="none" w:pos="1303"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Any Securities consisting of Warrants, Debt Securities, Rights or Combination Units when issued and delivered pursuant to the terms of the applicable Warrant Agreement, Indenture, Subscription Agreement or Unit Agreement, as the case may be, will constitute legal, valid and binding obligations of the Partnership, and will be, in the case of the Debt Securities, entitled to the benefits provided by such Indenture.</w:t>
      </w:r>
    </w:p>
    <w:p>
      <w:pPr>
        <w:spacing w:after="0" w:line="187"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Our opinion is as of the date hereof and we have no responsibility to update this opinion for events and circumstances occurring after the date hereof or as to facts relating to prior events that are subsequently brought to our attention. We disavow any undertaking to advise you of any changes in laws.</w:t>
      </w:r>
    </w:p>
    <w:p>
      <w:pPr>
        <w:spacing w:after="0" w:line="184"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We consent to the filing of this opinion as an exhibit to the Registration Statement and to the reference to our name under the caption “Legal Matters” in such Registration Statement. In giving such consent, we do not admit that we are in the category of persons whose consent is required under Section 7 of the Act.</w:t>
      </w:r>
    </w:p>
    <w:p>
      <w:pPr>
        <w:spacing w:after="0" w:line="18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COZEN O’CONNOR</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b w:val="1"/>
          <w:bCs w:val="1"/>
          <w:color w:val="auto"/>
        </w:rPr>
        <w:t>Exhibit 5.2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CRAVATH, SWAINE &amp; MOORE LLP]</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Office]</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October 9,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GasLog Partners 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Registration Statement on Form F-3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We have acted as special United States counsel for GasLog Partners LP, a master limited partnership organized under the laws of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Republic of the Marshall Islands (the “</w:t>
      </w:r>
      <w:r>
        <w:rPr>
          <w:rFonts w:ascii="Arial" w:cs="Arial" w:eastAsia="Arial" w:hAnsi="Arial"/>
          <w:sz w:val="17"/>
          <w:szCs w:val="17"/>
          <w:u w:val="single" w:color="auto"/>
          <w:color w:val="auto"/>
        </w:rPr>
        <w:t>Partnership</w:t>
      </w:r>
      <w:r>
        <w:rPr>
          <w:rFonts w:ascii="Arial" w:cs="Arial" w:eastAsia="Arial" w:hAnsi="Arial"/>
          <w:sz w:val="17"/>
          <w:szCs w:val="17"/>
          <w:color w:val="auto"/>
        </w:rPr>
        <w:t>”), in connection with the preparation and filing with the Securities and Exchange Commission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Commission</w:t>
      </w:r>
      <w:r>
        <w:rPr>
          <w:rFonts w:ascii="Arial" w:cs="Arial" w:eastAsia="Arial" w:hAnsi="Arial"/>
          <w:sz w:val="16"/>
          <w:szCs w:val="16"/>
          <w:color w:val="auto"/>
        </w:rPr>
        <w:t>”) of a registration statement on Form F-3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respect to the registration under the Securities Act and the proposed issuance and sale from time to time pursuant to Rule 415 under the Securities Act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up to an aggregate initial offering amount of $400,000,000 of (i) common units representing limited partner interests of the Partnership (the “</w:t>
      </w:r>
      <w:r>
        <w:rPr>
          <w:rFonts w:ascii="Arial" w:cs="Arial" w:eastAsia="Arial" w:hAnsi="Arial"/>
          <w:sz w:val="16"/>
          <w:szCs w:val="16"/>
          <w:u w:val="single" w:color="auto"/>
          <w:color w:val="auto"/>
        </w:rPr>
        <w:t>Common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Units</w:t>
      </w:r>
      <w:r>
        <w:rPr>
          <w:rFonts w:ascii="Arial" w:cs="Arial" w:eastAsia="Arial" w:hAnsi="Arial"/>
          <w:sz w:val="17"/>
          <w:szCs w:val="17"/>
          <w:color w:val="auto"/>
        </w:rPr>
        <w:t>”), (ii) 8.625% Series A Cumulative Redeemable Perpetual to Fixed Floating Rate Preference Units representing limited partner interests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A Preference Units</w:t>
      </w:r>
      <w:r>
        <w:rPr>
          <w:rFonts w:ascii="Arial" w:cs="Arial" w:eastAsia="Arial" w:hAnsi="Arial"/>
          <w:sz w:val="16"/>
          <w:szCs w:val="16"/>
          <w:color w:val="auto"/>
        </w:rPr>
        <w:t>”), (iii) 8.200% Series B Cumulative Redeemable Perpetual to Fixed Floating Rate Preference Units representing limited partner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interests (the “</w:t>
      </w:r>
      <w:r>
        <w:rPr>
          <w:rFonts w:ascii="Arial" w:cs="Arial" w:eastAsia="Arial" w:hAnsi="Arial"/>
          <w:sz w:val="16"/>
          <w:szCs w:val="16"/>
          <w:u w:val="single" w:color="auto"/>
          <w:color w:val="auto"/>
        </w:rPr>
        <w:t>Series B Preference Units</w:t>
      </w:r>
      <w:r>
        <w:rPr>
          <w:rFonts w:ascii="Arial" w:cs="Arial" w:eastAsia="Arial" w:hAnsi="Arial"/>
          <w:sz w:val="16"/>
          <w:szCs w:val="16"/>
          <w:color w:val="auto"/>
        </w:rPr>
        <w:t>”), (iv) 8.500% Series C Cumulative Redeemable Perpetual to Fixed Floating Rate Preference Units representing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limited partner interests (the “</w:t>
      </w:r>
      <w:r>
        <w:rPr>
          <w:rFonts w:ascii="Arial" w:cs="Arial" w:eastAsia="Arial" w:hAnsi="Arial"/>
          <w:sz w:val="16"/>
          <w:szCs w:val="16"/>
          <w:u w:val="single" w:color="auto"/>
          <w:color w:val="auto"/>
        </w:rPr>
        <w:t>Series C Preference Units</w:t>
      </w:r>
      <w:r>
        <w:rPr>
          <w:rFonts w:ascii="Arial" w:cs="Arial" w:eastAsia="Arial" w:hAnsi="Arial"/>
          <w:sz w:val="16"/>
          <w:szCs w:val="16"/>
          <w:color w:val="auto"/>
        </w:rPr>
        <w:t>”), (v) other classes of units representing limited partner interests of the Partnership (the “</w:t>
      </w:r>
      <w:r>
        <w:rPr>
          <w:rFonts w:ascii="Arial" w:cs="Arial" w:eastAsia="Arial" w:hAnsi="Arial"/>
          <w:sz w:val="16"/>
          <w:szCs w:val="16"/>
          <w:u w:val="single" w:color="auto"/>
          <w:color w:val="auto"/>
        </w:rPr>
        <w:t>Other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Units</w:t>
      </w:r>
      <w:r>
        <w:rPr>
          <w:rFonts w:ascii="Arial" w:cs="Arial" w:eastAsia="Arial" w:hAnsi="Arial"/>
          <w:sz w:val="17"/>
          <w:szCs w:val="17"/>
          <w:color w:val="auto"/>
        </w:rPr>
        <w:t>”), (vi) debt securities of the Partnership (the “</w:t>
      </w:r>
      <w:r>
        <w:rPr>
          <w:rFonts w:ascii="Arial" w:cs="Arial" w:eastAsia="Arial" w:hAnsi="Arial"/>
          <w:sz w:val="17"/>
          <w:szCs w:val="17"/>
          <w:u w:val="single" w:color="auto"/>
          <w:color w:val="auto"/>
        </w:rPr>
        <w:t>Debt Securities</w:t>
      </w:r>
      <w:r>
        <w:rPr>
          <w:rFonts w:ascii="Arial" w:cs="Arial" w:eastAsia="Arial" w:hAnsi="Arial"/>
          <w:sz w:val="17"/>
          <w:szCs w:val="17"/>
          <w:color w:val="auto"/>
        </w:rPr>
        <w:t>”), (vii) warrants to purchase Common Units, Other Units or other rights of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Partnership (the “</w:t>
      </w:r>
      <w:r>
        <w:rPr>
          <w:rFonts w:ascii="Arial" w:cs="Arial" w:eastAsia="Arial" w:hAnsi="Arial"/>
          <w:sz w:val="17"/>
          <w:szCs w:val="17"/>
          <w:u w:val="single" w:color="auto"/>
          <w:color w:val="auto"/>
        </w:rPr>
        <w:t>Warrants</w:t>
      </w:r>
      <w:r>
        <w:rPr>
          <w:rFonts w:ascii="Arial" w:cs="Arial" w:eastAsia="Arial" w:hAnsi="Arial"/>
          <w:sz w:val="17"/>
          <w:szCs w:val="17"/>
          <w:color w:val="auto"/>
        </w:rPr>
        <w:t>”), (viii) rights to purchase Common Units or Other Units (the “</w:t>
      </w:r>
      <w:r>
        <w:rPr>
          <w:rFonts w:ascii="Arial" w:cs="Arial" w:eastAsia="Arial" w:hAnsi="Arial"/>
          <w:sz w:val="17"/>
          <w:szCs w:val="17"/>
          <w:u w:val="single" w:color="auto"/>
          <w:color w:val="auto"/>
        </w:rPr>
        <w:t>Rights</w:t>
      </w:r>
      <w:r>
        <w:rPr>
          <w:rFonts w:ascii="Arial" w:cs="Arial" w:eastAsia="Arial" w:hAnsi="Arial"/>
          <w:sz w:val="17"/>
          <w:szCs w:val="17"/>
          <w:color w:val="auto"/>
        </w:rPr>
        <w:t>”) and (ix) units consisting of any combination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Common Units, Series A Preference Units, Series B Preference Units, Series C Preference Units, Other Units, Debt Securities, Warrants and Rights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Combination Units</w:t>
      </w:r>
      <w:r>
        <w:rPr>
          <w:rFonts w:ascii="Arial" w:cs="Arial" w:eastAsia="Arial" w:hAnsi="Arial"/>
          <w:sz w:val="18"/>
          <w:szCs w:val="18"/>
          <w:color w:val="auto"/>
        </w:rPr>
        <w:t>” and, together with the securities specified in clauses (i) through (viii) above, the “</w:t>
      </w:r>
      <w:r>
        <w:rPr>
          <w:rFonts w:ascii="Arial" w:cs="Arial" w:eastAsia="Arial" w:hAnsi="Arial"/>
          <w:sz w:val="18"/>
          <w:szCs w:val="18"/>
          <w:u w:val="single" w:color="auto"/>
          <w:color w:val="auto"/>
        </w:rPr>
        <w:t>Securities</w:t>
      </w:r>
      <w:r>
        <w:rPr>
          <w:rFonts w:ascii="Arial" w:cs="Arial" w:eastAsia="Arial" w:hAnsi="Arial"/>
          <w:sz w:val="18"/>
          <w:szCs w:val="18"/>
          <w:color w:val="auto"/>
        </w:rPr>
        <w:t>”).</w:t>
      </w:r>
    </w:p>
    <w:p>
      <w:pPr>
        <w:spacing w:after="0" w:line="211" w:lineRule="exact"/>
        <w:rPr>
          <w:sz w:val="20"/>
          <w:szCs w:val="20"/>
          <w:color w:val="auto"/>
        </w:rPr>
      </w:pPr>
    </w:p>
    <w:p>
      <w:pPr>
        <w:ind w:right="180" w:firstLine="1296"/>
        <w:spacing w:after="0" w:line="275" w:lineRule="auto"/>
        <w:rPr>
          <w:sz w:val="20"/>
          <w:szCs w:val="20"/>
          <w:color w:val="auto"/>
        </w:rPr>
      </w:pPr>
      <w:r>
        <w:rPr>
          <w:rFonts w:ascii="Arial" w:cs="Arial" w:eastAsia="Arial" w:hAnsi="Arial"/>
          <w:sz w:val="17"/>
          <w:szCs w:val="17"/>
          <w:color w:val="auto"/>
        </w:rPr>
        <w:t>In connection with this opinion, we have examined originals, or copies certified or otherwise identified to our satisfaction, of such documents, corporate records and other instruments as we have deemed necessary or appropriate for the purposes of this opinion. As to various questions of fact material to this opinion, we have relied upon representations of officers or directors of the Partnership and documents furnished to us by the Partnership without independent verification of their accuracy. We have also assumed the genuineness of all signatures, the authenticity of all documents submitted to us as originals and the conformity to authentic original documents of all documents submitted to us as copies.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187325</wp:posOffset>
            </wp:positionV>
            <wp:extent cx="7153275"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63" w:name="page164"/>
    <w:bookmarkEnd w:id="163"/>
    <w:p>
      <w:pPr>
        <w:ind w:firstLine="1296"/>
        <w:spacing w:after="0" w:line="286" w:lineRule="auto"/>
        <w:rPr>
          <w:sz w:val="20"/>
          <w:szCs w:val="20"/>
          <w:color w:val="auto"/>
        </w:rPr>
      </w:pPr>
      <w:r>
        <w:rPr>
          <w:rFonts w:ascii="Arial" w:cs="Arial" w:eastAsia="Arial" w:hAnsi="Arial"/>
          <w:sz w:val="16"/>
          <w:szCs w:val="16"/>
          <w:color w:val="auto"/>
        </w:rPr>
        <w:t>Based upon and subject to the foregoing, and assuming that: (a) the Registration Statement and any supplements and amendments thereto (including post-effective amendments) will have become effective and will comply with all applicable laws, (b) the Registration Statement will be effective and will comply with all applicable laws at the time the Debt Securities, Warrants, Rights or Combination Units are offered or issued as contemplated by the Registration Statement, (c) a prospectus supplement will have been prepared and filed with the Commission describing any Debt Securities, Warrants, Rights or Combination Units offered thereby and will comply with all applicable laws, (d) any Debt Securities, Warrants, Rights or Combination Units will be issued and sold in compliance with all applicable Federal and state securities laws and in the manner stated in the Registration Statement and the appropriate prospectus supplement, (e) the Indenture, Warrant Agreement, Rights Agreement and Unit Agreement, each as defined below, will be governed by the laws of the State of New York, (f) a definitive purchase, underwriting or similar agreement with respect to any Debt Securities, Warrants, Rights or Combination Units offered or issued will have been duly authorized and validly executed and delivered by the Partnership, together with the other parties thereto, (g) none of the terms of the Debt Securities, Warrants, Rights or Combination Units, nor the issuance and delivery of the Debt Securities, Warrants, Rights or Combination Units, nor the compliance by the Partnership with the terms of the Debt Securities, Warrants, Rights or Combination Units will violate any applicable laws or will result in a violation of any provision of any instrument or agreement then binding upon the Partnership, or any restriction imposed by any court or governmental body having jurisdiction over the Partnership and (h) any Securities issuable upon conversion, exchange or exercise of any Security being offered or issued will be duly authorized, created and, if appropriate, reserved for issuance upon such conversion, exchange or exercise, we are of the opinion that:</w:t>
      </w:r>
    </w:p>
    <w:p>
      <w:pPr>
        <w:spacing w:after="0" w:line="167" w:lineRule="exact"/>
        <w:rPr>
          <w:sz w:val="20"/>
          <w:szCs w:val="20"/>
          <w:color w:val="auto"/>
        </w:rPr>
      </w:pPr>
    </w:p>
    <w:p>
      <w:pPr>
        <w:ind w:firstLine="1304"/>
        <w:spacing w:after="0" w:line="288" w:lineRule="auto"/>
        <w:tabs>
          <w:tab w:leader="none" w:pos="1476" w:val="left"/>
        </w:tabs>
        <w:numPr>
          <w:ilvl w:val="0"/>
          <w:numId w:val="139"/>
        </w:numPr>
        <w:rPr>
          <w:rFonts w:ascii="Arial" w:cs="Arial" w:eastAsia="Arial" w:hAnsi="Arial"/>
          <w:sz w:val="16"/>
          <w:szCs w:val="16"/>
          <w:color w:val="auto"/>
        </w:rPr>
      </w:pPr>
      <w:r>
        <w:rPr>
          <w:rFonts w:ascii="Arial" w:cs="Arial" w:eastAsia="Arial" w:hAnsi="Arial"/>
          <w:sz w:val="16"/>
          <w:szCs w:val="16"/>
          <w:color w:val="auto"/>
        </w:rPr>
        <w:t>With respect to the Debt Securities to be issued in one or more series under an indenture (the “</w:t>
      </w:r>
      <w:r>
        <w:rPr>
          <w:rFonts w:ascii="Arial" w:cs="Arial" w:eastAsia="Arial" w:hAnsi="Arial"/>
          <w:sz w:val="16"/>
          <w:szCs w:val="16"/>
          <w:u w:val="single" w:color="auto"/>
          <w:color w:val="auto"/>
        </w:rPr>
        <w:t>Indenture</w:t>
      </w:r>
      <w:r>
        <w:rPr>
          <w:rFonts w:ascii="Arial" w:cs="Arial" w:eastAsia="Arial" w:hAnsi="Arial"/>
          <w:sz w:val="16"/>
          <w:szCs w:val="16"/>
          <w:color w:val="auto"/>
        </w:rPr>
        <w:t>”) to be entered into by the Partnership and a trustee (the “</w:t>
      </w:r>
      <w:r>
        <w:rPr>
          <w:rFonts w:ascii="Arial" w:cs="Arial" w:eastAsia="Arial" w:hAnsi="Arial"/>
          <w:sz w:val="16"/>
          <w:szCs w:val="16"/>
          <w:u w:val="single" w:color="auto"/>
          <w:color w:val="auto"/>
        </w:rPr>
        <w:t>Trustee</w:t>
      </w:r>
      <w:r>
        <w:rPr>
          <w:rFonts w:ascii="Arial" w:cs="Arial" w:eastAsia="Arial" w:hAnsi="Arial"/>
          <w:sz w:val="16"/>
          <w:szCs w:val="16"/>
          <w:color w:val="auto"/>
        </w:rPr>
        <w:t>”), when (a) the Trustee is qualified to act as Trustee under the Indenture, (b) the Trustee has duly executed and delivered the Indenture, (c) the Indenture has been duly authorized and validly executed and delivered by the Partnership to the Trustee, (d) the Indenture has been duly qualified under the Trust Indenture Act of 1939, as amended, (e) the board of directors of the Partnership, a duly constituted and acting committee thereof or any officers of the Partnership delegated such authority (such board of directors, committee or officers being hereinafter referred to as the “</w:t>
      </w:r>
      <w:r>
        <w:rPr>
          <w:rFonts w:ascii="Arial" w:cs="Arial" w:eastAsia="Arial" w:hAnsi="Arial"/>
          <w:sz w:val="16"/>
          <w:szCs w:val="16"/>
          <w:u w:val="single" w:color="auto"/>
          <w:color w:val="auto"/>
        </w:rPr>
        <w:t>Board</w:t>
      </w:r>
      <w:r>
        <w:rPr>
          <w:rFonts w:ascii="Arial" w:cs="Arial" w:eastAsia="Arial" w:hAnsi="Arial"/>
          <w:sz w:val="16"/>
          <w:szCs w:val="16"/>
          <w:color w:val="auto"/>
        </w:rPr>
        <w:t>”) has taken all necessary corporate action to approve the due and valid issuance and terms of a particular series of Debt Securities, the terms of the offering thereof and related matters and (f) such Debt Securities have been duly executed, authenticated, issued and delivered in accordance with the provisions of the Indenture, including any supplemental indenture related thereto, and the applicable definitive purchase, underwriting or similar agreement approved by the Board, upon payment of the consideration therefor provided for therein, such Debt Securities will constitute valid and binding obligations of the Partnership, enforceable against the Partnership in accordance with their terms.</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164" w:name="page165"/>
    <w:bookmarkEnd w:id="164"/>
    <w:p>
      <w:pPr>
        <w:jc w:val="both"/>
        <w:ind w:right="260" w:firstLine="1304"/>
        <w:spacing w:after="0" w:line="291" w:lineRule="auto"/>
        <w:tabs>
          <w:tab w:leader="none" w:pos="1476" w:val="left"/>
        </w:tabs>
        <w:numPr>
          <w:ilvl w:val="1"/>
          <w:numId w:val="140"/>
        </w:numPr>
        <w:rPr>
          <w:rFonts w:ascii="Arial" w:cs="Arial" w:eastAsia="Arial" w:hAnsi="Arial"/>
          <w:sz w:val="16"/>
          <w:szCs w:val="16"/>
          <w:color w:val="auto"/>
        </w:rPr>
      </w:pPr>
      <w:r>
        <w:rPr>
          <w:rFonts w:ascii="Arial" w:cs="Arial" w:eastAsia="Arial" w:hAnsi="Arial"/>
          <w:sz w:val="16"/>
          <w:szCs w:val="16"/>
          <w:color w:val="auto"/>
        </w:rPr>
        <w:t>With respect to the Warrants to be issued in one or more series under a warrant agreement (the “</w:t>
      </w:r>
      <w:r>
        <w:rPr>
          <w:rFonts w:ascii="Arial" w:cs="Arial" w:eastAsia="Arial" w:hAnsi="Arial"/>
          <w:sz w:val="16"/>
          <w:szCs w:val="16"/>
          <w:u w:val="single" w:color="auto"/>
          <w:color w:val="auto"/>
        </w:rPr>
        <w:t>Warrant Agreement</w:t>
      </w:r>
      <w:r>
        <w:rPr>
          <w:rFonts w:ascii="Arial" w:cs="Arial" w:eastAsia="Arial" w:hAnsi="Arial"/>
          <w:sz w:val="16"/>
          <w:szCs w:val="16"/>
          <w:color w:val="auto"/>
        </w:rPr>
        <w:t>”) to be entered into by the Partnership and a warrant agent (the “</w:t>
      </w:r>
      <w:r>
        <w:rPr>
          <w:rFonts w:ascii="Arial" w:cs="Arial" w:eastAsia="Arial" w:hAnsi="Arial"/>
          <w:sz w:val="16"/>
          <w:szCs w:val="16"/>
          <w:u w:val="single" w:color="auto"/>
          <w:color w:val="auto"/>
        </w:rPr>
        <w:t>Warrant Agent</w:t>
      </w:r>
      <w:r>
        <w:rPr>
          <w:rFonts w:ascii="Arial" w:cs="Arial" w:eastAsia="Arial" w:hAnsi="Arial"/>
          <w:sz w:val="16"/>
          <w:szCs w:val="16"/>
          <w:color w:val="auto"/>
        </w:rPr>
        <w:t>”), when (a) the Warrant Agent has duly executed and delivered the Warrant Agreement,</w:t>
      </w:r>
    </w:p>
    <w:p>
      <w:pPr>
        <w:ind w:firstLine="8"/>
        <w:spacing w:after="0" w:line="252" w:lineRule="auto"/>
        <w:tabs>
          <w:tab w:leader="none" w:pos="25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Warrant Agreement has been duly authorized and validly executed and delivered by the Partnership to the Warrant Agent, (c) the Board has taken all necessary corporate action to approve the due and valid issuance and terms of a particular series of Warrants, the terms of the offering thereof and related matters and (d) such Warrants have been duly executed, countersigned, registered and delivered in accordance with the provisions of the Warrant Agreement and the applicable definitive purchase, underwriting or similar agreement approved by the Board, upon payment of the consideration therefor provided for therein, such Warrants will constitute valid and binding obligations of the Partnership, enforceable against the Partnership in accordance with their terms.</w:t>
      </w:r>
    </w:p>
    <w:p>
      <w:pPr>
        <w:spacing w:after="0" w:line="193" w:lineRule="exact"/>
        <w:rPr>
          <w:rFonts w:ascii="Arial" w:cs="Arial" w:eastAsia="Arial" w:hAnsi="Arial"/>
          <w:sz w:val="18"/>
          <w:szCs w:val="18"/>
          <w:color w:val="auto"/>
        </w:rPr>
      </w:pPr>
    </w:p>
    <w:p>
      <w:pPr>
        <w:ind w:right="180" w:firstLine="1304"/>
        <w:spacing w:after="0" w:line="286" w:lineRule="auto"/>
        <w:tabs>
          <w:tab w:leader="none" w:pos="1476" w:val="left"/>
        </w:tabs>
        <w:numPr>
          <w:ilvl w:val="1"/>
          <w:numId w:val="141"/>
        </w:numPr>
        <w:rPr>
          <w:rFonts w:ascii="Arial" w:cs="Arial" w:eastAsia="Arial" w:hAnsi="Arial"/>
          <w:sz w:val="16"/>
          <w:szCs w:val="16"/>
          <w:color w:val="auto"/>
        </w:rPr>
      </w:pPr>
      <w:r>
        <w:rPr>
          <w:rFonts w:ascii="Arial" w:cs="Arial" w:eastAsia="Arial" w:hAnsi="Arial"/>
          <w:sz w:val="16"/>
          <w:szCs w:val="16"/>
          <w:color w:val="auto"/>
        </w:rPr>
        <w:t>With respect to the Rights to be issued in one or more series under a rights agreement (the “</w:t>
      </w:r>
      <w:r>
        <w:rPr>
          <w:rFonts w:ascii="Arial" w:cs="Arial" w:eastAsia="Arial" w:hAnsi="Arial"/>
          <w:sz w:val="16"/>
          <w:szCs w:val="16"/>
          <w:u w:val="single" w:color="auto"/>
          <w:color w:val="auto"/>
        </w:rPr>
        <w:t>Rights Agreement</w:t>
      </w:r>
      <w:r>
        <w:rPr>
          <w:rFonts w:ascii="Arial" w:cs="Arial" w:eastAsia="Arial" w:hAnsi="Arial"/>
          <w:sz w:val="16"/>
          <w:szCs w:val="16"/>
          <w:color w:val="auto"/>
        </w:rPr>
        <w:t>”) to be entered into by the Partnership and a rights agent (the “</w:t>
      </w:r>
      <w:r>
        <w:rPr>
          <w:rFonts w:ascii="Arial" w:cs="Arial" w:eastAsia="Arial" w:hAnsi="Arial"/>
          <w:sz w:val="16"/>
          <w:szCs w:val="16"/>
          <w:u w:val="single" w:color="auto"/>
          <w:color w:val="auto"/>
        </w:rPr>
        <w:t>Rights Agent</w:t>
      </w:r>
      <w:r>
        <w:rPr>
          <w:rFonts w:ascii="Arial" w:cs="Arial" w:eastAsia="Arial" w:hAnsi="Arial"/>
          <w:sz w:val="16"/>
          <w:szCs w:val="16"/>
          <w:color w:val="auto"/>
        </w:rPr>
        <w:t>”), when (a) the Rights Agent has duly executed and delivered the Rights Agreement, (b) the Rights Agreement has been duly authorized and validly executed and delivered by the Partnership to the Rights Agent, (c) the Board has taken all necessary corporate action to approve the due and valid issuance and terms of a particular series of Rights, the terms of the offering thereof and related matters and</w:t>
      </w:r>
    </w:p>
    <w:p>
      <w:pPr>
        <w:spacing w:after="0" w:line="1" w:lineRule="exact"/>
        <w:rPr>
          <w:rFonts w:ascii="Arial" w:cs="Arial" w:eastAsia="Arial" w:hAnsi="Arial"/>
          <w:sz w:val="16"/>
          <w:szCs w:val="16"/>
          <w:color w:val="auto"/>
        </w:rPr>
      </w:pPr>
    </w:p>
    <w:p>
      <w:pPr>
        <w:ind w:right="200" w:firstLine="8"/>
        <w:spacing w:after="0" w:line="277" w:lineRule="auto"/>
        <w:tabs>
          <w:tab w:leader="none" w:pos="255" w:val="left"/>
        </w:tabs>
        <w:numPr>
          <w:ilvl w:val="0"/>
          <w:numId w:val="142"/>
        </w:numPr>
        <w:rPr>
          <w:rFonts w:ascii="Arial" w:cs="Arial" w:eastAsia="Arial" w:hAnsi="Arial"/>
          <w:sz w:val="17"/>
          <w:szCs w:val="17"/>
          <w:color w:val="auto"/>
        </w:rPr>
      </w:pPr>
      <w:r>
        <w:rPr>
          <w:rFonts w:ascii="Arial" w:cs="Arial" w:eastAsia="Arial" w:hAnsi="Arial"/>
          <w:sz w:val="17"/>
          <w:szCs w:val="17"/>
          <w:color w:val="auto"/>
        </w:rPr>
        <w:t>such Rights have been duly executed and delivered in accordance with the provisions of the Rights Agreement and the applicable definitive purchase, underwriting or similar agreement approved by the Board, upon payment of the consideration therefor provided for therein, such Rights will constitute valid and binding obligations of the Partnership, enforceable against the Partnership in accordance with their terms.</w:t>
      </w:r>
    </w:p>
    <w:p>
      <w:pPr>
        <w:spacing w:after="0" w:line="172" w:lineRule="exact"/>
        <w:rPr>
          <w:rFonts w:ascii="Arial" w:cs="Arial" w:eastAsia="Arial" w:hAnsi="Arial"/>
          <w:sz w:val="17"/>
          <w:szCs w:val="17"/>
          <w:color w:val="auto"/>
        </w:rPr>
      </w:pPr>
    </w:p>
    <w:p>
      <w:pPr>
        <w:ind w:right="20" w:firstLine="1304"/>
        <w:spacing w:after="0" w:line="291" w:lineRule="auto"/>
        <w:tabs>
          <w:tab w:leader="none" w:pos="1476" w:val="left"/>
        </w:tabs>
        <w:numPr>
          <w:ilvl w:val="1"/>
          <w:numId w:val="142"/>
        </w:numPr>
        <w:rPr>
          <w:rFonts w:ascii="Arial" w:cs="Arial" w:eastAsia="Arial" w:hAnsi="Arial"/>
          <w:sz w:val="16"/>
          <w:szCs w:val="16"/>
          <w:color w:val="auto"/>
        </w:rPr>
      </w:pPr>
      <w:r>
        <w:rPr>
          <w:rFonts w:ascii="Arial" w:cs="Arial" w:eastAsia="Arial" w:hAnsi="Arial"/>
          <w:sz w:val="16"/>
          <w:szCs w:val="16"/>
          <w:color w:val="auto"/>
        </w:rPr>
        <w:t>With respect to the Combination Units to be issued in one or more series under a unit agreement (the “</w:t>
      </w:r>
      <w:r>
        <w:rPr>
          <w:rFonts w:ascii="Arial" w:cs="Arial" w:eastAsia="Arial" w:hAnsi="Arial"/>
          <w:sz w:val="16"/>
          <w:szCs w:val="16"/>
          <w:u w:val="single" w:color="auto"/>
          <w:color w:val="auto"/>
        </w:rPr>
        <w:t>Unit Agreement</w:t>
      </w:r>
      <w:r>
        <w:rPr>
          <w:rFonts w:ascii="Arial" w:cs="Arial" w:eastAsia="Arial" w:hAnsi="Arial"/>
          <w:sz w:val="16"/>
          <w:szCs w:val="16"/>
          <w:color w:val="auto"/>
        </w:rPr>
        <w:t>”) to be entered into by the Partnership and a unit agent (the “</w:t>
      </w:r>
      <w:r>
        <w:rPr>
          <w:rFonts w:ascii="Arial" w:cs="Arial" w:eastAsia="Arial" w:hAnsi="Arial"/>
          <w:sz w:val="16"/>
          <w:szCs w:val="16"/>
          <w:u w:val="single" w:color="auto"/>
          <w:color w:val="auto"/>
        </w:rPr>
        <w:t>Unit Agent</w:t>
      </w:r>
      <w:r>
        <w:rPr>
          <w:rFonts w:ascii="Arial" w:cs="Arial" w:eastAsia="Arial" w:hAnsi="Arial"/>
          <w:sz w:val="16"/>
          <w:szCs w:val="16"/>
          <w:color w:val="auto"/>
        </w:rPr>
        <w:t>”), when (a) the Unit Agent has duly executed and delivered the Unit Agreement, (b) the Unit Agreement has been duly authorized and validly executed and delivered by the Partnership to the Unit Agent, (c) the Board has taken all necessary corporate action to approve the due and valid issuance and terms of a particular series of Combination Units, the terms of the offering thereof and related matters and (d) such Combination Units have been duly executed and delivered in accordance with the provisions of the Unit Agreement and the applicable definitive purchase, underwriting or similar agreement approved by the Board, upon payment of the consideration therefor provided for therein, such Combination Units will constitute valid and binding obligations of the Partnership, enforceable against the Partnership in accordance with their terms.</w:t>
      </w:r>
    </w:p>
    <w:p>
      <w:pPr>
        <w:spacing w:after="0" w:line="166" w:lineRule="exact"/>
        <w:rPr>
          <w:sz w:val="20"/>
          <w:szCs w:val="20"/>
          <w:color w:val="auto"/>
        </w:rPr>
      </w:pPr>
    </w:p>
    <w:p>
      <w:pPr>
        <w:jc w:val="both"/>
        <w:ind w:right="280" w:firstLine="1296"/>
        <w:spacing w:after="0" w:line="286" w:lineRule="auto"/>
        <w:rPr>
          <w:sz w:val="20"/>
          <w:szCs w:val="20"/>
          <w:color w:val="auto"/>
        </w:rPr>
      </w:pPr>
      <w:r>
        <w:rPr>
          <w:rFonts w:ascii="Arial" w:cs="Arial" w:eastAsia="Arial" w:hAnsi="Arial"/>
          <w:sz w:val="17"/>
          <w:szCs w:val="17"/>
          <w:color w:val="auto"/>
        </w:rPr>
        <w:t>Our opinions in paragraphs 1 through 4 above are subject to the qualification that the enforceability of any Debt Securities, Warrants, Rights or Combination Units against the Partnership is subject to applicable bankruptcy, insolvency, fraudulent transfer, reorganization, moratorium and similar laws relating to or affecting creditors’ rights generally and by general principles of equity, including,</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5" w:name="page166"/>
    <w:bookmarkEnd w:id="165"/>
    <w:p>
      <w:pPr>
        <w:ind w:right="820"/>
        <w:spacing w:after="0" w:line="277" w:lineRule="auto"/>
        <w:rPr>
          <w:sz w:val="20"/>
          <w:szCs w:val="20"/>
          <w:color w:val="auto"/>
        </w:rPr>
      </w:pPr>
      <w:r>
        <w:rPr>
          <w:rFonts w:ascii="Arial" w:cs="Arial" w:eastAsia="Arial" w:hAnsi="Arial"/>
          <w:sz w:val="18"/>
          <w:szCs w:val="18"/>
          <w:color w:val="auto"/>
        </w:rPr>
        <w:t>without limitation, concepts of materiality, reasonableness, good faith and fair dealing, regardless of whether such enforceability is considered in proceeding in equity or at law.</w:t>
      </w:r>
    </w:p>
    <w:p>
      <w:pPr>
        <w:spacing w:after="0" w:line="170" w:lineRule="exact"/>
        <w:rPr>
          <w:sz w:val="20"/>
          <w:szCs w:val="20"/>
          <w:color w:val="auto"/>
        </w:rPr>
      </w:pPr>
    </w:p>
    <w:p>
      <w:pPr>
        <w:ind w:firstLine="1296"/>
        <w:spacing w:after="0" w:line="271" w:lineRule="auto"/>
        <w:rPr>
          <w:sz w:val="20"/>
          <w:szCs w:val="20"/>
          <w:color w:val="auto"/>
        </w:rPr>
      </w:pPr>
      <w:r>
        <w:rPr>
          <w:rFonts w:ascii="Arial" w:cs="Arial" w:eastAsia="Arial" w:hAnsi="Arial"/>
          <w:sz w:val="17"/>
          <w:szCs w:val="17"/>
          <w:color w:val="auto"/>
        </w:rPr>
        <w:t>We express no opinion herein as to any provision of the Indenture, Warrant Agreement, Rights Agreement or Unit Agreement or the Debt Securities, Warrants, Rights or Combination Units that (a) relates to the subject matter jurisdiction of any Federal court of the United States of America, or any Federal appellate court, to adjudicate any controversy related thereto, (b) contains a waiver of an inconvenient forum, (c) relates to the waiver of rights to jury trial or (d) provides for indemnification, contribution or limitations on liability. We also express no opinion as to (i) the enforceability of the provisions of the Indenture, Warrant Agreement, Rights Agreement or Unit Agreement or the Debt Securities, Warrants, Rights or Combination Units to the extent that such provisions constitute a waiver of illegality as a defense to performance of contract obligations or any other defense to performance which cannot, as a matter of law, be effectively waived or (ii) whether a state court outside the State of New York or a Federal court of the United States would give effect to the choice of New York law provided for therein.</w:t>
      </w:r>
    </w:p>
    <w:p>
      <w:pPr>
        <w:spacing w:after="0" w:line="178" w:lineRule="exact"/>
        <w:rPr>
          <w:sz w:val="20"/>
          <w:szCs w:val="20"/>
          <w:color w:val="auto"/>
        </w:rPr>
      </w:pPr>
    </w:p>
    <w:p>
      <w:pPr>
        <w:ind w:right="60" w:firstLine="1296"/>
        <w:spacing w:after="0" w:line="257" w:lineRule="auto"/>
        <w:rPr>
          <w:sz w:val="20"/>
          <w:szCs w:val="20"/>
          <w:color w:val="auto"/>
        </w:rPr>
      </w:pPr>
      <w:r>
        <w:rPr>
          <w:rFonts w:ascii="Arial" w:cs="Arial" w:eastAsia="Arial" w:hAnsi="Arial"/>
          <w:sz w:val="18"/>
          <w:szCs w:val="18"/>
          <w:color w:val="auto"/>
        </w:rPr>
        <w:t>Courts in the United States have not customarily rendered judgments for money damages denominated in any currency other than United States dollars. Section 27(b) of the Judiciary Law of the State of New York provides, however, that a judgment or decree in an action based upon an obligation denominated in a currency other than United States dollars shall be rendered in the foreign currency of the underlying obligation and converted into United States dollars at the rate of exchange prevailing on the date of the entry of the judgment or decree. We express no opinion as to whether a Federal court would render a judgment other than in United States dollars.</w:t>
      </w:r>
    </w:p>
    <w:p>
      <w:pPr>
        <w:spacing w:after="0" w:line="188" w:lineRule="exact"/>
        <w:rPr>
          <w:sz w:val="20"/>
          <w:szCs w:val="20"/>
          <w:color w:val="auto"/>
        </w:rPr>
      </w:pPr>
    </w:p>
    <w:p>
      <w:pPr>
        <w:ind w:right="80" w:firstLine="1296"/>
        <w:spacing w:after="0" w:line="259" w:lineRule="auto"/>
        <w:rPr>
          <w:sz w:val="20"/>
          <w:szCs w:val="20"/>
          <w:color w:val="auto"/>
        </w:rPr>
      </w:pPr>
      <w:r>
        <w:rPr>
          <w:rFonts w:ascii="Arial" w:cs="Arial" w:eastAsia="Arial" w:hAnsi="Arial"/>
          <w:sz w:val="18"/>
          <w:szCs w:val="18"/>
          <w:color w:val="auto"/>
        </w:rPr>
        <w:t>We are admitted to practice in the State of New York and express no opinion as to matters governed by any laws other than the laws of the State of New York and the Federal laws of the United States of America. In particular, we do not purport to pass on any matter governed by the laws of the Republic of the Marshall Islands. With respect to all matters of Marshall Islands law, we note that you are being provided with the opinion, dated the date hereof, of Cozen O’Connor, special counsel on Marshall Island law to the Partnership.</w:t>
      </w:r>
    </w:p>
    <w:p>
      <w:pPr>
        <w:spacing w:after="0" w:line="187" w:lineRule="exact"/>
        <w:rPr>
          <w:sz w:val="20"/>
          <w:szCs w:val="20"/>
          <w:color w:val="auto"/>
        </w:rPr>
      </w:pPr>
    </w:p>
    <w:p>
      <w:pPr>
        <w:ind w:firstLine="1296"/>
        <w:spacing w:after="0" w:line="257" w:lineRule="auto"/>
        <w:rPr>
          <w:sz w:val="20"/>
          <w:szCs w:val="20"/>
          <w:color w:val="auto"/>
        </w:rPr>
      </w:pPr>
      <w:r>
        <w:rPr>
          <w:rFonts w:ascii="Arial" w:cs="Arial" w:eastAsia="Arial" w:hAnsi="Arial"/>
          <w:sz w:val="18"/>
          <w:szCs w:val="18"/>
          <w:color w:val="auto"/>
        </w:rPr>
        <w:t>We understand that we may be referred to as counsel for certain matters relating to United States law in the prospectus and in any prospectus supplement forming a part of the Registration Statement, and we hereby consent to such use of our name in the Registration Statement and to the use of this opinion for filing with the Registration Statement as Exhibit 5.2 thereto. In giving this consent, we do not hereby admit that we are within the category of persons whose consent is required under Section 7 of the Securities Act or the rules and regulations of the Commission promulgated thereunder.</w:t>
      </w:r>
    </w:p>
    <w:p>
      <w:pPr>
        <w:spacing w:after="0" w:line="18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Cravath, Swaine &amp; Moore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GasLog Partners LP</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69 Akti Miaouli</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18537 Piraeus, Greece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consent to the incorporation by reference in this Registration Statement on Form F-3 of our reports dated March 3, 2020 relating to the financial statements of GasLog Partners LP (the “Partnership”) and the effectiveness of the Partnership’s internal control over financial reporting, appearing in the Annual Report on Form 20-F of the Company for the year ended December 31, 2019. We also consent to the reference to us under the heading “Experts” in such Registration Statement.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Deloitte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London, 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153275"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94764"/>
    <w:multiLevelType w:val="hybridMultilevel"/>
    <w:lvl w:ilvl="0">
      <w:lvlJc w:val="left"/>
      <w:lvlText w:val="(%1)"/>
      <w:numFmt w:val="decimal"/>
      <w:start w:val="1"/>
    </w:lvl>
  </w:abstractNum>
  <w:abstractNum w:abstractNumId="1">
    <w:nsid w:val="42C296BD"/>
    <w:multiLevelType w:val="hybridMultilevel"/>
    <w:lvl w:ilvl="0">
      <w:lvlJc w:val="left"/>
      <w:lvlText w:val="•"/>
      <w:numFmt w:val="bullet"/>
      <w:start w:val="1"/>
    </w:lvl>
  </w:abstractNum>
  <w:abstractNum w:abstractNumId="2">
    <w:nsid w:val="168E121F"/>
    <w:multiLevelType w:val="hybridMultilevel"/>
    <w:lvl w:ilvl="0">
      <w:lvlJc w:val="left"/>
      <w:lvlText w:val="•"/>
      <w:numFmt w:val="bullet"/>
      <w:start w:val="1"/>
    </w:lvl>
  </w:abstractNum>
  <w:abstractNum w:abstractNumId="3">
    <w:nsid w:val="1EBA5D23"/>
    <w:multiLevelType w:val="hybridMultilevel"/>
    <w:lvl w:ilvl="0">
      <w:lvlJc w:val="left"/>
      <w:lvlText w:val="•"/>
      <w:numFmt w:val="bullet"/>
      <w:start w:val="1"/>
    </w:lvl>
  </w:abstractNum>
  <w:abstractNum w:abstractNumId="4">
    <w:nsid w:val="661E3F1E"/>
    <w:multiLevelType w:val="hybridMultilevel"/>
    <w:lvl w:ilvl="0">
      <w:lvlJc w:val="left"/>
      <w:lvlText w:val="(%1)"/>
      <w:numFmt w:val="decimal"/>
      <w:start w:val="1"/>
    </w:lvl>
  </w:abstractNum>
  <w:abstractNum w:abstractNumId="5">
    <w:nsid w:val="5DC79EA8"/>
    <w:multiLevelType w:val="hybridMultilevel"/>
    <w:lvl w:ilvl="0">
      <w:lvlJc w:val="left"/>
      <w:lvlText w:val="•"/>
      <w:numFmt w:val="bullet"/>
      <w:start w:val="1"/>
    </w:lvl>
  </w:abstractNum>
  <w:abstractNum w:abstractNumId="6">
    <w:nsid w:val="540A471C"/>
    <w:multiLevelType w:val="hybridMultilevel"/>
    <w:lvl w:ilvl="0">
      <w:lvlJc w:val="left"/>
      <w:lvlText w:val="•"/>
      <w:numFmt w:val="bullet"/>
      <w:start w:val="1"/>
    </w:lvl>
  </w:abstractNum>
  <w:abstractNum w:abstractNumId="7">
    <w:nsid w:val="7BD3EE7B"/>
    <w:multiLevelType w:val="hybridMultilevel"/>
    <w:lvl w:ilvl="0">
      <w:lvlJc w:val="left"/>
      <w:lvlText w:val="•"/>
      <w:numFmt w:val="bullet"/>
      <w:start w:val="1"/>
    </w:lvl>
    <w:lvl w:ilvl="1">
      <w:lvlJc w:val="left"/>
      <w:lvlText w:val="•"/>
      <w:numFmt w:val="bullet"/>
      <w:start w:val="1"/>
    </w:lvl>
  </w:abstractNum>
  <w:abstractNum w:abstractNumId="8">
    <w:nsid w:val="51D9C564"/>
    <w:multiLevelType w:val="hybridMultilevel"/>
    <w:lvl w:ilvl="0">
      <w:lvlJc w:val="left"/>
      <w:lvlText w:val="•"/>
      <w:numFmt w:val="bullet"/>
      <w:start w:val="1"/>
    </w:lvl>
  </w:abstractNum>
  <w:abstractNum w:abstractNumId="9">
    <w:nsid w:val="613EFDC5"/>
    <w:multiLevelType w:val="hybridMultilevel"/>
    <w:lvl w:ilvl="0">
      <w:lvlJc w:val="left"/>
      <w:lvlText w:val="•"/>
      <w:numFmt w:val="bullet"/>
      <w:start w:val="1"/>
    </w:lvl>
  </w:abstractNum>
  <w:abstractNum w:abstractNumId="10">
    <w:nsid w:val="BF72B14"/>
    <w:multiLevelType w:val="hybridMultilevel"/>
    <w:lvl w:ilvl="0">
      <w:lvlJc w:val="left"/>
      <w:lvlText w:val="•"/>
      <w:numFmt w:val="bullet"/>
      <w:start w:val="1"/>
    </w:lvl>
  </w:abstractNum>
  <w:abstractNum w:abstractNumId="11">
    <w:nsid w:val="11447B73"/>
    <w:multiLevelType w:val="hybridMultilevel"/>
    <w:lvl w:ilvl="0">
      <w:lvlJc w:val="left"/>
      <w:lvlText w:val="•"/>
      <w:numFmt w:val="bullet"/>
      <w:start w:val="1"/>
    </w:lvl>
  </w:abstractNum>
  <w:abstractNum w:abstractNumId="12">
    <w:nsid w:val="42963E5A"/>
    <w:multiLevelType w:val="hybridMultilevel"/>
    <w:lvl w:ilvl="0">
      <w:lvlJc w:val="left"/>
      <w:lvlText w:val="•"/>
      <w:numFmt w:val="bullet"/>
      <w:start w:val="1"/>
    </w:lvl>
    <w:lvl w:ilvl="1">
      <w:lvlJc w:val="left"/>
      <w:lvlText w:val="•"/>
      <w:numFmt w:val="bullet"/>
      <w:start w:val="1"/>
    </w:lvl>
  </w:abstractNum>
  <w:abstractNum w:abstractNumId="13">
    <w:nsid w:val="A0382C5"/>
    <w:multiLevelType w:val="hybridMultilevel"/>
    <w:lvl w:ilvl="0">
      <w:lvlJc w:val="left"/>
      <w:lvlText w:val="•"/>
      <w:numFmt w:val="bullet"/>
      <w:start w:val="1"/>
    </w:lvl>
  </w:abstractNum>
  <w:abstractNum w:abstractNumId="14">
    <w:nsid w:val="8F2B15E"/>
    <w:multiLevelType w:val="hybridMultilevel"/>
    <w:lvl w:ilvl="0">
      <w:lvlJc w:val="left"/>
      <w:lvlText w:val="•"/>
      <w:numFmt w:val="bullet"/>
      <w:start w:val="1"/>
    </w:lvl>
  </w:abstractNum>
  <w:abstractNum w:abstractNumId="15">
    <w:nsid w:val="1A32234B"/>
    <w:multiLevelType w:val="hybridMultilevel"/>
    <w:lvl w:ilvl="0">
      <w:lvlJc w:val="left"/>
      <w:lvlText w:val="•"/>
      <w:numFmt w:val="bullet"/>
      <w:start w:val="1"/>
    </w:lvl>
  </w:abstractNum>
  <w:abstractNum w:abstractNumId="16">
    <w:nsid w:val="3B0FD379"/>
    <w:multiLevelType w:val="hybridMultilevel"/>
    <w:lvl w:ilvl="0">
      <w:lvlJc w:val="left"/>
      <w:lvlText w:val="•"/>
      <w:numFmt w:val="bullet"/>
      <w:start w:val="1"/>
    </w:lvl>
  </w:abstractNum>
  <w:abstractNum w:abstractNumId="17">
    <w:nsid w:val="68EB2F63"/>
    <w:multiLevelType w:val="hybridMultilevel"/>
    <w:lvl w:ilvl="0">
      <w:lvlJc w:val="left"/>
      <w:lvlText w:val="•"/>
      <w:numFmt w:val="bullet"/>
      <w:start w:val="1"/>
    </w:lvl>
  </w:abstractNum>
  <w:abstractNum w:abstractNumId="18">
    <w:nsid w:val="4962813B"/>
    <w:multiLevelType w:val="hybridMultilevel"/>
    <w:lvl w:ilvl="0">
      <w:lvlJc w:val="left"/>
      <w:lvlText w:val="•"/>
      <w:numFmt w:val="bullet"/>
      <w:start w:val="1"/>
    </w:lvl>
  </w:abstractNum>
  <w:abstractNum w:abstractNumId="19">
    <w:nsid w:val="60B6DF70"/>
    <w:multiLevelType w:val="hybridMultilevel"/>
    <w:lvl w:ilvl="0">
      <w:lvlJc w:val="left"/>
      <w:lvlText w:val="•"/>
      <w:numFmt w:val="bullet"/>
      <w:start w:val="1"/>
    </w:lvl>
  </w:abstractNum>
  <w:abstractNum w:abstractNumId="20">
    <w:nsid w:val="6A5EE64"/>
    <w:multiLevelType w:val="hybridMultilevel"/>
    <w:lvl w:ilvl="0">
      <w:lvlJc w:val="left"/>
      <w:lvlText w:val="•"/>
      <w:numFmt w:val="bullet"/>
      <w:start w:val="1"/>
    </w:lvl>
  </w:abstractNum>
  <w:abstractNum w:abstractNumId="21">
    <w:nsid w:val="14330624"/>
    <w:multiLevelType w:val="hybridMultilevel"/>
    <w:lvl w:ilvl="0">
      <w:lvlJc w:val="left"/>
      <w:lvlText w:val="•"/>
      <w:numFmt w:val="bullet"/>
      <w:start w:val="1"/>
    </w:lvl>
  </w:abstractNum>
  <w:abstractNum w:abstractNumId="22">
    <w:nsid w:val="7FFFCA11"/>
    <w:multiLevelType w:val="hybridMultilevel"/>
    <w:lvl w:ilvl="0">
      <w:lvlJc w:val="left"/>
      <w:lvlText w:val="•"/>
      <w:numFmt w:val="bullet"/>
      <w:start w:val="1"/>
    </w:lvl>
  </w:abstractNum>
  <w:abstractNum w:abstractNumId="23">
    <w:nsid w:val="1A27709E"/>
    <w:multiLevelType w:val="hybridMultilevel"/>
    <w:lvl w:ilvl="0">
      <w:lvlJc w:val="left"/>
      <w:lvlText w:val="•"/>
      <w:numFmt w:val="bullet"/>
      <w:start w:val="1"/>
    </w:lvl>
  </w:abstractNum>
  <w:abstractNum w:abstractNumId="24">
    <w:nsid w:val="71EA1109"/>
    <w:multiLevelType w:val="hybridMultilevel"/>
    <w:lvl w:ilvl="0">
      <w:lvlJc w:val="left"/>
      <w:lvlText w:val="•"/>
      <w:numFmt w:val="bullet"/>
      <w:start w:val="1"/>
    </w:lvl>
  </w:abstractNum>
  <w:abstractNum w:abstractNumId="25">
    <w:nsid w:val="100F59DC"/>
    <w:multiLevelType w:val="hybridMultilevel"/>
    <w:lvl w:ilvl="0">
      <w:lvlJc w:val="left"/>
      <w:lvlText w:val="•"/>
      <w:numFmt w:val="bullet"/>
      <w:start w:val="1"/>
    </w:lvl>
  </w:abstractNum>
  <w:abstractNum w:abstractNumId="26">
    <w:nsid w:val="7FB7E0AA"/>
    <w:multiLevelType w:val="hybridMultilevel"/>
    <w:lvl w:ilvl="0">
      <w:lvlJc w:val="left"/>
      <w:lvlText w:val="(%1)"/>
      <w:numFmt w:val="decimal"/>
      <w:start w:val="1"/>
    </w:lvl>
  </w:abstractNum>
  <w:abstractNum w:abstractNumId="27">
    <w:nsid w:val="6EB5BD4"/>
    <w:multiLevelType w:val="hybridMultilevel"/>
    <w:lvl w:ilvl="0">
      <w:lvlJc w:val="left"/>
      <w:lvlText w:val="(%1)"/>
      <w:numFmt w:val="decimal"/>
      <w:start w:val="4"/>
    </w:lvl>
  </w:abstractNum>
  <w:abstractNum w:abstractNumId="28">
    <w:nsid w:val="6F6DD9AC"/>
    <w:multiLevelType w:val="hybridMultilevel"/>
    <w:lvl w:ilvl="0">
      <w:lvlJc w:val="left"/>
      <w:lvlText w:val="(%1)"/>
      <w:numFmt w:val="decimal"/>
      <w:start w:val="1"/>
    </w:lvl>
  </w:abstractNum>
  <w:abstractNum w:abstractNumId="29">
    <w:nsid w:val="94211F2"/>
    <w:multiLevelType w:val="hybridMultilevel"/>
    <w:lvl w:ilvl="0">
      <w:lvlJc w:val="left"/>
      <w:lvlText w:val="(%1)"/>
      <w:numFmt w:val="decimal"/>
      <w:start w:val="1"/>
    </w:lvl>
  </w:abstractNum>
  <w:abstractNum w:abstractNumId="30">
    <w:nsid w:val="885E1B"/>
    <w:multiLevelType w:val="hybridMultilevel"/>
    <w:lvl w:ilvl="0">
      <w:lvlJc w:val="left"/>
      <w:lvlText w:val="(%1)"/>
      <w:numFmt w:val="decimal"/>
      <w:start w:val="1"/>
    </w:lvl>
  </w:abstractNum>
  <w:abstractNum w:abstractNumId="31">
    <w:nsid w:val="76272110"/>
    <w:multiLevelType w:val="hybridMultilevel"/>
    <w:lvl w:ilvl="0">
      <w:lvlJc w:val="left"/>
      <w:lvlText w:val="•"/>
      <w:numFmt w:val="bullet"/>
      <w:start w:val="1"/>
    </w:lvl>
  </w:abstractNum>
  <w:abstractNum w:abstractNumId="32">
    <w:nsid w:val="4C04A8AF"/>
    <w:multiLevelType w:val="hybridMultilevel"/>
    <w:lvl w:ilvl="0">
      <w:lvlJc w:val="left"/>
      <w:lvlText w:val="•"/>
      <w:numFmt w:val="bullet"/>
      <w:start w:val="1"/>
    </w:lvl>
  </w:abstractNum>
  <w:abstractNum w:abstractNumId="33">
    <w:nsid w:val="1716703B"/>
    <w:multiLevelType w:val="hybridMultilevel"/>
    <w:lvl w:ilvl="0">
      <w:lvlJc w:val="left"/>
      <w:lvlText w:val="•"/>
      <w:numFmt w:val="bullet"/>
      <w:start w:val="1"/>
    </w:lvl>
  </w:abstractNum>
  <w:abstractNum w:abstractNumId="34">
    <w:nsid w:val="14E17E33"/>
    <w:multiLevelType w:val="hybridMultilevel"/>
    <w:lvl w:ilvl="0">
      <w:lvlJc w:val="left"/>
      <w:lvlText w:val="•"/>
      <w:numFmt w:val="bullet"/>
      <w:start w:val="1"/>
    </w:lvl>
  </w:abstractNum>
  <w:abstractNum w:abstractNumId="35">
    <w:nsid w:val="3222E7CD"/>
    <w:multiLevelType w:val="hybridMultilevel"/>
    <w:lvl w:ilvl="0">
      <w:lvlJc w:val="left"/>
      <w:lvlText w:val="•"/>
      <w:numFmt w:val="bullet"/>
      <w:start w:val="1"/>
    </w:lvl>
  </w:abstractNum>
  <w:abstractNum w:abstractNumId="36">
    <w:nsid w:val="74DE0EE3"/>
    <w:multiLevelType w:val="hybridMultilevel"/>
    <w:lvl w:ilvl="0">
      <w:lvlJc w:val="left"/>
      <w:lvlText w:val="•"/>
      <w:numFmt w:val="bullet"/>
      <w:start w:val="1"/>
    </w:lvl>
  </w:abstractNum>
  <w:abstractNum w:abstractNumId="37">
    <w:nsid w:val="68EBC550"/>
    <w:multiLevelType w:val="hybridMultilevel"/>
    <w:lvl w:ilvl="0">
      <w:lvlJc w:val="left"/>
      <w:lvlText w:val="(%1)"/>
      <w:numFmt w:val="decimal"/>
      <w:start w:val="1"/>
    </w:lvl>
  </w:abstractNum>
  <w:abstractNum w:abstractNumId="38">
    <w:nsid w:val="2DF6D648"/>
    <w:multiLevelType w:val="hybridMultilevel"/>
    <w:lvl w:ilvl="0">
      <w:lvlJc w:val="left"/>
      <w:lvlText w:val="(%1)"/>
      <w:numFmt w:val="decimal"/>
      <w:start w:val="1"/>
    </w:lvl>
  </w:abstractNum>
  <w:abstractNum w:abstractNumId="39">
    <w:nsid w:val="46B7D447"/>
    <w:multiLevelType w:val="hybridMultilevel"/>
    <w:lvl w:ilvl="0">
      <w:lvlJc w:val="left"/>
      <w:lvlText w:val="•"/>
      <w:numFmt w:val="bullet"/>
      <w:start w:val="1"/>
    </w:lvl>
  </w:abstractNum>
  <w:abstractNum w:abstractNumId="40">
    <w:nsid w:val="4A2AC315"/>
    <w:multiLevelType w:val="hybridMultilevel"/>
    <w:lvl w:ilvl="0">
      <w:lvlJc w:val="left"/>
      <w:lvlText w:val="•"/>
      <w:numFmt w:val="bullet"/>
      <w:start w:val="1"/>
    </w:lvl>
  </w:abstractNum>
  <w:abstractNum w:abstractNumId="41">
    <w:nsid w:val="39EE015C"/>
    <w:multiLevelType w:val="hybridMultilevel"/>
    <w:lvl w:ilvl="0">
      <w:lvlJc w:val="left"/>
      <w:lvlText w:val="•"/>
      <w:numFmt w:val="bullet"/>
      <w:start w:val="1"/>
    </w:lvl>
  </w:abstractNum>
  <w:abstractNum w:abstractNumId="42">
    <w:nsid w:val="57FC4FBB"/>
    <w:multiLevelType w:val="hybridMultilevel"/>
    <w:lvl w:ilvl="0">
      <w:lvlJc w:val="left"/>
      <w:lvlText w:val="•"/>
      <w:numFmt w:val="bullet"/>
      <w:start w:val="1"/>
    </w:lvl>
    <w:lvl w:ilvl="1">
      <w:lvlJc w:val="left"/>
      <w:lvlText w:val="•"/>
      <w:numFmt w:val="bullet"/>
      <w:start w:val="1"/>
    </w:lvl>
  </w:abstractNum>
  <w:abstractNum w:abstractNumId="43">
    <w:nsid w:val="CC1016F"/>
    <w:multiLevelType w:val="hybridMultilevel"/>
    <w:lvl w:ilvl="0">
      <w:lvlJc w:val="left"/>
      <w:lvlText w:val="%1."/>
      <w:numFmt w:val="lowerRoman"/>
      <w:start w:val="1"/>
    </w:lvl>
  </w:abstractNum>
  <w:abstractNum w:abstractNumId="44">
    <w:nsid w:val="43F18422"/>
    <w:multiLevelType w:val="hybridMultilevel"/>
    <w:lvl w:ilvl="0">
      <w:lvlJc w:val="left"/>
      <w:lvlText w:val="•"/>
      <w:numFmt w:val="bullet"/>
      <w:start w:val="1"/>
    </w:lvl>
  </w:abstractNum>
  <w:abstractNum w:abstractNumId="45">
    <w:nsid w:val="60EF0119"/>
    <w:multiLevelType w:val="hybridMultilevel"/>
    <w:lvl w:ilvl="0">
      <w:lvlJc w:val="left"/>
      <w:lvlText w:val="•"/>
      <w:numFmt w:val="bullet"/>
      <w:start w:val="1"/>
    </w:lvl>
  </w:abstractNum>
  <w:abstractNum w:abstractNumId="46">
    <w:nsid w:val="26F324BA"/>
    <w:multiLevelType w:val="hybridMultilevel"/>
    <w:lvl w:ilvl="0">
      <w:lvlJc w:val="left"/>
      <w:lvlText w:val="*"/>
      <w:numFmt w:val="bullet"/>
      <w:start w:val="1"/>
    </w:lvl>
  </w:abstractNum>
  <w:abstractNum w:abstractNumId="47">
    <w:nsid w:val="7F01579B"/>
    <w:multiLevelType w:val="hybridMultilevel"/>
    <w:lvl w:ilvl="0">
      <w:lvlJc w:val="left"/>
      <w:lvlText w:val="(%1)"/>
      <w:numFmt w:val="decimal"/>
      <w:start w:val="1"/>
    </w:lvl>
  </w:abstractNum>
  <w:abstractNum w:abstractNumId="48">
    <w:nsid w:val="49DA307D"/>
    <w:multiLevelType w:val="hybridMultilevel"/>
    <w:lvl w:ilvl="0">
      <w:lvlJc w:val="left"/>
      <w:lvlText w:val="(%1)"/>
      <w:numFmt w:val="lowerRoman"/>
      <w:start w:val="1"/>
    </w:lvl>
  </w:abstractNum>
  <w:abstractNum w:abstractNumId="49">
    <w:nsid w:val="7055A5F5"/>
    <w:multiLevelType w:val="hybridMultilevel"/>
    <w:lvl w:ilvl="0">
      <w:lvlJc w:val="left"/>
      <w:lvlText w:val="(%1)"/>
      <w:numFmt w:val="upperLetter"/>
      <w:start w:val="1"/>
    </w:lvl>
  </w:abstractNum>
  <w:abstractNum w:abstractNumId="50">
    <w:nsid w:val="5FB8370B"/>
    <w:multiLevelType w:val="hybridMultilevel"/>
    <w:lvl w:ilvl="0">
      <w:lvlJc w:val="left"/>
      <w:lvlText w:val="(%1)"/>
      <w:numFmt w:val="lowerRoman"/>
      <w:start w:val="1"/>
    </w:lvl>
  </w:abstractNum>
  <w:abstractNum w:abstractNumId="51">
    <w:nsid w:val="50801EE1"/>
    <w:multiLevelType w:val="hybridMultilevel"/>
    <w:lvl w:ilvl="0">
      <w:lvlJc w:val="left"/>
      <w:lvlText w:val="(%1)"/>
      <w:numFmt w:val="lowerRoman"/>
      <w:start w:val="3"/>
    </w:lvl>
  </w:abstractNum>
  <w:abstractNum w:abstractNumId="52">
    <w:nsid w:val="488AC1A"/>
    <w:multiLevelType w:val="hybridMultilevel"/>
    <w:lvl w:ilvl="0">
      <w:lvlJc w:val="left"/>
      <w:lvlText w:val="(%1)"/>
      <w:numFmt w:val="decimal"/>
      <w:start w:val="1"/>
    </w:lvl>
  </w:abstractNum>
  <w:abstractNum w:abstractNumId="53">
    <w:nsid w:val="5FB8011C"/>
    <w:multiLevelType w:val="hybridMultilevel"/>
    <w:lvl w:ilvl="0">
      <w:lvlJc w:val="left"/>
      <w:lvlText w:val="["/>
      <w:numFmt w:val="bullet"/>
      <w:start w:val="1"/>
    </w:lvl>
  </w:abstractNum>
  <w:abstractNum w:abstractNumId="54">
    <w:nsid w:val="6AA78F7F"/>
    <w:multiLevelType w:val="hybridMultilevel"/>
    <w:lvl w:ilvl="0">
      <w:lvlJc w:val="left"/>
      <w:lvlText w:val="%1."/>
      <w:numFmt w:val="decimal"/>
      <w:start w:val="1"/>
    </w:lvl>
  </w:abstractNum>
  <w:abstractNum w:abstractNumId="55">
    <w:nsid w:val="7672BD23"/>
    <w:multiLevelType w:val="hybridMultilevel"/>
    <w:lvl w:ilvl="0">
      <w:lvlJc w:val="left"/>
      <w:lvlText w:val="(%1)"/>
      <w:numFmt w:val="lowerLetter"/>
      <w:start w:val="1"/>
    </w:lvl>
  </w:abstractNum>
  <w:abstractNum w:abstractNumId="56">
    <w:nsid w:val="6FC75AF8"/>
    <w:multiLevelType w:val="hybridMultilevel"/>
    <w:lvl w:ilvl="0">
      <w:lvlJc w:val="left"/>
      <w:lvlText w:val="(%1)"/>
      <w:numFmt w:val="lowerLetter"/>
      <w:start w:val="2"/>
    </w:lvl>
  </w:abstractNum>
  <w:abstractNum w:abstractNumId="57">
    <w:nsid w:val="6A5F7029"/>
    <w:multiLevelType w:val="hybridMultilevel"/>
    <w:lvl w:ilvl="0">
      <w:lvlJc w:val="left"/>
      <w:lvlText w:val="(%1)"/>
      <w:numFmt w:val="lowerLetter"/>
      <w:start w:val="5"/>
    </w:lvl>
  </w:abstractNum>
  <w:abstractNum w:abstractNumId="58">
    <w:nsid w:val="7D5E18F8"/>
    <w:multiLevelType w:val="hybridMultilevel"/>
    <w:lvl w:ilvl="0">
      <w:lvlJc w:val="left"/>
      <w:lvlText w:val="(%1)"/>
      <w:numFmt w:val="lowerLetter"/>
      <w:start w:val="9"/>
    </w:lvl>
  </w:abstractNum>
  <w:abstractNum w:abstractNumId="59">
    <w:nsid w:val="5F3534A4"/>
    <w:multiLevelType w:val="hybridMultilevel"/>
    <w:lvl w:ilvl="0">
      <w:lvlJc w:val="left"/>
      <w:lvlText w:val="(%1)"/>
      <w:numFmt w:val="lowerLetter"/>
      <w:start w:val="13"/>
    </w:lvl>
  </w:abstractNum>
  <w:abstractNum w:abstractNumId="60">
    <w:nsid w:val="73A1821B"/>
    <w:multiLevelType w:val="hybridMultilevel"/>
    <w:lvl w:ilvl="0">
      <w:lvlJc w:val="left"/>
      <w:lvlText w:val="(%1)"/>
      <w:numFmt w:val="lowerLetter"/>
      <w:start w:val="18"/>
    </w:lvl>
  </w:abstractNum>
  <w:abstractNum w:abstractNumId="61">
    <w:nsid w:val="7DE67713"/>
    <w:multiLevelType w:val="hybridMultilevel"/>
    <w:lvl w:ilvl="0">
      <w:lvlJc w:val="left"/>
      <w:lvlText w:val="(%1)"/>
      <w:numFmt w:val="lowerLetter"/>
      <w:start w:val="20"/>
    </w:lvl>
  </w:abstractNum>
  <w:abstractNum w:abstractNumId="62">
    <w:nsid w:val="555C55B5"/>
    <w:multiLevelType w:val="hybridMultilevel"/>
    <w:lvl w:ilvl="0">
      <w:lvlJc w:val="left"/>
      <w:lvlText w:val="(%1)"/>
      <w:numFmt w:val="upperLetter"/>
      <w:start w:val="2"/>
    </w:lvl>
    <w:lvl w:ilvl="1">
      <w:lvlJc w:val="left"/>
      <w:lvlText w:val="(%2)"/>
      <w:numFmt w:val="lowerLetter"/>
      <w:start w:val="24"/>
    </w:lvl>
  </w:abstractNum>
  <w:abstractNum w:abstractNumId="63">
    <w:nsid w:val="3FA62ACA"/>
    <w:multiLevelType w:val="hybridMultilevel"/>
    <w:lvl w:ilvl="0">
      <w:lvlJc w:val="left"/>
      <w:lvlText w:val="(%1)"/>
      <w:numFmt w:val="lowerLetter"/>
      <w:start w:val="27"/>
    </w:lvl>
  </w:abstractNum>
  <w:abstractNum w:abstractNumId="64">
    <w:nsid w:val="14FCE74E"/>
    <w:multiLevelType w:val="hybridMultilevel"/>
    <w:lvl w:ilvl="0">
      <w:lvlJc w:val="left"/>
      <w:lvlText w:val="%1"/>
      <w:numFmt w:val="lowerRoman"/>
      <w:start w:val="1"/>
    </w:lvl>
    <w:lvl w:ilvl="1">
      <w:lvlJc w:val="left"/>
      <w:lvlText w:val="(%2)"/>
      <w:numFmt w:val="lowerLetter"/>
      <w:start w:val="30"/>
    </w:lvl>
  </w:abstractNum>
  <w:abstractNum w:abstractNumId="65">
    <w:nsid w:val="6A3DD3E8"/>
    <w:multiLevelType w:val="hybridMultilevel"/>
    <w:lvl w:ilvl="0">
      <w:lvlJc w:val="left"/>
      <w:lvlText w:val="(%1)"/>
      <w:numFmt w:val="lowerRoman"/>
      <w:start w:val="6"/>
    </w:lvl>
    <w:lvl w:ilvl="1">
      <w:lvlJc w:val="left"/>
      <w:lvlText w:val="(%2)"/>
      <w:numFmt w:val="lowerLetter"/>
      <w:start w:val="33"/>
    </w:lvl>
  </w:abstractNum>
  <w:abstractNum w:abstractNumId="66">
    <w:nsid w:val="71C91298"/>
    <w:multiLevelType w:val="hybridMultilevel"/>
    <w:lvl w:ilvl="0">
      <w:lvlJc w:val="left"/>
      <w:lvlText w:val="(%1)"/>
      <w:numFmt w:val="lowerLetter"/>
      <w:start w:val="34"/>
    </w:lvl>
  </w:abstractNum>
  <w:abstractNum w:abstractNumId="67">
    <w:nsid w:val="9DAF632"/>
    <w:multiLevelType w:val="hybridMultilevel"/>
    <w:lvl w:ilvl="0">
      <w:lvlJc w:val="left"/>
      <w:lvlText w:val="(%1)"/>
      <w:numFmt w:val="lowerLetter"/>
      <w:start w:val="40"/>
    </w:lvl>
  </w:abstractNum>
  <w:abstractNum w:abstractNumId="68">
    <w:nsid w:val="53299938"/>
    <w:multiLevelType w:val="hybridMultilevel"/>
    <w:lvl w:ilvl="0">
      <w:lvlJc w:val="left"/>
      <w:lvlText w:val="(%1)"/>
      <w:numFmt w:val="lowerLetter"/>
      <w:start w:val="43"/>
    </w:lvl>
  </w:abstractNum>
  <w:abstractNum w:abstractNumId="69">
    <w:nsid w:val="1FBFE8E0"/>
    <w:multiLevelType w:val="hybridMultilevel"/>
    <w:lvl w:ilvl="0">
      <w:lvlJc w:val="left"/>
      <w:lvlText w:val="%1"/>
      <w:numFmt w:val="lowerLetter"/>
      <w:start w:val="1"/>
    </w:lvl>
    <w:lvl w:ilvl="1">
      <w:lvlJc w:val="left"/>
      <w:lvlText w:val="(%2)"/>
      <w:numFmt w:val="lowerLetter"/>
      <w:start w:val="53"/>
    </w:lvl>
  </w:abstractNum>
  <w:abstractNum w:abstractNumId="70">
    <w:nsid w:val="5092CA79"/>
    <w:multiLevelType w:val="hybridMultilevel"/>
    <w:lvl w:ilvl="0">
      <w:lvlJc w:val="left"/>
      <w:lvlText w:val="(%1)"/>
      <w:numFmt w:val="lowerLetter"/>
      <w:start w:val="1"/>
    </w:lvl>
    <w:lvl w:ilvl="1">
      <w:lvlJc w:val="left"/>
      <w:lvlText w:val="(%2)"/>
      <w:numFmt w:val="lowerLetter"/>
      <w:start w:val="55"/>
    </w:lvl>
  </w:abstractNum>
  <w:abstractNum w:abstractNumId="71">
    <w:nsid w:val="1D545C4D"/>
    <w:multiLevelType w:val="hybridMultilevel"/>
    <w:lvl w:ilvl="0">
      <w:lvlJc w:val="left"/>
      <w:lvlText w:val="%1"/>
      <w:numFmt w:val="lowerLetter"/>
      <w:start w:val="1"/>
    </w:lvl>
    <w:lvl w:ilvl="1">
      <w:lvlJc w:val="left"/>
      <w:lvlText w:val="(%2)"/>
      <w:numFmt w:val="lowerLetter"/>
      <w:start w:val="60"/>
    </w:lvl>
  </w:abstractNum>
  <w:abstractNum w:abstractNumId="72">
    <w:nsid w:val="59ADEA3D"/>
    <w:multiLevelType w:val="hybridMultilevel"/>
    <w:lvl w:ilvl="0">
      <w:lvlJc w:val="left"/>
      <w:lvlText w:val="(%1)"/>
      <w:numFmt w:val="lowerLetter"/>
      <w:start w:val="61"/>
    </w:lvl>
    <w:lvl w:ilvl="1">
      <w:lvlJc w:val="left"/>
      <w:lvlText w:val="(%2)"/>
      <w:numFmt w:val="lowerLetter"/>
      <w:start w:val="61"/>
    </w:lvl>
  </w:abstractNum>
  <w:abstractNum w:abstractNumId="73">
    <w:nsid w:val="288F1A34"/>
    <w:multiLevelType w:val="hybridMultilevel"/>
    <w:lvl w:ilvl="0">
      <w:lvlJc w:val="left"/>
      <w:lvlText w:val="%1."/>
      <w:numFmt w:val="decimal"/>
      <w:start w:val="2"/>
    </w:lvl>
  </w:abstractNum>
  <w:abstractNum w:abstractNumId="74">
    <w:nsid w:val="2A155DBC"/>
    <w:multiLevelType w:val="hybridMultilevel"/>
    <w:lvl w:ilvl="0">
      <w:lvlJc w:val="left"/>
      <w:lvlText w:val="%1."/>
      <w:numFmt w:val="decimal"/>
      <w:start w:val="3"/>
    </w:lvl>
  </w:abstractNum>
  <w:abstractNum w:abstractNumId="75">
    <w:nsid w:val="1D9F6E5F"/>
    <w:multiLevelType w:val="hybridMultilevel"/>
    <w:lvl w:ilvl="0">
      <w:lvlJc w:val="left"/>
      <w:lvlText w:val="(%1)"/>
      <w:numFmt w:val="lowerLetter"/>
      <w:start w:val="2"/>
    </w:lvl>
  </w:abstractNum>
  <w:abstractNum w:abstractNumId="76">
    <w:nsid w:val="97E1B4E"/>
    <w:multiLevelType w:val="hybridMultilevel"/>
    <w:lvl w:ilvl="0">
      <w:lvlJc w:val="left"/>
      <w:lvlText w:val="%1."/>
      <w:numFmt w:val="decimal"/>
      <w:start w:val="5"/>
    </w:lvl>
  </w:abstractNum>
  <w:abstractNum w:abstractNumId="77">
    <w:nsid w:val="51088277"/>
    <w:multiLevelType w:val="hybridMultilevel"/>
    <w:lvl w:ilvl="0">
      <w:lvlJc w:val="left"/>
      <w:lvlText w:val="(%1)"/>
      <w:numFmt w:val="lowerLetter"/>
      <w:start w:val="1"/>
    </w:lvl>
  </w:abstractNum>
  <w:abstractNum w:abstractNumId="78">
    <w:nsid w:val="1CA0C5FA"/>
    <w:multiLevelType w:val="hybridMultilevel"/>
    <w:lvl w:ilvl="0">
      <w:lvlJc w:val="left"/>
      <w:lvlText w:val="(%1)"/>
      <w:numFmt w:val="lowerLetter"/>
      <w:start w:val="2"/>
    </w:lvl>
  </w:abstractNum>
  <w:abstractNum w:abstractNumId="79">
    <w:nsid w:val="53584BCB"/>
    <w:multiLevelType w:val="hybridMultilevel"/>
    <w:lvl w:ilvl="0">
      <w:lvlJc w:val="left"/>
      <w:lvlText w:val="(%1)"/>
      <w:numFmt w:val="lowerLetter"/>
      <w:start w:val="4"/>
    </w:lvl>
  </w:abstractNum>
  <w:abstractNum w:abstractNumId="80">
    <w:nsid w:val="415E286C"/>
    <w:multiLevelType w:val="hybridMultilevel"/>
    <w:lvl w:ilvl="0">
      <w:lvlJc w:val="left"/>
      <w:lvlText w:val="(%1)"/>
      <w:numFmt w:val="lowerLetter"/>
      <w:start w:val="6"/>
    </w:lvl>
  </w:abstractNum>
  <w:abstractNum w:abstractNumId="81">
    <w:nsid w:val="7C58FD05"/>
    <w:multiLevelType w:val="hybridMultilevel"/>
    <w:lvl w:ilvl="0">
      <w:lvlJc w:val="left"/>
      <w:lvlText w:val="(%1)"/>
      <w:numFmt w:val="lowerLetter"/>
      <w:start w:val="8"/>
    </w:lvl>
  </w:abstractNum>
  <w:abstractNum w:abstractNumId="82">
    <w:nsid w:val="23D86AAC"/>
    <w:multiLevelType w:val="hybridMultilevel"/>
    <w:lvl w:ilvl="0">
      <w:lvlJc w:val="left"/>
      <w:lvlText w:val="%1."/>
      <w:numFmt w:val="decimal"/>
      <w:start w:val="6"/>
    </w:lvl>
  </w:abstractNum>
  <w:abstractNum w:abstractNumId="83">
    <w:nsid w:val="45E6D486"/>
    <w:multiLevelType w:val="hybridMultilevel"/>
    <w:lvl w:ilvl="0">
      <w:lvlJc w:val="left"/>
      <w:lvlText w:val="(%1)"/>
      <w:numFmt w:val="lowerLetter"/>
      <w:start w:val="2"/>
    </w:lvl>
  </w:abstractNum>
  <w:abstractNum w:abstractNumId="84">
    <w:nsid w:val="5C10FE21"/>
    <w:multiLevelType w:val="hybridMultilevel"/>
    <w:lvl w:ilvl="0">
      <w:lvlJc w:val="left"/>
      <w:lvlText w:val="%1"/>
      <w:numFmt w:val="lowerRoman"/>
      <w:start w:val="1"/>
    </w:lvl>
    <w:lvl w:ilvl="1">
      <w:lvlJc w:val="left"/>
      <w:lvlText w:val="%2."/>
      <w:numFmt w:val="decimal"/>
      <w:start w:val="7"/>
    </w:lvl>
  </w:abstractNum>
  <w:abstractNum w:abstractNumId="85">
    <w:nsid w:val="E7FFA2B"/>
    <w:multiLevelType w:val="hybridMultilevel"/>
    <w:lvl w:ilvl="0">
      <w:lvlJc w:val="left"/>
      <w:lvlText w:val="(%1)"/>
      <w:numFmt w:val="lowerRoman"/>
      <w:start w:val="1"/>
    </w:lvl>
    <w:lvl w:ilvl="1">
      <w:lvlJc w:val="left"/>
      <w:lvlText w:val="%2"/>
      <w:numFmt w:val="decimal"/>
      <w:start w:val="1"/>
    </w:lvl>
  </w:abstractNum>
  <w:abstractNum w:abstractNumId="86">
    <w:nsid w:val="3C5991AA"/>
    <w:multiLevelType w:val="hybridMultilevel"/>
    <w:lvl w:ilvl="0">
      <w:lvlJc w:val="left"/>
      <w:lvlText w:val="%1."/>
      <w:numFmt w:val="decimal"/>
      <w:start w:val="8"/>
    </w:lvl>
  </w:abstractNum>
  <w:abstractNum w:abstractNumId="87">
    <w:nsid w:val="4BD8591A"/>
    <w:multiLevelType w:val="hybridMultilevel"/>
    <w:lvl w:ilvl="0">
      <w:lvlJc w:val="left"/>
      <w:lvlText w:val="(%1)"/>
      <w:numFmt w:val="lowerLetter"/>
      <w:start w:val="1"/>
    </w:lvl>
  </w:abstractNum>
  <w:abstractNum w:abstractNumId="88">
    <w:nsid w:val="78DF6A55"/>
    <w:multiLevelType w:val="hybridMultilevel"/>
    <w:lvl w:ilvl="0">
      <w:lvlJc w:val="left"/>
      <w:lvlText w:val="(%1)"/>
      <w:numFmt w:val="lowerLetter"/>
      <w:start w:val="6"/>
    </w:lvl>
  </w:abstractNum>
  <w:abstractNum w:abstractNumId="89">
    <w:nsid w:val="39B7AAA2"/>
    <w:multiLevelType w:val="hybridMultilevel"/>
    <w:lvl w:ilvl="0">
      <w:lvlJc w:val="left"/>
      <w:lvlText w:val="(%1)"/>
      <w:numFmt w:val="lowerLetter"/>
      <w:start w:val="11"/>
    </w:lvl>
  </w:abstractNum>
  <w:abstractNum w:abstractNumId="90">
    <w:nsid w:val="2B0D8DBE"/>
    <w:multiLevelType w:val="hybridMultilevel"/>
    <w:lvl w:ilvl="0">
      <w:lvlJc w:val="left"/>
      <w:lvlText w:val="%1."/>
      <w:numFmt w:val="decimal"/>
      <w:start w:val="9"/>
    </w:lvl>
  </w:abstractNum>
  <w:abstractNum w:abstractNumId="91">
    <w:nsid w:val="6C80EC70"/>
    <w:multiLevelType w:val="hybridMultilevel"/>
    <w:lvl w:ilvl="0">
      <w:lvlJc w:val="left"/>
      <w:lvlText w:val="(%1)"/>
      <w:numFmt w:val="lowerLetter"/>
      <w:start w:val="2"/>
    </w:lvl>
  </w:abstractNum>
  <w:abstractNum w:abstractNumId="92">
    <w:nsid w:val="379E21B5"/>
    <w:multiLevelType w:val="hybridMultilevel"/>
    <w:lvl w:ilvl="0">
      <w:lvlJc w:val="left"/>
      <w:lvlText w:val="(%1)"/>
      <w:numFmt w:val="lowerLetter"/>
      <w:start w:val="3"/>
    </w:lvl>
  </w:abstractNum>
  <w:abstractNum w:abstractNumId="93">
    <w:nsid w:val="69E373"/>
    <w:multiLevelType w:val="hybridMultilevel"/>
    <w:lvl w:ilvl="0">
      <w:lvlJc w:val="left"/>
      <w:lvlText w:val="(%1)"/>
      <w:numFmt w:val="lowerLetter"/>
      <w:start w:val="5"/>
    </w:lvl>
  </w:abstractNum>
  <w:abstractNum w:abstractNumId="94">
    <w:nsid w:val="2C27173B"/>
    <w:multiLevelType w:val="hybridMultilevel"/>
    <w:lvl w:ilvl="0">
      <w:lvlJc w:val="left"/>
      <w:lvlText w:val="%1."/>
      <w:numFmt w:val="decimal"/>
      <w:start w:val="10"/>
    </w:lvl>
  </w:abstractNum>
  <w:abstractNum w:abstractNumId="95">
    <w:nsid w:val="4C9B0904"/>
    <w:multiLevelType w:val="hybridMultilevel"/>
    <w:lvl w:ilvl="0">
      <w:lvlJc w:val="left"/>
      <w:lvlText w:val="%1."/>
      <w:numFmt w:val="decimal"/>
      <w:start w:val="11"/>
    </w:lvl>
  </w:abstractNum>
  <w:abstractNum w:abstractNumId="96">
    <w:nsid w:val="6AA7B75C"/>
    <w:multiLevelType w:val="hybridMultilevel"/>
    <w:lvl w:ilvl="0">
      <w:lvlJc w:val="left"/>
      <w:lvlText w:val="(%1)"/>
      <w:numFmt w:val="lowerLetter"/>
      <w:start w:val="2"/>
    </w:lvl>
  </w:abstractNum>
  <w:abstractNum w:abstractNumId="97">
    <w:nsid w:val="1DF029D3"/>
    <w:multiLevelType w:val="hybridMultilevel"/>
    <w:lvl w:ilvl="0">
      <w:lvlJc w:val="left"/>
      <w:lvlText w:val="%1."/>
      <w:numFmt w:val="decimal"/>
      <w:start w:val="12"/>
    </w:lvl>
  </w:abstractNum>
  <w:abstractNum w:abstractNumId="98">
    <w:nsid w:val="5675FF36"/>
    <w:multiLevelType w:val="hybridMultilevel"/>
    <w:lvl w:ilvl="0">
      <w:lvlJc w:val="left"/>
      <w:lvlText w:val="%1."/>
      <w:numFmt w:val="decimal"/>
      <w:start w:val="15"/>
    </w:lvl>
  </w:abstractNum>
  <w:abstractNum w:abstractNumId="99">
    <w:nsid w:val="3DD15094"/>
    <w:multiLevelType w:val="hybridMultilevel"/>
    <w:lvl w:ilvl="0">
      <w:lvlJc w:val="left"/>
      <w:lvlText w:val="%1."/>
      <w:numFmt w:val="decimal"/>
      <w:start w:val="21"/>
    </w:lvl>
  </w:abstractNum>
  <w:abstractNum w:abstractNumId="100">
    <w:nsid w:val="3DB012B3"/>
    <w:multiLevelType w:val="hybridMultilevel"/>
    <w:lvl w:ilvl="0">
      <w:lvlJc w:val="left"/>
      <w:lvlText w:val="["/>
      <w:numFmt w:val="bullet"/>
      <w:start w:val="1"/>
    </w:lvl>
  </w:abstractNum>
  <w:abstractNum w:abstractNumId="101">
    <w:nsid w:val="2708C9AF"/>
    <w:multiLevelType w:val="hybridMultilevel"/>
    <w:lvl w:ilvl="0">
      <w:lvlJc w:val="left"/>
      <w:lvlText w:val="["/>
      <w:numFmt w:val="bullet"/>
      <w:start w:val="1"/>
    </w:lvl>
  </w:abstractNum>
  <w:abstractNum w:abstractNumId="102">
    <w:nsid w:val="5B25ACE2"/>
    <w:multiLevelType w:val="hybridMultilevel"/>
    <w:lvl w:ilvl="0">
      <w:lvlJc w:val="left"/>
      <w:lvlText w:val="["/>
      <w:numFmt w:val="bullet"/>
      <w:start w:val="1"/>
    </w:lvl>
  </w:abstractNum>
  <w:abstractNum w:abstractNumId="103">
    <w:nsid w:val="175DFCF0"/>
    <w:multiLevelType w:val="hybridMultilevel"/>
    <w:lvl w:ilvl="0">
      <w:lvlJc w:val="left"/>
      <w:lvlText w:val="["/>
      <w:numFmt w:val="bullet"/>
      <w:start w:val="1"/>
    </w:lvl>
  </w:abstractNum>
  <w:abstractNum w:abstractNumId="104">
    <w:nsid w:val="4F97E3E4"/>
    <w:multiLevelType w:val="hybridMultilevel"/>
    <w:lvl w:ilvl="0">
      <w:lvlJc w:val="left"/>
      <w:lvlText w:val="(%1)"/>
      <w:numFmt w:val="lowerLetter"/>
      <w:start w:val="1"/>
    </w:lvl>
  </w:abstractNum>
  <w:abstractNum w:abstractNumId="105">
    <w:nsid w:val="53B0A9E"/>
    <w:multiLevelType w:val="hybridMultilevel"/>
    <w:lvl w:ilvl="0">
      <w:lvlJc w:val="left"/>
      <w:lvlText w:val="(%1)"/>
      <w:numFmt w:val="lowerLetter"/>
      <w:start w:val="1"/>
    </w:lvl>
  </w:abstractNum>
  <w:abstractNum w:abstractNumId="106">
    <w:nsid w:val="34FD6B4F"/>
    <w:multiLevelType w:val="hybridMultilevel"/>
    <w:lvl w:ilvl="0">
      <w:lvlJc w:val="left"/>
      <w:lvlText w:val="(%1)"/>
      <w:numFmt w:val="lowerLetter"/>
      <w:start w:val="11"/>
    </w:lvl>
  </w:abstractNum>
  <w:abstractNum w:abstractNumId="107">
    <w:nsid w:val="5915FF32"/>
    <w:multiLevelType w:val="hybridMultilevel"/>
    <w:lvl w:ilvl="0">
      <w:lvlJc w:val="left"/>
      <w:lvlText w:val="(%1)"/>
      <w:numFmt w:val="lowerLetter"/>
      <w:start w:val="19"/>
    </w:lvl>
  </w:abstractNum>
  <w:abstractNum w:abstractNumId="108">
    <w:nsid w:val="56438D15"/>
    <w:multiLevelType w:val="hybridMultilevel"/>
    <w:lvl w:ilvl="0">
      <w:lvlJc w:val="left"/>
      <w:lvlText w:val="(%1)"/>
      <w:numFmt w:val="lowerLetter"/>
      <w:start w:val="1"/>
    </w:lvl>
  </w:abstractNum>
  <w:abstractNum w:abstractNumId="109">
    <w:nsid w:val="519E3149"/>
    <w:multiLevelType w:val="hybridMultilevel"/>
    <w:lvl w:ilvl="0">
      <w:lvlJc w:val="left"/>
      <w:lvlText w:val="(%1)"/>
      <w:numFmt w:val="lowerLetter"/>
      <w:start w:val="3"/>
    </w:lvl>
    <w:lvl w:ilvl="1">
      <w:lvlJc w:val="left"/>
      <w:lvlText w:val="(%2)"/>
      <w:numFmt w:val="lowerRoman"/>
      <w:start w:val="1"/>
    </w:lvl>
  </w:abstractNum>
  <w:abstractNum w:abstractNumId="110">
    <w:nsid w:val="2C6E4AFD"/>
    <w:multiLevelType w:val="hybridMultilevel"/>
    <w:lvl w:ilvl="0">
      <w:lvlJc w:val="left"/>
      <w:lvlText w:val="(%1)"/>
      <w:numFmt w:val="lowerLetter"/>
      <w:start w:val="1"/>
    </w:lvl>
  </w:abstractNum>
  <w:abstractNum w:abstractNumId="111">
    <w:nsid w:val="17A1B582"/>
    <w:multiLevelType w:val="hybridMultilevel"/>
    <w:lvl w:ilvl="0">
      <w:lvlJc w:val="left"/>
      <w:lvlText w:val="(%1)"/>
      <w:numFmt w:val="lowerLetter"/>
      <w:start w:val="3"/>
    </w:lvl>
  </w:abstractNum>
  <w:abstractNum w:abstractNumId="112">
    <w:nsid w:val="4DF72E4E"/>
    <w:multiLevelType w:val="hybridMultilevel"/>
    <w:lvl w:ilvl="0">
      <w:lvlJc w:val="left"/>
      <w:lvlText w:val="(%1)"/>
      <w:numFmt w:val="lowerLetter"/>
      <w:start w:val="1"/>
    </w:lvl>
    <w:lvl w:ilvl="1">
      <w:lvlJc w:val="left"/>
      <w:lvlText w:val="(%2)"/>
      <w:numFmt w:val="lowerLetter"/>
      <w:start w:val="9"/>
    </w:lvl>
  </w:abstractNum>
  <w:abstractNum w:abstractNumId="113">
    <w:nsid w:val="5046B5A9"/>
    <w:multiLevelType w:val="hybridMultilevel"/>
    <w:lvl w:ilvl="0">
      <w:lvlJc w:val="left"/>
      <w:lvlText w:val="%1"/>
      <w:numFmt w:val="lowerLetter"/>
      <w:start w:val="1"/>
    </w:lvl>
    <w:lvl w:ilvl="1">
      <w:lvlJc w:val="left"/>
      <w:lvlText w:val="(%2)"/>
      <w:numFmt w:val="lowerLetter"/>
      <w:start w:val="35"/>
    </w:lvl>
  </w:abstractNum>
  <w:abstractNum w:abstractNumId="114">
    <w:nsid w:val="5D888A08"/>
    <w:multiLevelType w:val="hybridMultilevel"/>
    <w:lvl w:ilvl="0">
      <w:lvlJc w:val="left"/>
      <w:lvlText w:val="(%1)"/>
      <w:numFmt w:val="lowerLetter"/>
      <w:start w:val="4"/>
    </w:lvl>
    <w:lvl w:ilvl="1">
      <w:lvlJc w:val="left"/>
      <w:lvlText w:val="%2"/>
      <w:numFmt w:val="lowerLetter"/>
      <w:start w:val="1"/>
    </w:lvl>
  </w:abstractNum>
  <w:abstractNum w:abstractNumId="115">
    <w:nsid w:val="2A082C70"/>
    <w:multiLevelType w:val="hybridMultilevel"/>
    <w:lvl w:ilvl="0">
      <w:lvlJc w:val="left"/>
      <w:lvlText w:val="(%1)"/>
      <w:numFmt w:val="lowerLetter"/>
      <w:start w:val="1"/>
    </w:lvl>
  </w:abstractNum>
  <w:abstractNum w:abstractNumId="116">
    <w:nsid w:val="5EC6AFD4"/>
    <w:multiLevelType w:val="hybridMultilevel"/>
    <w:lvl w:ilvl="0">
      <w:lvlJc w:val="left"/>
      <w:lvlText w:val="(%1)"/>
      <w:numFmt w:val="lowerLetter"/>
      <w:start w:val="1"/>
    </w:lvl>
    <w:lvl w:ilvl="1">
      <w:lvlJc w:val="left"/>
      <w:lvlText w:val="(%2)"/>
      <w:numFmt w:val="lowerLetter"/>
      <w:start w:val="9"/>
    </w:lvl>
  </w:abstractNum>
  <w:abstractNum w:abstractNumId="117">
    <w:nsid w:val="19E21BB2"/>
    <w:multiLevelType w:val="hybridMultilevel"/>
    <w:lvl w:ilvl="0">
      <w:lvlJc w:val="left"/>
      <w:lvlText w:val="%1"/>
      <w:numFmt w:val="lowerLetter"/>
      <w:start w:val="1"/>
    </w:lvl>
    <w:lvl w:ilvl="1">
      <w:lvlJc w:val="left"/>
      <w:lvlText w:val="(%2)"/>
      <w:numFmt w:val="lowerLetter"/>
      <w:start w:val="35"/>
    </w:lvl>
  </w:abstractNum>
  <w:abstractNum w:abstractNumId="118">
    <w:nsid w:val="75E0858A"/>
    <w:multiLevelType w:val="hybridMultilevel"/>
    <w:lvl w:ilvl="0">
      <w:lvlJc w:val="left"/>
      <w:lvlText w:val="(%1)"/>
      <w:numFmt w:val="lowerLetter"/>
      <w:start w:val="2"/>
    </w:lvl>
    <w:lvl w:ilvl="1">
      <w:lvlJc w:val="left"/>
      <w:lvlText w:val="%2"/>
      <w:numFmt w:val="lowerLetter"/>
      <w:start w:val="1"/>
    </w:lvl>
  </w:abstractNum>
  <w:abstractNum w:abstractNumId="119">
    <w:nsid w:val="57A61A29"/>
    <w:multiLevelType w:val="hybridMultilevel"/>
    <w:lvl w:ilvl="0">
      <w:lvlJc w:val="left"/>
      <w:lvlText w:val="(%1)"/>
      <w:numFmt w:val="lowerLetter"/>
      <w:start w:val="1"/>
    </w:lvl>
  </w:abstractNum>
  <w:abstractNum w:abstractNumId="120">
    <w:nsid w:val="5399C654"/>
    <w:multiLevelType w:val="hybridMultilevel"/>
    <w:lvl w:ilvl="0">
      <w:lvlJc w:val="left"/>
      <w:lvlText w:val="(%1)"/>
      <w:numFmt w:val="lowerLetter"/>
      <w:start w:val="4"/>
    </w:lvl>
  </w:abstractNum>
  <w:abstractNum w:abstractNumId="121">
    <w:nsid w:val="20EE1348"/>
    <w:multiLevelType w:val="hybridMultilevel"/>
    <w:lvl w:ilvl="0">
      <w:lvlJc w:val="left"/>
      <w:lvlText w:val="(%1)"/>
      <w:numFmt w:val="lowerLetter"/>
      <w:start w:val="10"/>
    </w:lvl>
  </w:abstractNum>
  <w:abstractNum w:abstractNumId="122">
    <w:nsid w:val="4427069A"/>
    <w:multiLevelType w:val="hybridMultilevel"/>
    <w:lvl w:ilvl="0">
      <w:lvlJc w:val="left"/>
      <w:lvlText w:val="(%1)"/>
      <w:numFmt w:val="lowerLetter"/>
      <w:start w:val="2"/>
    </w:lvl>
    <w:lvl w:ilvl="1">
      <w:lvlJc w:val="left"/>
      <w:lvlText w:val="(%2)"/>
      <w:numFmt w:val="lowerRoman"/>
      <w:start w:val="1"/>
    </w:lvl>
  </w:abstractNum>
  <w:abstractNum w:abstractNumId="123">
    <w:nsid w:val="B37E80A"/>
    <w:multiLevelType w:val="hybridMultilevel"/>
    <w:lvl w:ilvl="0">
      <w:lvlJc w:val="left"/>
      <w:lvlText w:val="(%1)"/>
      <w:numFmt w:val="lowerLetter"/>
      <w:start w:val="3"/>
    </w:lvl>
  </w:abstractNum>
  <w:abstractNum w:abstractNumId="124">
    <w:nsid w:val="2157F6BC"/>
    <w:multiLevelType w:val="hybridMultilevel"/>
    <w:lvl w:ilvl="0">
      <w:lvlJc w:val="left"/>
      <w:lvlText w:val="(%1)"/>
      <w:numFmt w:val="lowerLetter"/>
      <w:start w:val="2"/>
    </w:lvl>
  </w:abstractNum>
  <w:abstractNum w:abstractNumId="125">
    <w:nsid w:val="704E1DD5"/>
    <w:multiLevelType w:val="hybridMultilevel"/>
    <w:lvl w:ilvl="0">
      <w:lvlJc w:val="left"/>
      <w:lvlText w:val="(%1)"/>
      <w:numFmt w:val="lowerLetter"/>
      <w:start w:val="3"/>
    </w:lvl>
  </w:abstractNum>
  <w:abstractNum w:abstractNumId="126">
    <w:nsid w:val="57D2F10E"/>
    <w:multiLevelType w:val="hybridMultilevel"/>
    <w:lvl w:ilvl="0">
      <w:lvlJc w:val="left"/>
      <w:lvlText w:val="(%1)"/>
      <w:numFmt w:val="lowerRoman"/>
      <w:start w:val="9"/>
    </w:lvl>
  </w:abstractNum>
  <w:abstractNum w:abstractNumId="127">
    <w:nsid w:val="BFFAE18"/>
    <w:multiLevelType w:val="hybridMultilevel"/>
    <w:lvl w:ilvl="0">
      <w:lvlJc w:val="left"/>
      <w:lvlText w:val="(%1)"/>
      <w:numFmt w:val="lowerRoman"/>
      <w:start w:val="1"/>
    </w:lvl>
  </w:abstractNum>
  <w:abstractNum w:abstractNumId="128">
    <w:nsid w:val="E3E47A8"/>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129">
    <w:nsid w:val="2E48F044"/>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130">
    <w:nsid w:val="49D0FEAC"/>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9"/>
    </w:lvl>
  </w:abstractNum>
  <w:abstractNum w:abstractNumId="131">
    <w:nsid w:val="4BEE5A5B"/>
    <w:multiLevelType w:val="hybridMultilevel"/>
    <w:lvl w:ilvl="0">
      <w:lvlJc w:val="left"/>
      <w:lvlText w:val="%1"/>
      <w:numFmt w:val="lowerLetter"/>
      <w:start w:val="1"/>
    </w:lvl>
    <w:lvl w:ilvl="1">
      <w:lvlJc w:val="left"/>
      <w:lvlText w:val="(%2)"/>
      <w:numFmt w:val="lowerRoman"/>
      <w:start w:val="2"/>
    </w:lvl>
  </w:abstractNum>
  <w:abstractNum w:abstractNumId="132">
    <w:nsid w:val="5551B9F3"/>
    <w:multiLevelType w:val="hybridMultilevel"/>
    <w:lvl w:ilvl="0">
      <w:lvlJc w:val="left"/>
      <w:lvlText w:val="(%1)"/>
      <w:numFmt w:val="lowerLetter"/>
      <w:start w:val="3"/>
    </w:lvl>
    <w:lvl w:ilvl="1">
      <w:lvlJc w:val="left"/>
      <w:lvlText w:val="(%2)"/>
      <w:numFmt w:val="lowerRoman"/>
      <w:start w:val="1"/>
    </w:lvl>
  </w:abstractNum>
  <w:abstractNum w:abstractNumId="133">
    <w:nsid w:val="24F6AB8E"/>
    <w:multiLevelType w:val="hybridMultilevel"/>
    <w:lvl w:ilvl="0">
      <w:lvlJc w:val="left"/>
      <w:lvlText w:val="(%1)"/>
      <w:numFmt w:val="lowerRoman"/>
      <w:start w:val="2"/>
    </w:lvl>
  </w:abstractNum>
  <w:abstractNum w:abstractNumId="134">
    <w:nsid w:val="634C574C"/>
    <w:multiLevelType w:val="hybridMultilevel"/>
    <w:lvl w:ilvl="0">
      <w:lvlJc w:val="left"/>
      <w:lvlText w:val="(%1)"/>
      <w:numFmt w:val="lowerLetter"/>
      <w:start w:val="2"/>
    </w:lvl>
  </w:abstractNum>
  <w:abstractNum w:abstractNumId="135">
    <w:nsid w:val="24E99DD7"/>
    <w:multiLevelType w:val="hybridMultilevel"/>
    <w:lvl w:ilvl="0">
      <w:lvlJc w:val="left"/>
      <w:lvlText w:val="(%1)"/>
      <w:numFmt w:val="lowerRoman"/>
      <w:start w:val="2"/>
    </w:lvl>
  </w:abstractNum>
  <w:abstractNum w:abstractNumId="136">
    <w:nsid w:val="2A31B62D"/>
    <w:multiLevelType w:val="hybridMultilevel"/>
    <w:lvl w:ilvl="0">
      <w:lvlJc w:val="left"/>
      <w:lvlText w:val="%1."/>
      <w:numFmt w:val="upperLetter"/>
      <w:start w:val="1"/>
    </w:lvl>
  </w:abstractNum>
  <w:abstractNum w:abstractNumId="137">
    <w:nsid w:val="1849C29B"/>
    <w:multiLevelType w:val="hybridMultilevel"/>
    <w:lvl w:ilvl="0">
      <w:lvlJc w:val="left"/>
      <w:lvlText w:val="%1."/>
      <w:numFmt w:val="upperLetter"/>
      <w:start w:val="2"/>
    </w:lvl>
  </w:abstractNum>
  <w:abstractNum w:abstractNumId="138">
    <w:nsid w:val="7DFF9D09"/>
    <w:multiLevelType w:val="hybridMultilevel"/>
    <w:lvl w:ilvl="0">
      <w:lvlJc w:val="left"/>
      <w:lvlText w:val="%1."/>
      <w:numFmt w:val="decimal"/>
      <w:start w:val="1"/>
    </w:lvl>
  </w:abstractNum>
  <w:abstractNum w:abstractNumId="139">
    <w:nsid w:val="754342"/>
    <w:multiLevelType w:val="hybridMultilevel"/>
    <w:lvl w:ilvl="0">
      <w:lvlJc w:val="left"/>
      <w:lvlText w:val="%1"/>
      <w:numFmt w:val="lowerLetter"/>
      <w:start w:val="1"/>
    </w:lvl>
    <w:lvl w:ilvl="1">
      <w:lvlJc w:val="left"/>
      <w:lvlText w:val="%2."/>
      <w:numFmt w:val="decimal"/>
      <w:start w:val="2"/>
    </w:lvl>
  </w:abstractNum>
  <w:abstractNum w:abstractNumId="140">
    <w:nsid w:val="69E7F3E5"/>
    <w:multiLevelType w:val="hybridMultilevel"/>
    <w:lvl w:ilvl="0">
      <w:lvlJc w:val="left"/>
      <w:lvlText w:val="(%1)"/>
      <w:numFmt w:val="lowerLetter"/>
      <w:start w:val="2"/>
    </w:lvl>
    <w:lvl w:ilvl="1">
      <w:lvlJc w:val="left"/>
      <w:lvlText w:val="%2."/>
      <w:numFmt w:val="decimal"/>
      <w:start w:val="3"/>
    </w:lvl>
  </w:abstractNum>
  <w:abstractNum w:abstractNumId="141">
    <w:nsid w:val="2A6DE806"/>
    <w:multiLevelType w:val="hybridMultilevel"/>
    <w:lvl w:ilvl="0">
      <w:lvlJc w:val="left"/>
      <w:lvlText w:val="(%1)"/>
      <w:numFmt w:val="lowerLetter"/>
      <w:start w:val="4"/>
    </w:lvl>
    <w:lvl w:ilvl="1">
      <w:lvlJc w:val="left"/>
      <w:lvlText w:val="%2."/>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51" Type="http://schemas.openxmlformats.org/officeDocument/2006/relationships/image" Target="media/image27.png"/><Relationship Id="rId52" Type="http://schemas.openxmlformats.org/officeDocument/2006/relationships/image" Target="media/image28.png"/><Relationship Id="rId53" Type="http://schemas.openxmlformats.org/officeDocument/2006/relationships/image" Target="media/image29.png"/><Relationship Id="rId54" Type="http://schemas.openxmlformats.org/officeDocument/2006/relationships/image" Target="media/image30.png"/><Relationship Id="rId55" Type="http://schemas.openxmlformats.org/officeDocument/2006/relationships/image" Target="media/image31.png"/><Relationship Id="rId56" Type="http://schemas.openxmlformats.org/officeDocument/2006/relationships/image" Target="media/image32.png"/><Relationship Id="rId57" Type="http://schemas.openxmlformats.org/officeDocument/2006/relationships/image" Target="media/image33.png"/><Relationship Id="rId58" Type="http://schemas.openxmlformats.org/officeDocument/2006/relationships/image" Target="media/image34.png"/><Relationship Id="rId59" Type="http://schemas.openxmlformats.org/officeDocument/2006/relationships/image" Target="media/image35.png"/><Relationship Id="rId60" Type="http://schemas.openxmlformats.org/officeDocument/2006/relationships/image" Target="media/image36.png"/><Relationship Id="rId61" Type="http://schemas.openxmlformats.org/officeDocument/2006/relationships/image" Target="media/image37.png"/><Relationship Id="rId62" Type="http://schemas.openxmlformats.org/officeDocument/2006/relationships/image" Target="media/image38.png"/><Relationship Id="rId63" Type="http://schemas.openxmlformats.org/officeDocument/2006/relationships/image" Target="media/image39.png"/><Relationship Id="rId64" Type="http://schemas.openxmlformats.org/officeDocument/2006/relationships/image" Target="media/image40.png"/><Relationship Id="rId65" Type="http://schemas.openxmlformats.org/officeDocument/2006/relationships/image" Target="media/image41.png"/><Relationship Id="rId66" Type="http://schemas.openxmlformats.org/officeDocument/2006/relationships/image" Target="media/image42.png"/><Relationship Id="rId67" Type="http://schemas.openxmlformats.org/officeDocument/2006/relationships/image" Target="media/image43.png"/><Relationship Id="rId68" Type="http://schemas.openxmlformats.org/officeDocument/2006/relationships/image" Target="media/image44.png"/><Relationship Id="rId69" Type="http://schemas.openxmlformats.org/officeDocument/2006/relationships/image" Target="media/image45.png"/><Relationship Id="rId70" Type="http://schemas.openxmlformats.org/officeDocument/2006/relationships/image" Target="media/image46.png"/><Relationship Id="rId71" Type="http://schemas.openxmlformats.org/officeDocument/2006/relationships/image" Target="media/image47.png"/><Relationship Id="rId72" Type="http://schemas.openxmlformats.org/officeDocument/2006/relationships/image" Target="media/image48.png"/><Relationship Id="rId73" Type="http://schemas.openxmlformats.org/officeDocument/2006/relationships/image" Target="media/image49.png"/><Relationship Id="rId74" Type="http://schemas.openxmlformats.org/officeDocument/2006/relationships/image" Target="media/image50.png"/><Relationship Id="rId75" Type="http://schemas.openxmlformats.org/officeDocument/2006/relationships/image" Target="media/image51.png"/><Relationship Id="rId76" Type="http://schemas.openxmlformats.org/officeDocument/2006/relationships/image" Target="media/image52.png"/><Relationship Id="rId77" Type="http://schemas.openxmlformats.org/officeDocument/2006/relationships/image" Target="media/image53.png"/><Relationship Id="rId78" Type="http://schemas.openxmlformats.org/officeDocument/2006/relationships/image" Target="media/image54.png"/><Relationship Id="rId79" Type="http://schemas.openxmlformats.org/officeDocument/2006/relationships/image" Target="media/image55.png"/><Relationship Id="rId80" Type="http://schemas.openxmlformats.org/officeDocument/2006/relationships/image" Target="media/image56.png"/><Relationship Id="rId81" Type="http://schemas.openxmlformats.org/officeDocument/2006/relationships/image" Target="media/image57.png"/><Relationship Id="rId82" Type="http://schemas.openxmlformats.org/officeDocument/2006/relationships/image" Target="media/image58.png"/><Relationship Id="rId83" Type="http://schemas.openxmlformats.org/officeDocument/2006/relationships/image" Target="media/image59.png"/><Relationship Id="rId84" Type="http://schemas.openxmlformats.org/officeDocument/2006/relationships/image" Target="media/image60.png"/><Relationship Id="rId85" Type="http://schemas.openxmlformats.org/officeDocument/2006/relationships/image" Target="media/image61.png"/><Relationship Id="rId86" Type="http://schemas.openxmlformats.org/officeDocument/2006/relationships/image" Target="media/image62.png"/><Relationship Id="rId87" Type="http://schemas.openxmlformats.org/officeDocument/2006/relationships/image" Target="media/image63.png"/><Relationship Id="rId88" Type="http://schemas.openxmlformats.org/officeDocument/2006/relationships/image" Target="media/image64.png"/><Relationship Id="rId89" Type="http://schemas.openxmlformats.org/officeDocument/2006/relationships/image" Target="media/image65.png"/><Relationship Id="rId90" Type="http://schemas.openxmlformats.org/officeDocument/2006/relationships/image" Target="media/image66.png"/><Relationship Id="rId91" Type="http://schemas.openxmlformats.org/officeDocument/2006/relationships/image" Target="media/image67.png"/><Relationship Id="rId92" Type="http://schemas.openxmlformats.org/officeDocument/2006/relationships/image" Target="media/image68.png"/><Relationship Id="rId93" Type="http://schemas.openxmlformats.org/officeDocument/2006/relationships/image" Target="media/image69.png"/><Relationship Id="rId94" Type="http://schemas.openxmlformats.org/officeDocument/2006/relationships/image" Target="media/image70.png"/><Relationship Id="rId99" Type="http://schemas.openxmlformats.org/officeDocument/2006/relationships/image" Target="media/image71.png"/><Relationship Id="rId100" Type="http://schemas.openxmlformats.org/officeDocument/2006/relationships/image" Target="media/image72.png"/><Relationship Id="rId101" Type="http://schemas.openxmlformats.org/officeDocument/2006/relationships/image" Target="media/image73.png"/><Relationship Id="rId102" Type="http://schemas.openxmlformats.org/officeDocument/2006/relationships/image" Target="media/image74.png"/><Relationship Id="rId103" Type="http://schemas.openxmlformats.org/officeDocument/2006/relationships/image" Target="media/image75.png"/><Relationship Id="rId104" Type="http://schemas.openxmlformats.org/officeDocument/2006/relationships/image" Target="media/image76.png"/><Relationship Id="rId105" Type="http://schemas.openxmlformats.org/officeDocument/2006/relationships/image" Target="media/image77.png"/><Relationship Id="rId106" Type="http://schemas.openxmlformats.org/officeDocument/2006/relationships/image" Target="media/image78.png"/><Relationship Id="rId107" Type="http://schemas.openxmlformats.org/officeDocument/2006/relationships/image" Target="media/image79.png"/><Relationship Id="rId108" Type="http://schemas.openxmlformats.org/officeDocument/2006/relationships/image" Target="media/image80.png"/><Relationship Id="rId109" Type="http://schemas.openxmlformats.org/officeDocument/2006/relationships/image" Target="media/image81.png"/><Relationship Id="rId110" Type="http://schemas.openxmlformats.org/officeDocument/2006/relationships/image" Target="media/image82.png"/><Relationship Id="rId111" Type="http://schemas.openxmlformats.org/officeDocument/2006/relationships/image" Target="media/image83.png"/><Relationship Id="rId112" Type="http://schemas.openxmlformats.org/officeDocument/2006/relationships/image" Target="media/image84.png"/><Relationship Id="rId113" Type="http://schemas.openxmlformats.org/officeDocument/2006/relationships/image" Target="media/image85.png"/><Relationship Id="rId114" Type="http://schemas.openxmlformats.org/officeDocument/2006/relationships/image" Target="media/image86.png"/><Relationship Id="rId115" Type="http://schemas.openxmlformats.org/officeDocument/2006/relationships/image" Target="media/image87.png"/><Relationship Id="rId116" Type="http://schemas.openxmlformats.org/officeDocument/2006/relationships/image" Target="media/image88.png"/><Relationship Id="rId117" Type="http://schemas.openxmlformats.org/officeDocument/2006/relationships/image" Target="media/image89.png"/><Relationship Id="rId118" Type="http://schemas.openxmlformats.org/officeDocument/2006/relationships/image" Target="media/image90.png"/><Relationship Id="rId119" Type="http://schemas.openxmlformats.org/officeDocument/2006/relationships/image" Target="media/image91.png"/><Relationship Id="rId120" Type="http://schemas.openxmlformats.org/officeDocument/2006/relationships/image" Target="media/image92.png"/><Relationship Id="rId121" Type="http://schemas.openxmlformats.org/officeDocument/2006/relationships/image" Target="media/image93.png"/><Relationship Id="rId122" Type="http://schemas.openxmlformats.org/officeDocument/2006/relationships/image" Target="media/image94.png"/><Relationship Id="rId123" Type="http://schemas.openxmlformats.org/officeDocument/2006/relationships/image" Target="media/image95.png"/><Relationship Id="rId124" Type="http://schemas.openxmlformats.org/officeDocument/2006/relationships/image" Target="media/image96.png"/><Relationship Id="rId125" Type="http://schemas.openxmlformats.org/officeDocument/2006/relationships/image" Target="media/image97.png"/><Relationship Id="rId126" Type="http://schemas.openxmlformats.org/officeDocument/2006/relationships/image" Target="media/image98.png"/><Relationship Id="rId127" Type="http://schemas.openxmlformats.org/officeDocument/2006/relationships/image" Target="media/image99.png"/><Relationship Id="rId128" Type="http://schemas.openxmlformats.org/officeDocument/2006/relationships/image" Target="media/image100.png"/><Relationship Id="rId129" Type="http://schemas.openxmlformats.org/officeDocument/2006/relationships/image" Target="media/image101.png"/><Relationship Id="rId130" Type="http://schemas.openxmlformats.org/officeDocument/2006/relationships/image" Target="media/image102.png"/><Relationship Id="rId131" Type="http://schemas.openxmlformats.org/officeDocument/2006/relationships/image" Target="media/image103.png"/><Relationship Id="rId132" Type="http://schemas.openxmlformats.org/officeDocument/2006/relationships/image" Target="media/image104.png"/><Relationship Id="rId133" Type="http://schemas.openxmlformats.org/officeDocument/2006/relationships/image" Target="media/image105.png"/><Relationship Id="rId134" Type="http://schemas.openxmlformats.org/officeDocument/2006/relationships/image" Target="media/image106.png"/><Relationship Id="rId135" Type="http://schemas.openxmlformats.org/officeDocument/2006/relationships/image" Target="media/image107.png"/><Relationship Id="rId136" Type="http://schemas.openxmlformats.org/officeDocument/2006/relationships/image" Target="media/image108.png"/><Relationship Id="rId137" Type="http://schemas.openxmlformats.org/officeDocument/2006/relationships/image" Target="media/image109.png"/><Relationship Id="rId138" Type="http://schemas.openxmlformats.org/officeDocument/2006/relationships/image" Target="media/image110.png"/><Relationship Id="rId139" Type="http://schemas.openxmlformats.org/officeDocument/2006/relationships/image" Target="media/image111.png"/><Relationship Id="rId140" Type="http://schemas.openxmlformats.org/officeDocument/2006/relationships/image" Target="media/image112.png"/><Relationship Id="rId141" Type="http://schemas.openxmlformats.org/officeDocument/2006/relationships/image" Target="media/image113.png"/><Relationship Id="rId142" Type="http://schemas.openxmlformats.org/officeDocument/2006/relationships/image" Target="media/image114.png"/><Relationship Id="rId143" Type="http://schemas.openxmlformats.org/officeDocument/2006/relationships/image" Target="media/image115.png"/><Relationship Id="rId144" Type="http://schemas.openxmlformats.org/officeDocument/2006/relationships/image" Target="media/image116.png"/><Relationship Id="rId145" Type="http://schemas.openxmlformats.org/officeDocument/2006/relationships/image" Target="media/image117.png"/><Relationship Id="rId146" Type="http://schemas.openxmlformats.org/officeDocument/2006/relationships/image" Target="media/image118.png"/><Relationship Id="rId147" Type="http://schemas.openxmlformats.org/officeDocument/2006/relationships/image" Target="media/image119.png"/><Relationship Id="rId148" Type="http://schemas.openxmlformats.org/officeDocument/2006/relationships/image" Target="media/image120.png"/><Relationship Id="rId149" Type="http://schemas.openxmlformats.org/officeDocument/2006/relationships/image" Target="media/image121.png"/><Relationship Id="rId150" Type="http://schemas.openxmlformats.org/officeDocument/2006/relationships/image" Target="media/image122.png"/><Relationship Id="rId151" Type="http://schemas.openxmlformats.org/officeDocument/2006/relationships/image" Target="media/image123.png"/><Relationship Id="rId152" Type="http://schemas.openxmlformats.org/officeDocument/2006/relationships/image" Target="media/image124.png"/><Relationship Id="rId153" Type="http://schemas.openxmlformats.org/officeDocument/2006/relationships/image" Target="media/image125.png"/><Relationship Id="rId154" Type="http://schemas.openxmlformats.org/officeDocument/2006/relationships/image" Target="media/image126.png"/><Relationship Id="rId155" Type="http://schemas.openxmlformats.org/officeDocument/2006/relationships/image" Target="media/image127.png"/><Relationship Id="rId156" Type="http://schemas.openxmlformats.org/officeDocument/2006/relationships/image" Target="media/image128.png"/><Relationship Id="rId157" Type="http://schemas.openxmlformats.org/officeDocument/2006/relationships/image" Target="media/image129.png"/><Relationship Id="rId158" Type="http://schemas.openxmlformats.org/officeDocument/2006/relationships/image" Target="media/image130.png"/><Relationship Id="rId159" Type="http://schemas.openxmlformats.org/officeDocument/2006/relationships/image" Target="media/image131.png"/><Relationship Id="rId160" Type="http://schemas.openxmlformats.org/officeDocument/2006/relationships/image" Target="media/image132.png"/><Relationship Id="rId161" Type="http://schemas.openxmlformats.org/officeDocument/2006/relationships/image" Target="media/image133.png"/><Relationship Id="rId162" Type="http://schemas.openxmlformats.org/officeDocument/2006/relationships/image" Target="media/image134.png"/><Relationship Id="rId163" Type="http://schemas.openxmlformats.org/officeDocument/2006/relationships/image" Target="media/image135.png"/><Relationship Id="rId164" Type="http://schemas.openxmlformats.org/officeDocument/2006/relationships/image" Target="media/image136.png"/><Relationship Id="rId165" Type="http://schemas.openxmlformats.org/officeDocument/2006/relationships/image" Target="media/image137.png"/><Relationship Id="rId166" Type="http://schemas.openxmlformats.org/officeDocument/2006/relationships/image" Target="media/image138.png"/><Relationship Id="rId167" Type="http://schemas.openxmlformats.org/officeDocument/2006/relationships/image" Target="media/image139.png"/><Relationship Id="rId168" Type="http://schemas.openxmlformats.org/officeDocument/2006/relationships/image" Target="media/image140.png"/><Relationship Id="rId169" Type="http://schemas.openxmlformats.org/officeDocument/2006/relationships/image" Target="media/image141.png"/><Relationship Id="rId170" Type="http://schemas.openxmlformats.org/officeDocument/2006/relationships/image" Target="media/image142.png"/><Relationship Id="rId171" Type="http://schemas.openxmlformats.org/officeDocument/2006/relationships/image" Target="media/image143.png"/><Relationship Id="rId172" Type="http://schemas.openxmlformats.org/officeDocument/2006/relationships/image" Target="media/image144.png"/><Relationship Id="rId173" Type="http://schemas.openxmlformats.org/officeDocument/2006/relationships/image" Target="media/image145.png"/><Relationship Id="rId174" Type="http://schemas.openxmlformats.org/officeDocument/2006/relationships/image" Target="media/image146.png"/><Relationship Id="rId175" Type="http://schemas.openxmlformats.org/officeDocument/2006/relationships/image" Target="media/image147.png"/><Relationship Id="rId176" Type="http://schemas.openxmlformats.org/officeDocument/2006/relationships/image" Target="media/image148.png"/><Relationship Id="rId177" Type="http://schemas.openxmlformats.org/officeDocument/2006/relationships/image" Target="media/image149.png"/><Relationship Id="rId178" Type="http://schemas.openxmlformats.org/officeDocument/2006/relationships/image" Target="media/image150.png"/><Relationship Id="rId179" Type="http://schemas.openxmlformats.org/officeDocument/2006/relationships/image" Target="media/image151.png"/><Relationship Id="rId180" Type="http://schemas.openxmlformats.org/officeDocument/2006/relationships/image" Target="media/image152.png"/><Relationship Id="rId181" Type="http://schemas.openxmlformats.org/officeDocument/2006/relationships/image" Target="media/image153.png"/><Relationship Id="rId182" Type="http://schemas.openxmlformats.org/officeDocument/2006/relationships/image" Target="media/image154.png"/><Relationship Id="rId183" Type="http://schemas.openxmlformats.org/officeDocument/2006/relationships/image" Target="media/image155.png"/><Relationship Id="rId184" Type="http://schemas.openxmlformats.org/officeDocument/2006/relationships/image" Target="media/image156.png"/><Relationship Id="rId185" Type="http://schemas.openxmlformats.org/officeDocument/2006/relationships/image" Target="media/image157.png"/><Relationship Id="rId186" Type="http://schemas.openxmlformats.org/officeDocument/2006/relationships/image" Target="media/image158.png"/><Relationship Id="rId187" Type="http://schemas.openxmlformats.org/officeDocument/2006/relationships/image" Target="media/image159.png"/><Relationship Id="rId188" Type="http://schemas.openxmlformats.org/officeDocument/2006/relationships/image" Target="media/image160.png"/><Relationship Id="rId189" Type="http://schemas.openxmlformats.org/officeDocument/2006/relationships/image" Target="media/image161.png"/><Relationship Id="rId190" Type="http://schemas.openxmlformats.org/officeDocument/2006/relationships/image" Target="media/image162.png"/><Relationship Id="rId191" Type="http://schemas.openxmlformats.org/officeDocument/2006/relationships/image" Target="media/image163.png"/><Relationship Id="rId192" Type="http://schemas.openxmlformats.org/officeDocument/2006/relationships/image" Target="media/image164.png"/><Relationship Id="rId193" Type="http://schemas.openxmlformats.org/officeDocument/2006/relationships/image" Target="media/image165.png"/><Relationship Id="rId194" Type="http://schemas.openxmlformats.org/officeDocument/2006/relationships/image" Target="media/image166.png"/><Relationship Id="rId195" Type="http://schemas.openxmlformats.org/officeDocument/2006/relationships/image" Target="media/image167.png"/><Relationship Id="rId196" Type="http://schemas.openxmlformats.org/officeDocument/2006/relationships/image" Target="media/image168.png"/><Relationship Id="rId197" Type="http://schemas.openxmlformats.org/officeDocument/2006/relationships/image" Target="media/image169.png"/><Relationship Id="rId198" Type="http://schemas.openxmlformats.org/officeDocument/2006/relationships/image" Target="media/image170.png"/><Relationship Id="rId199" Type="http://schemas.openxmlformats.org/officeDocument/2006/relationships/image" Target="media/image171.png"/><Relationship Id="rId200" Type="http://schemas.openxmlformats.org/officeDocument/2006/relationships/image" Target="media/image172.png"/><Relationship Id="rId201" Type="http://schemas.openxmlformats.org/officeDocument/2006/relationships/image" Target="media/image173.png"/><Relationship Id="rId202" Type="http://schemas.openxmlformats.org/officeDocument/2006/relationships/image" Target="media/image174.png"/><Relationship Id="rId203" Type="http://schemas.openxmlformats.org/officeDocument/2006/relationships/image" Target="media/image175.png"/><Relationship Id="rId204" Type="http://schemas.openxmlformats.org/officeDocument/2006/relationships/image" Target="media/image176.png"/><Relationship Id="rId205" Type="http://schemas.openxmlformats.org/officeDocument/2006/relationships/image" Target="media/image177.png"/><Relationship Id="rId206" Type="http://schemas.openxmlformats.org/officeDocument/2006/relationships/image" Target="media/image178.png"/><Relationship Id="rId207" Type="http://schemas.openxmlformats.org/officeDocument/2006/relationships/image" Target="media/image179.png"/><Relationship Id="rId208" Type="http://schemas.openxmlformats.org/officeDocument/2006/relationships/image" Target="media/image180.png"/><Relationship Id="rId209" Type="http://schemas.openxmlformats.org/officeDocument/2006/relationships/image" Target="media/image181.png"/><Relationship Id="rId210" Type="http://schemas.openxmlformats.org/officeDocument/2006/relationships/image" Target="media/image182.png"/><Relationship Id="rId211" Type="http://schemas.openxmlformats.org/officeDocument/2006/relationships/image" Target="media/image183.png"/><Relationship Id="rId212" Type="http://schemas.openxmlformats.org/officeDocument/2006/relationships/image" Target="media/image184.png"/><Relationship Id="rId213" Type="http://schemas.openxmlformats.org/officeDocument/2006/relationships/image" Target="media/image185.png"/><Relationship Id="rId214" Type="http://schemas.openxmlformats.org/officeDocument/2006/relationships/image" Target="media/image186.png"/><Relationship Id="rId215" Type="http://schemas.openxmlformats.org/officeDocument/2006/relationships/image" Target="media/image187.png"/><Relationship Id="rId216" Type="http://schemas.openxmlformats.org/officeDocument/2006/relationships/image" Target="media/image188.png"/><Relationship Id="rId217" Type="http://schemas.openxmlformats.org/officeDocument/2006/relationships/image" Target="media/image189.png"/><Relationship Id="rId218" Type="http://schemas.openxmlformats.org/officeDocument/2006/relationships/image" Target="media/image190.png"/><Relationship Id="rId219" Type="http://schemas.openxmlformats.org/officeDocument/2006/relationships/image" Target="media/image191.png"/><Relationship Id="rId220" Type="http://schemas.openxmlformats.org/officeDocument/2006/relationships/image" Target="media/image192.png"/><Relationship Id="rId221" Type="http://schemas.openxmlformats.org/officeDocument/2006/relationships/image" Target="media/image193.png"/><Relationship Id="rId222" Type="http://schemas.openxmlformats.org/officeDocument/2006/relationships/image" Target="media/image194.png"/><Relationship Id="rId223" Type="http://schemas.openxmlformats.org/officeDocument/2006/relationships/image" Target="media/image195.png"/><Relationship Id="rId224" Type="http://schemas.openxmlformats.org/officeDocument/2006/relationships/image" Target="media/image196.png"/><Relationship Id="rId225" Type="http://schemas.openxmlformats.org/officeDocument/2006/relationships/image" Target="media/image197.png"/><Relationship Id="rId226" Type="http://schemas.openxmlformats.org/officeDocument/2006/relationships/image" Target="media/image198.png"/><Relationship Id="rId227" Type="http://schemas.openxmlformats.org/officeDocument/2006/relationships/image" Target="media/image199.png"/><Relationship Id="rId228" Type="http://schemas.openxmlformats.org/officeDocument/2006/relationships/image" Target="media/image200.png"/><Relationship Id="rId229" Type="http://schemas.openxmlformats.org/officeDocument/2006/relationships/image" Target="media/image201.png"/><Relationship Id="rId230" Type="http://schemas.openxmlformats.org/officeDocument/2006/relationships/image" Target="media/image202.png"/><Relationship Id="rId231" Type="http://schemas.openxmlformats.org/officeDocument/2006/relationships/image" Target="media/image203.png"/><Relationship Id="rId232" Type="http://schemas.openxmlformats.org/officeDocument/2006/relationships/image" Target="media/image204.png"/><Relationship Id="rId233" Type="http://schemas.openxmlformats.org/officeDocument/2006/relationships/image" Target="media/image205.png"/><Relationship Id="rId234" Type="http://schemas.openxmlformats.org/officeDocument/2006/relationships/image" Target="media/image206.png"/><Relationship Id="rId235" Type="http://schemas.openxmlformats.org/officeDocument/2006/relationships/image" Target="media/image207.png"/><Relationship Id="rId236" Type="http://schemas.openxmlformats.org/officeDocument/2006/relationships/image" Target="media/image208.png"/><Relationship Id="rId237" Type="http://schemas.openxmlformats.org/officeDocument/2006/relationships/image" Target="media/image209.png"/><Relationship Id="rId238" Type="http://schemas.openxmlformats.org/officeDocument/2006/relationships/image" Target="media/image210.png"/><Relationship Id="rId239" Type="http://schemas.openxmlformats.org/officeDocument/2006/relationships/image" Target="media/image211.png"/><Relationship Id="rId240" Type="http://schemas.openxmlformats.org/officeDocument/2006/relationships/image" Target="media/image212.png"/><Relationship Id="rId241" Type="http://schemas.openxmlformats.org/officeDocument/2006/relationships/image" Target="media/image213.jpeg"/><Relationship Id="rId242" Type="http://schemas.openxmlformats.org/officeDocument/2006/relationships/image" Target="media/image214.png"/><Relationship Id="rId243" Type="http://schemas.openxmlformats.org/officeDocument/2006/relationships/image" Target="media/image215.png"/><Relationship Id="rId244" Type="http://schemas.openxmlformats.org/officeDocument/2006/relationships/image" Target="media/image216.png"/><Relationship Id="rId245" Type="http://schemas.openxmlformats.org/officeDocument/2006/relationships/image" Target="media/image217.png"/><Relationship Id="rId246" Type="http://schemas.openxmlformats.org/officeDocument/2006/relationships/image" Target="media/image218.png"/><Relationship Id="rId247" Type="http://schemas.openxmlformats.org/officeDocument/2006/relationships/image" Target="media/image219.png"/><Relationship Id="rId248" Type="http://schemas.openxmlformats.org/officeDocument/2006/relationships/image" Target="media/image220.png"/><Relationship Id="rId249" Type="http://schemas.openxmlformats.org/officeDocument/2006/relationships/image" Target="media/image221.png"/><Relationship Id="rId250" Type="http://schemas.openxmlformats.org/officeDocument/2006/relationships/image" Target="media/image222.png"/><Relationship Id="rId31" Type="http://schemas.openxmlformats.org/officeDocument/2006/relationships/hyperlink" Target="http://www.sec.gov/Archives/edgar/data/1598655/000110465920057702/a20-18699_2ex99d2.htm" TargetMode="External"/><Relationship Id="rId32" Type="http://schemas.openxmlformats.org/officeDocument/2006/relationships/hyperlink" Target="http://www.sec.gov/Archives/edgar/data/1598655/000110465920090543/a20-22824_1ex99d2.htm" TargetMode="External"/><Relationship Id="rId36" Type="http://schemas.openxmlformats.org/officeDocument/2006/relationships/hyperlink" Target="http://www.sec.gov/Archives/edgar/data/1598655/000110465920069837/a20-21809_120fa.htm" TargetMode="External"/><Relationship Id="rId37" Type="http://schemas.openxmlformats.org/officeDocument/2006/relationships/hyperlink" Target="http://www.sec.gov/Archives/edgar/data/1598655/000110465920011598/a20-6860_16k.htm" TargetMode="External"/><Relationship Id="rId38" Type="http://schemas.openxmlformats.org/officeDocument/2006/relationships/hyperlink" Target="http://www.sec.gov/Archives/edgar/data/1598655/000110465920042150/a20-14719_16k.htm" TargetMode="External"/><Relationship Id="rId39" Type="http://schemas.openxmlformats.org/officeDocument/2006/relationships/hyperlink" Target="http://www.sec.gov/Archives/edgar/data/1598655/000110465920057702/a20-18699_26k.htm" TargetMode="External"/><Relationship Id="rId40" Type="http://schemas.openxmlformats.org/officeDocument/2006/relationships/hyperlink" Target="http://www.sec.gov/Archives/edgar/data/1598655/000110465920057705/a20-18699_36k.htm" TargetMode="External"/><Relationship Id="rId41" Type="http://schemas.openxmlformats.org/officeDocument/2006/relationships/hyperlink" Target="http://www.sec.gov/Archives/edgar/data/1598655/000110465920061653/a20-19548_16k.htm" TargetMode="External"/><Relationship Id="rId42" Type="http://schemas.openxmlformats.org/officeDocument/2006/relationships/hyperlink" Target="http://www.sec.gov/Archives/edgar/data/1598655/000110465920062033/a20-19548_26k.htm" TargetMode="External"/><Relationship Id="rId43" Type="http://schemas.openxmlformats.org/officeDocument/2006/relationships/hyperlink" Target="http://www.sec.gov/Archives/edgar/data/1598655/000110465920080587/a20-23919_16k.htm" TargetMode="External"/><Relationship Id="rId44" Type="http://schemas.openxmlformats.org/officeDocument/2006/relationships/hyperlink" Target="http://www.sec.gov/Archives/edgar/data/1598655/000110465920090543/a20-22824_16k.htm" TargetMode="External"/><Relationship Id="rId45" Type="http://schemas.openxmlformats.org/officeDocument/2006/relationships/hyperlink" Target="http://www.sec.gov/Archives/edgar/data/1598655/000110465920090545/a20-22824_36k.htm" TargetMode="External"/><Relationship Id="rId46" Type="http://schemas.openxmlformats.org/officeDocument/2006/relationships/hyperlink" Target="http://www.sec.gov/Archives/edgar/data/1598655/000110465920090547/a20-22824_46k.htm" TargetMode="External"/><Relationship Id="rId47" Type="http://schemas.openxmlformats.org/officeDocument/2006/relationships/hyperlink" Target="http://www.sec.gov/Archives/edgar/data/1598655/000095015714000423/form8-a12b.htm" TargetMode="External"/><Relationship Id="rId48" Type="http://schemas.openxmlformats.org/officeDocument/2006/relationships/hyperlink" Target="http://www.sec.gov/Archives/edgar/data/1598655/000093041317002125/c88400_8a12b.htm" TargetMode="External"/><Relationship Id="rId49" Type="http://schemas.openxmlformats.org/officeDocument/2006/relationships/hyperlink" Target="http://www.sec.gov/Archives/edgar/data/1598655/000110465918002626/a18-2138_78a12b.htm" TargetMode="External"/><Relationship Id="rId50" Type="http://schemas.openxmlformats.org/officeDocument/2006/relationships/hyperlink" Target="http://www.sec.gov/Archives/edgar/data/1598655/000110465918068776/a18-39522_88a12b.htm" TargetMode="External"/><Relationship Id="rId95" Type="http://schemas.openxmlformats.org/officeDocument/2006/relationships/hyperlink" Target="http://www.sec.gov/Archives/edgar/data/1598655/000093041314001858/c76356_ex3-1.htm" TargetMode="External"/><Relationship Id="rId96" Type="http://schemas.openxmlformats.org/officeDocument/2006/relationships/hyperlink" Target="http://www.sec.gov/Archives/edgar/data/1598655/000110465920090547/a20-22824_4ex3d2.htm" TargetMode="External"/><Relationship Id="rId97" Type="http://schemas.openxmlformats.org/officeDocument/2006/relationships/hyperlink" Target="http://www.sec.gov/Archives/edgar/data/1598655/000093041314001858/c76356_ex3-3.htm" TargetMode="External"/><Relationship Id="rId98" Type="http://schemas.openxmlformats.org/officeDocument/2006/relationships/hyperlink" Target="http://www.sec.gov/Archives/edgar/data/1598655/000093041314001858/c76356_ex3-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2020-10-09T06:39:47Z</dcterms:created>
  <dcterms:modified xsi:type="dcterms:W3CDTF">2020-10-09T06:39:47Z</dcterms:modified>
</cp:coreProperties>
</file>