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November 2020</w:t>
            </w:r>
          </w:p>
        </w:tc>
        <w:tc>
          <w:tcPr>
            <w:tcW w:w="2160" w:type="dxa"/>
            <w:vAlign w:val="bottom"/>
          </w:tcPr>
          <w:p>
            <w:pPr>
              <w:spacing w:after="0"/>
              <w:rPr>
                <w:sz w:val="20"/>
                <w:szCs w:val="20"/>
                <w:color w:val="auto"/>
              </w:rPr>
            </w:pPr>
          </w:p>
        </w:tc>
      </w:tr>
      <w:tr>
        <w:trPr>
          <w:trHeight w:val="432"/>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001-36433</w:t>
            </w:r>
          </w:p>
        </w:tc>
        <w:tc>
          <w:tcPr>
            <w:tcW w:w="2160" w:type="dxa"/>
            <w:vAlign w:val="bottom"/>
          </w:tcPr>
          <w:p>
            <w:pPr>
              <w:spacing w:after="0"/>
              <w:rPr>
                <w:sz w:val="24"/>
                <w:szCs w:val="24"/>
                <w:color w:val="auto"/>
              </w:rPr>
            </w:pPr>
          </w:p>
        </w:tc>
      </w:tr>
      <w:tr>
        <w:trPr>
          <w:trHeight w:val="414"/>
        </w:trPr>
        <w:tc>
          <w:tcPr>
            <w:tcW w:w="9080" w:type="dxa"/>
            <w:vAlign w:val="bottom"/>
          </w:tcPr>
          <w:p>
            <w:pPr>
              <w:jc w:val="center"/>
              <w:ind w:left="2036"/>
              <w:spacing w:after="0"/>
              <w:rPr>
                <w:sz w:val="20"/>
                <w:szCs w:val="20"/>
                <w:color w:val="auto"/>
              </w:rPr>
            </w:pPr>
            <w:r>
              <w:rPr>
                <w:rFonts w:ascii="Times New Roman" w:cs="Times New Roman" w:eastAsia="Times New Roman" w:hAnsi="Times New Roman"/>
                <w:sz w:val="18"/>
                <w:szCs w:val="18"/>
                <w:b w:val="1"/>
                <w:bCs w:val="1"/>
                <w:color w:val="auto"/>
              </w:rPr>
              <w:t>GasLog Partners LP</w:t>
            </w:r>
          </w:p>
        </w:tc>
        <w:tc>
          <w:tcPr>
            <w:tcW w:w="2160" w:type="dxa"/>
            <w:vAlign w:val="bottom"/>
          </w:tcPr>
          <w:p>
            <w:pPr>
              <w:spacing w:after="0"/>
              <w:rPr>
                <w:sz w:val="24"/>
                <w:szCs w:val="24"/>
                <w:color w:val="auto"/>
              </w:rPr>
            </w:pPr>
          </w:p>
        </w:tc>
      </w:tr>
      <w:tr>
        <w:trPr>
          <w:trHeight w:val="234"/>
        </w:trPr>
        <w:tc>
          <w:tcPr>
            <w:tcW w:w="9080" w:type="dxa"/>
            <w:vAlign w:val="bottom"/>
          </w:tcPr>
          <w:p>
            <w:pPr>
              <w:jc w:val="center"/>
              <w:ind w:left="2076"/>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2160" w:type="dxa"/>
            <w:vAlign w:val="bottom"/>
          </w:tcPr>
          <w:p>
            <w:pPr>
              <w:spacing w:after="0"/>
              <w:rPr>
                <w:sz w:val="20"/>
                <w:szCs w:val="20"/>
                <w:color w:val="auto"/>
              </w:rPr>
            </w:pPr>
          </w:p>
        </w:tc>
      </w:tr>
      <w:tr>
        <w:trPr>
          <w:trHeight w:val="414"/>
        </w:trPr>
        <w:tc>
          <w:tcPr>
            <w:tcW w:w="9080" w:type="dxa"/>
            <w:vAlign w:val="bottom"/>
          </w:tcPr>
          <w:p>
            <w:pPr>
              <w:jc w:val="center"/>
              <w:ind w:left="2036"/>
              <w:spacing w:after="0"/>
              <w:rPr>
                <w:sz w:val="20"/>
                <w:szCs w:val="20"/>
                <w:color w:val="auto"/>
              </w:rPr>
            </w:pPr>
            <w:r>
              <w:rPr>
                <w:rFonts w:ascii="Times New Roman" w:cs="Times New Roman" w:eastAsia="Times New Roman" w:hAnsi="Times New Roman"/>
                <w:sz w:val="18"/>
                <w:szCs w:val="18"/>
                <w:color w:val="auto"/>
                <w:w w:val="99"/>
              </w:rPr>
              <w:t>c/o GasLog LNG Services Ltd.</w:t>
            </w:r>
          </w:p>
        </w:tc>
        <w:tc>
          <w:tcPr>
            <w:tcW w:w="2160" w:type="dxa"/>
            <w:vAlign w:val="bottom"/>
          </w:tcPr>
          <w:p>
            <w:pPr>
              <w:spacing w:after="0"/>
              <w:rPr>
                <w:sz w:val="24"/>
                <w:szCs w:val="24"/>
                <w:color w:val="auto"/>
              </w:rPr>
            </w:pPr>
          </w:p>
        </w:tc>
      </w:tr>
      <w:tr>
        <w:trPr>
          <w:trHeight w:val="216"/>
        </w:trPr>
        <w:tc>
          <w:tcPr>
            <w:tcW w:w="9080" w:type="dxa"/>
            <w:vAlign w:val="bottom"/>
          </w:tcPr>
          <w:p>
            <w:pPr>
              <w:jc w:val="center"/>
              <w:ind w:left="2056"/>
              <w:spacing w:after="0"/>
              <w:rPr>
                <w:sz w:val="20"/>
                <w:szCs w:val="20"/>
                <w:color w:val="auto"/>
              </w:rPr>
            </w:pPr>
            <w:r>
              <w:rPr>
                <w:rFonts w:ascii="Times New Roman" w:cs="Times New Roman" w:eastAsia="Times New Roman" w:hAnsi="Times New Roman"/>
                <w:sz w:val="18"/>
                <w:szCs w:val="18"/>
                <w:color w:val="auto"/>
                <w:w w:val="99"/>
              </w:rPr>
              <w:t>69 Akti Miaouli, 18537</w:t>
            </w:r>
          </w:p>
        </w:tc>
        <w:tc>
          <w:tcPr>
            <w:tcW w:w="2160" w:type="dxa"/>
            <w:vAlign w:val="bottom"/>
          </w:tcPr>
          <w:p>
            <w:pPr>
              <w:spacing w:after="0"/>
              <w:rPr>
                <w:sz w:val="18"/>
                <w:szCs w:val="18"/>
                <w:color w:val="auto"/>
              </w:rPr>
            </w:pPr>
          </w:p>
        </w:tc>
      </w:tr>
      <w:tr>
        <w:trPr>
          <w:trHeight w:val="216"/>
        </w:trPr>
        <w:tc>
          <w:tcPr>
            <w:tcW w:w="9080" w:type="dxa"/>
            <w:vAlign w:val="bottom"/>
          </w:tcPr>
          <w:p>
            <w:pPr>
              <w:jc w:val="center"/>
              <w:ind w:left="2036"/>
              <w:spacing w:after="0"/>
              <w:rPr>
                <w:sz w:val="20"/>
                <w:szCs w:val="20"/>
                <w:color w:val="auto"/>
              </w:rPr>
            </w:pPr>
            <w:r>
              <w:rPr>
                <w:rFonts w:ascii="Times New Roman" w:cs="Times New Roman" w:eastAsia="Times New Roman" w:hAnsi="Times New Roman"/>
                <w:sz w:val="18"/>
                <w:szCs w:val="18"/>
                <w:color w:val="auto"/>
                <w:w w:val="99"/>
              </w:rPr>
              <w:t>Piraeus, Greece</w:t>
            </w:r>
          </w:p>
        </w:tc>
        <w:tc>
          <w:tcPr>
            <w:tcW w:w="2160" w:type="dxa"/>
            <w:vAlign w:val="bottom"/>
          </w:tcPr>
          <w:p>
            <w:pPr>
              <w:spacing w:after="0"/>
              <w:rPr>
                <w:sz w:val="18"/>
                <w:szCs w:val="18"/>
                <w:color w:val="auto"/>
              </w:rPr>
            </w:pPr>
          </w:p>
        </w:tc>
      </w:tr>
      <w:tr>
        <w:trPr>
          <w:trHeight w:val="234"/>
        </w:trPr>
        <w:tc>
          <w:tcPr>
            <w:tcW w:w="9080" w:type="dxa"/>
            <w:vAlign w:val="bottom"/>
          </w:tcPr>
          <w:p>
            <w:pPr>
              <w:jc w:val="center"/>
              <w:ind w:left="2096"/>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2160" w:type="dxa"/>
            <w:vAlign w:val="bottom"/>
          </w:tcPr>
          <w:p>
            <w:pPr>
              <w:spacing w:after="0"/>
              <w:rPr>
                <w:sz w:val="20"/>
                <w:szCs w:val="20"/>
                <w:color w:val="auto"/>
              </w:rPr>
            </w:pPr>
          </w:p>
        </w:tc>
      </w:tr>
      <w:tr>
        <w:trPr>
          <w:trHeight w:val="432"/>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2160" w:type="dxa"/>
            <w:vAlign w:val="bottom"/>
          </w:tcPr>
          <w:p>
            <w:pPr>
              <w:spacing w:after="0"/>
              <w:rPr>
                <w:sz w:val="24"/>
                <w:szCs w:val="24"/>
                <w:color w:val="auto"/>
              </w:rPr>
            </w:pPr>
          </w:p>
        </w:tc>
      </w:tr>
      <w:tr>
        <w:trPr>
          <w:trHeight w:val="432"/>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Form 20-FForm 40-F</w:t>
            </w:r>
          </w:p>
        </w:tc>
        <w:tc>
          <w:tcPr>
            <w:tcW w:w="2160" w:type="dxa"/>
            <w:vAlign w:val="bottom"/>
          </w:tcPr>
          <w:p>
            <w:pPr>
              <w:spacing w:after="0"/>
              <w:rPr>
                <w:sz w:val="24"/>
                <w:szCs w:val="24"/>
                <w:color w:val="auto"/>
              </w:rPr>
            </w:pPr>
          </w:p>
        </w:tc>
      </w:tr>
      <w:tr>
        <w:trPr>
          <w:trHeight w:val="452"/>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21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21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655"/>
        </w:trPr>
        <w:tc>
          <w:tcPr>
            <w:tcW w:w="90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 w:name="page2"/>
    <w:bookmarkEnd w:id="1"/>
    <w:p>
      <w:pPr>
        <w:ind w:right="300" w:firstLine="324"/>
        <w:spacing w:after="0" w:line="298" w:lineRule="auto"/>
        <w:rPr>
          <w:sz w:val="20"/>
          <w:szCs w:val="20"/>
          <w:color w:val="auto"/>
        </w:rPr>
      </w:pPr>
      <w:r>
        <w:rPr>
          <w:rFonts w:ascii="Times New Roman" w:cs="Times New Roman" w:eastAsia="Times New Roman" w:hAnsi="Times New Roman"/>
          <w:sz w:val="16"/>
          <w:szCs w:val="16"/>
          <w:color w:val="auto"/>
        </w:rPr>
        <w:t>The press release issued by GasLog Partners LP on November 10, 2020 relating to its results for the three-month period ended September 30, 2020 and the related financial report are attached hereto as Exhibits 99.1 and 99.2, respectively.</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INCORPORATION BY REFERENCE</w:t>
      </w:r>
    </w:p>
    <w:p>
      <w:pPr>
        <w:spacing w:after="0" w:line="235"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6"/>
          <w:szCs w:val="16"/>
          <w:color w:val="auto"/>
        </w:rPr>
        <w:t>Exhibit 99.2 to this Report on Form 6-K shall be incorporated by reference into our registration statement on Form F-3 (File No. 333-249399), filed with the Securities and Exchange Commission (the “SEC”) on October 9, 2020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6020" w:type="dxa"/>
            <w:vAlign w:val="bottom"/>
          </w:tcPr>
          <w:p>
            <w:pPr>
              <w:ind w:left="4360"/>
              <w:spacing w:after="0"/>
              <w:rPr>
                <w:sz w:val="20"/>
                <w:szCs w:val="20"/>
                <w:color w:val="auto"/>
              </w:rPr>
            </w:pPr>
            <w:r>
              <w:rPr>
                <w:rFonts w:ascii="Times New Roman" w:cs="Times New Roman" w:eastAsia="Times New Roman" w:hAnsi="Times New Roman"/>
                <w:sz w:val="16"/>
                <w:szCs w:val="16"/>
                <w:color w:val="auto"/>
              </w:rPr>
              <w:t>EXHIBIT LIST</w:t>
            </w:r>
          </w:p>
        </w:tc>
      </w:tr>
      <w:tr>
        <w:trPr>
          <w:trHeight w:val="418"/>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Exhibit</w:t>
            </w:r>
          </w:p>
        </w:tc>
        <w:tc>
          <w:tcPr>
            <w:tcW w:w="6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Description</w:t>
            </w:r>
          </w:p>
        </w:tc>
      </w:tr>
      <w:tr>
        <w:trPr>
          <w:trHeight w:val="432"/>
        </w:trPr>
        <w:tc>
          <w:tcPr>
            <w:tcW w:w="760" w:type="dxa"/>
            <w:vAlign w:val="bottom"/>
          </w:tcPr>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99.1</w:t>
              </w:r>
            </w:hyperlink>
          </w:p>
        </w:tc>
        <w:tc>
          <w:tcPr>
            <w:tcW w:w="6020" w:type="dxa"/>
            <w:vAlign w:val="bottom"/>
          </w:tcPr>
          <w:p>
            <w:pPr>
              <w:ind w:left="260"/>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Press Release dated November 10, 2020</w:t>
              </w:r>
            </w:hyperlink>
          </w:p>
        </w:tc>
      </w:tr>
      <w:tr>
        <w:trPr>
          <w:trHeight w:val="432"/>
        </w:trPr>
        <w:tc>
          <w:tcPr>
            <w:tcW w:w="760" w:type="dxa"/>
            <w:vAlign w:val="bottom"/>
          </w:tcPr>
          <w:p>
            <w:pPr>
              <w:spacing w:after="0"/>
              <w:rPr>
                <w:rFonts w:ascii="Times New Roman" w:cs="Times New Roman" w:eastAsia="Times New Roman" w:hAnsi="Times New Roman"/>
                <w:sz w:val="16"/>
                <w:szCs w:val="16"/>
                <w:u w:val="single" w:color="auto"/>
                <w:color w:val="0000EE"/>
              </w:rPr>
            </w:pPr>
            <w:hyperlink w:anchor="page14">
              <w:r>
                <w:rPr>
                  <w:rFonts w:ascii="Times New Roman" w:cs="Times New Roman" w:eastAsia="Times New Roman" w:hAnsi="Times New Roman"/>
                  <w:sz w:val="16"/>
                  <w:szCs w:val="16"/>
                  <w:u w:val="single" w:color="auto"/>
                  <w:color w:val="0000EE"/>
                </w:rPr>
                <w:t>99.2</w:t>
              </w:r>
            </w:hyperlink>
          </w:p>
        </w:tc>
        <w:tc>
          <w:tcPr>
            <w:tcW w:w="6020" w:type="dxa"/>
            <w:vAlign w:val="bottom"/>
          </w:tcPr>
          <w:p>
            <w:pPr>
              <w:ind w:left="260"/>
              <w:spacing w:after="0"/>
              <w:rPr>
                <w:rFonts w:ascii="Times New Roman" w:cs="Times New Roman" w:eastAsia="Times New Roman" w:hAnsi="Times New Roman"/>
                <w:sz w:val="16"/>
                <w:szCs w:val="16"/>
                <w:u w:val="single" w:color="auto"/>
                <w:color w:val="0000EE"/>
              </w:rPr>
            </w:pPr>
            <w:hyperlink w:anchor="page14">
              <w:r>
                <w:rPr>
                  <w:rFonts w:ascii="Times New Roman" w:cs="Times New Roman" w:eastAsia="Times New Roman" w:hAnsi="Times New Roman"/>
                  <w:sz w:val="16"/>
                  <w:szCs w:val="16"/>
                  <w:u w:val="single" w:color="auto"/>
                  <w:color w:val="0000EE"/>
                </w:rPr>
                <w:t>Financial Report for the Three and Nine Months Ended September 30, 2020</w:t>
              </w:r>
            </w:hyperlink>
          </w:p>
        </w:tc>
      </w:tr>
      <w:tr>
        <w:trPr>
          <w:trHeight w:val="432"/>
        </w:trPr>
        <w:tc>
          <w:tcPr>
            <w:tcW w:w="760" w:type="dxa"/>
            <w:vAlign w:val="bottom"/>
          </w:tcPr>
          <w:p>
            <w:pPr>
              <w:spacing w:after="0"/>
              <w:rPr>
                <w:sz w:val="24"/>
                <w:szCs w:val="24"/>
                <w:color w:val="auto"/>
              </w:rPr>
            </w:pPr>
          </w:p>
        </w:tc>
        <w:tc>
          <w:tcPr>
            <w:tcW w:w="6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w:t>
            </w:r>
          </w:p>
        </w:tc>
      </w:tr>
      <w:tr>
        <w:trPr>
          <w:trHeight w:val="432"/>
        </w:trPr>
        <w:tc>
          <w:tcPr>
            <w:tcW w:w="760" w:type="dxa"/>
            <w:vAlign w:val="bottom"/>
          </w:tcPr>
          <w:p>
            <w:pPr>
              <w:spacing w:after="0"/>
              <w:rPr>
                <w:sz w:val="24"/>
                <w:szCs w:val="24"/>
                <w:color w:val="auto"/>
              </w:rPr>
            </w:pPr>
          </w:p>
        </w:tc>
        <w:tc>
          <w:tcPr>
            <w:tcW w:w="6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Unaudited Condensed Consolidated Financial Statements</w:t>
            </w:r>
          </w:p>
        </w:tc>
      </w:tr>
    </w:tbl>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9" w:right="41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6"/>
          <w:szCs w:val="16"/>
          <w:color w:val="auto"/>
        </w:rPr>
        <w:t>SIGNATURES</w:t>
      </w:r>
    </w:p>
    <w:p>
      <w:pPr>
        <w:spacing w:after="0" w:line="235"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10, 2020</w:t>
      </w:r>
    </w:p>
    <w:p>
      <w:pPr>
        <w:spacing w:after="0" w:line="24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GASLOG PARTNERS LP</w:t>
      </w:r>
    </w:p>
    <w:p>
      <w:pPr>
        <w:spacing w:after="0" w:line="248" w:lineRule="exact"/>
        <w:rPr>
          <w:sz w:val="20"/>
          <w:szCs w:val="20"/>
          <w:color w:val="auto"/>
        </w:rPr>
      </w:pPr>
    </w:p>
    <w:p>
      <w:pPr>
        <w:ind w:left="6420"/>
        <w:spacing w:after="0"/>
        <w:tabs>
          <w:tab w:leader="none" w:pos="6740" w:val="left"/>
        </w:tabs>
        <w:rPr>
          <w:sz w:val="20"/>
          <w:szCs w:val="20"/>
          <w:color w:val="auto"/>
        </w:rPr>
      </w:pPr>
      <w:r>
        <w:rPr>
          <w:rFonts w:ascii="Times New Roman" w:cs="Times New Roman" w:eastAsia="Times New Roman" w:hAnsi="Times New Roman"/>
          <w:sz w:val="16"/>
          <w:szCs w:val="16"/>
          <w:color w:val="auto"/>
        </w:rPr>
        <w:t>by</w:t>
        <w:tab/>
        <w:t>/s/ Paul Wogan</w:t>
      </w:r>
    </w:p>
    <w:p>
      <w:pPr>
        <w:spacing w:after="0" w:line="4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-116205</wp:posOffset>
            </wp:positionV>
            <wp:extent cx="2425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9" w:right="4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Press Release</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GasLog Partners LP Reports Financial Results for the Three-Month Period Ended September 30, 2020 and Declares Cash Distribution</w:t>
      </w:r>
    </w:p>
    <w:p>
      <w:pPr>
        <w:spacing w:after="0" w:line="232" w:lineRule="exact"/>
        <w:rPr>
          <w:sz w:val="20"/>
          <w:szCs w:val="20"/>
          <w:color w:val="auto"/>
        </w:rPr>
      </w:pPr>
    </w:p>
    <w:p>
      <w:pPr>
        <w:ind w:right="56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Piraeus, Greece, November 10, 2020, GasLog Partners LP (“GasLog Partners” or the “Partnership”) (NYSE: GLOP), </w:t>
      </w:r>
      <w:r>
        <w:rPr>
          <w:rFonts w:ascii="Times New Roman" w:cs="Times New Roman" w:eastAsia="Times New Roman" w:hAnsi="Times New Roman"/>
          <w:sz w:val="16"/>
          <w:szCs w:val="16"/>
          <w:color w:val="auto"/>
        </w:rPr>
        <w:t>an international owner and operator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liquefied natural gas (“LNG”) carriers, today reported its financial results for the three-month period ended September 30,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Highlights</w:t>
      </w:r>
    </w:p>
    <w:p>
      <w:pPr>
        <w:spacing w:after="0" w:line="237" w:lineRule="exact"/>
        <w:rPr>
          <w:sz w:val="20"/>
          <w:szCs w:val="20"/>
          <w:color w:val="auto"/>
        </w:rPr>
      </w:pPr>
    </w:p>
    <w:p>
      <w:pPr>
        <w:ind w:left="340" w:right="320" w:hanging="332"/>
        <w:spacing w:after="0" w:line="269"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Refinanced all debt due to mature in 2021 with two new credit facilities representing a total of $454.0 million, strengthening the balance sheet and delivering $14.9 million of incremental liquidity.</w:t>
      </w:r>
    </w:p>
    <w:p>
      <w:pPr>
        <w:ind w:left="340" w:right="20" w:hanging="332"/>
        <w:spacing w:after="0" w:line="264"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Signed a new three-year time charter for the steam turbine propulsion (“Steam”) vessel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with CNTIC VPower Energy Ltd. (“CNTIC VPower”), an independent Chinese energy company. The vessel will primarily service the transportation, storage and breakbulk of LNG in Myanmar.</w:t>
      </w:r>
    </w:p>
    <w:p>
      <w:pPr>
        <w:ind w:left="340" w:hanging="332"/>
        <w:spacing w:after="0"/>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Signed a new multi-month time charter for the Steam vessel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with a major LNG charterer.</w:t>
      </w:r>
    </w:p>
    <w:p>
      <w:pPr>
        <w:spacing w:after="0" w:line="18" w:lineRule="exact"/>
        <w:rPr>
          <w:rFonts w:ascii="Times New Roman" w:cs="Times New Roman" w:eastAsia="Times New Roman" w:hAnsi="Times New Roman"/>
          <w:sz w:val="16"/>
          <w:szCs w:val="16"/>
          <w:color w:val="auto"/>
        </w:rPr>
      </w:pPr>
    </w:p>
    <w:p>
      <w:pPr>
        <w:ind w:left="340" w:right="20" w:hanging="332"/>
        <w:spacing w:after="0" w:line="264"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Repaid approximately $33.0 million of debt, bringing total debt repayment (excluding prepayments for refinanced facilities) to approximately $88.0 million through the first nine months of 2020.</w:t>
      </w:r>
    </w:p>
    <w:p>
      <w:pPr>
        <w:ind w:left="340" w:hanging="332"/>
        <w:spacing w:after="0" w:line="191" w:lineRule="auto"/>
        <w:tabs>
          <w:tab w:leader="none" w:pos="340" w:val="left"/>
        </w:tabs>
        <w:numPr>
          <w:ilvl w:val="0"/>
          <w:numId w:val="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Quarterly Revenues, Profit, Adjusted Profit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and 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of $72.8 million, $11.9 million, $12.8 million and $46.8 million, respectively.</w:t>
      </w:r>
    </w:p>
    <w:p>
      <w:pPr>
        <w:ind w:left="340" w:hanging="332"/>
        <w:spacing w:after="0" w:line="183" w:lineRule="auto"/>
        <w:tabs>
          <w:tab w:leader="none" w:pos="340"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Quarterly Earnings per unit (“EPU”) of $0.09 and Adjusted EPU</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3"/>
          <w:szCs w:val="13"/>
          <w:color w:val="auto"/>
        </w:rPr>
        <w:t xml:space="preserve"> of $0.11.</w:t>
      </w:r>
    </w:p>
    <w:p>
      <w:pPr>
        <w:ind w:left="340" w:hanging="332"/>
        <w:spacing w:after="0"/>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Declared cash distribution of $0.01 per common unit for the third quarter of 2020.</w:t>
      </w:r>
    </w:p>
    <w:p>
      <w:pPr>
        <w:spacing w:after="0" w:line="8" w:lineRule="exact"/>
        <w:rPr>
          <w:rFonts w:ascii="Times New Roman" w:cs="Times New Roman" w:eastAsia="Times New Roman" w:hAnsi="Times New Roman"/>
          <w:sz w:val="16"/>
          <w:szCs w:val="16"/>
          <w:color w:val="auto"/>
        </w:rPr>
      </w:pPr>
    </w:p>
    <w:p>
      <w:pPr>
        <w:ind w:left="340" w:right="20" w:hanging="332"/>
        <w:spacing w:after="0" w:line="288"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Partnership’s board of directors and management intend to engage with an independent advisor to review together the Partnership’s business and assess its strategic alternatives.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Chairman and CEO Statements</w:t>
      </w:r>
    </w:p>
    <w:p>
      <w:pPr>
        <w:spacing w:after="0" w:line="22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Curt Anastasio, Chairman of GasLog Partners, stated: “The Partnership was created primarily to fund the growth of our parent, GasLog Ltd. (“GasLog”), for which we have undoubtedly been successful, but which also relied on external capital to execute. The last several years have been challenging for capital markets for midstream energy, which along with declining visibility into the Partnership’s future financial performance, exacerbated by the COVID-19 pandemic, have resulted in a significantly higher cost of capital.</w:t>
      </w:r>
    </w:p>
    <w:p>
      <w:pPr>
        <w:spacing w:after="0" w:line="169"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6"/>
          <w:szCs w:val="16"/>
          <w:color w:val="auto"/>
        </w:rPr>
        <w:t>In response to these challenges, the board of directors and management have been proactive in refinancing our debt maturities, reducing our cost base, increasing the utilization of our fleet and optimizing our corporate structure. As we look out to 2021, we continue to see uncertainty in the commercial market of our assets. Rather than rely on the continuation of improved market conditions, we believe it prudent to further de-risk the Partnership and prioritize preserving liquidity and deleveraging the balance sheet.</w:t>
      </w:r>
    </w:p>
    <w:p>
      <w:pPr>
        <w:spacing w:after="0" w:line="169"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Further to this end, the board of directors have concluded that it is in the best interest of all stakeholders to conduct an independent review of the Partnership’s business and strategic alternatives, which we anticipate to complete not later than the first quarter of 2021.”</w:t>
      </w:r>
    </w:p>
    <w:p>
      <w:pPr>
        <w:spacing w:after="0" w:line="164"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Paul Wogan, Chief Executive Officer, commented: “I am pleased to report another positive operational quarter for the Partnership, delivered despite the ongoing challenges presented by the COVID-19 pandemic.</w:t>
      </w:r>
    </w:p>
    <w:p>
      <w:pPr>
        <w:spacing w:after="0" w:line="16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 xml:space="preserve">During the quarter, we refinanced all our debt maturing in 2021 meaning we have no debt refinancing until 2024. Excluding prepayments for refinanced facilities, we repaid approximately $33.0 million of debt, bringing the total debt amortization for the first nine months of this year to $88.0 million. In addition, the recent three-year charter for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the multi-month charter on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and the two-year charter on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entered into in July 2020, increases our charter coverage for 2021 to 71% of available days.</w:t>
      </w:r>
    </w:p>
    <w:p>
      <w:pPr>
        <w:spacing w:after="0" w:line="169"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While these are positive developments, our cost of capital remains elevated and there continues to be a high degree of COVID-19-related uncertainty in the near-term LNG and LNG shipping markets. By the end of 2020, all five of the Partnership’s Steam vessels will have ended their initial multi-year time charters with subsidiaries of Royal Dutch Shell plc (“Shell”), while three additional tri-fuel diesel electric vessel (“TFDE”) vessels will conclude their multi-year charters next year. Although we have been successful in finding longer-term employment for some of our available vessels, this has been concluded at current market rates which are below those achieved during the initial charters.</w:t>
      </w:r>
    </w:p>
    <w:p>
      <w:pPr>
        <w:spacing w:after="0" w:line="17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Given these factors, combined with the Partnership’s capital allocation strategy, which is focused on deleveraging, we made the difficult decision to decrease the common unit distribution to $0.01 per common unit beginning with the third quarter of 2020. As a result, the Partnership will retain approximately $22 million dollars annually, allowing it to preserve liquidity during this period of COVID-19-related uncertainty. We believe this action will further strengthen the Partnership’s balance sheet, lower the fleet’s breakeven, reduce its cost of capital and further enhance its competitive positioning.”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Financial Summary</w:t>
            </w: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40" w:type="dxa"/>
            <w:vAlign w:val="bottom"/>
            <w:gridSpan w:val="4"/>
            <w:vMerge w:val="restart"/>
          </w:tcPr>
          <w:p>
            <w:pPr>
              <w:jc w:val="right"/>
              <w:ind w:right="1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3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line="20" w:lineRule="exact"/>
              <w:rPr>
                <w:sz w:val="1"/>
                <w:szCs w:val="1"/>
                <w:color w:val="auto"/>
              </w:rPr>
            </w:pPr>
          </w:p>
        </w:tc>
      </w:tr>
      <w:tr>
        <w:trPr>
          <w:trHeight w:val="410"/>
        </w:trPr>
        <w:tc>
          <w:tcPr>
            <w:tcW w:w="580" w:type="dxa"/>
            <w:vAlign w:val="bottom"/>
          </w:tcPr>
          <w:p>
            <w:pPr>
              <w:spacing w:after="0"/>
              <w:rPr>
                <w:sz w:val="24"/>
                <w:szCs w:val="24"/>
                <w:color w:val="auto"/>
              </w:rPr>
            </w:pPr>
          </w:p>
        </w:tc>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All amounts expressed in thousands of U.S. dollars</w:t>
            </w:r>
            <w:r>
              <w:rPr>
                <w:rFonts w:ascii="Times New Roman" w:cs="Times New Roman" w:eastAsia="Times New Roman" w:hAnsi="Times New Roman"/>
                <w:sz w:val="16"/>
                <w:szCs w:val="16"/>
                <w:color w:val="auto"/>
              </w:rPr>
              <w:t>)</w:t>
            </w:r>
          </w:p>
        </w:tc>
        <w:tc>
          <w:tcPr>
            <w:tcW w:w="4040" w:type="dxa"/>
            <w:vAlign w:val="bottom"/>
            <w:gridSpan w:val="4"/>
            <w:vMerge w:val="continue"/>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80" w:type="dxa"/>
            <w:vAlign w:val="bottom"/>
          </w:tcPr>
          <w:p>
            <w:pPr>
              <w:spacing w:after="0"/>
              <w:rPr>
                <w:sz w:val="9"/>
                <w:szCs w:val="9"/>
                <w:color w:val="auto"/>
              </w:rPr>
            </w:pPr>
          </w:p>
        </w:tc>
        <w:tc>
          <w:tcPr>
            <w:tcW w:w="4760" w:type="dxa"/>
            <w:vAlign w:val="bottom"/>
            <w:gridSpan w:val="2"/>
            <w:vMerge w:val="continue"/>
          </w:tcPr>
          <w:p>
            <w:pPr>
              <w:spacing w:after="0"/>
              <w:rPr>
                <w:sz w:val="9"/>
                <w:szCs w:val="9"/>
                <w:color w:val="auto"/>
              </w:rPr>
            </w:pPr>
          </w:p>
        </w:tc>
        <w:tc>
          <w:tcPr>
            <w:tcW w:w="1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760" w:type="dxa"/>
            <w:vAlign w:val="bottom"/>
            <w:gridSpan w:val="2"/>
            <w:vMerge w:val="continue"/>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760" w:type="dxa"/>
            <w:vAlign w:val="bottom"/>
            <w:tcBorders>
              <w:top w:val="single" w:sz="8" w:color="E5FFFF"/>
            </w:tcBorders>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8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96,485</w:t>
            </w:r>
          </w:p>
        </w:tc>
        <w:tc>
          <w:tcPr>
            <w:tcW w:w="120" w:type="dxa"/>
            <w:vAlign w:val="bottom"/>
            <w:tcBorders>
              <w:top w:val="single" w:sz="8" w:color="E5FFFF"/>
            </w:tcBorders>
            <w:shd w:val="clear" w:color="auto" w:fill="E5FFFF"/>
          </w:tcPr>
          <w:p>
            <w:pPr>
              <w:spacing w:after="0"/>
              <w:rPr>
                <w:sz w:val="17"/>
                <w:szCs w:val="17"/>
                <w:color w:val="auto"/>
              </w:rPr>
            </w:pPr>
          </w:p>
        </w:tc>
        <w:tc>
          <w:tcPr>
            <w:tcW w:w="20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72,813</w:t>
            </w:r>
          </w:p>
        </w:tc>
        <w:tc>
          <w:tcPr>
            <w:tcW w:w="100" w:type="dxa"/>
            <w:vAlign w:val="bottom"/>
            <w:tcBorders>
              <w:top w:val="single" w:sz="8" w:color="E5FFFF"/>
            </w:tcBorders>
            <w:shd w:val="clear" w:color="auto" w:fill="E5FFFF"/>
          </w:tcPr>
          <w:p>
            <w:pPr>
              <w:spacing w:after="0"/>
              <w:rPr>
                <w:sz w:val="17"/>
                <w:szCs w:val="17"/>
                <w:color w:val="auto"/>
              </w:rPr>
            </w:pPr>
          </w:p>
        </w:tc>
        <w:tc>
          <w:tcPr>
            <w:tcW w:w="1200" w:type="dxa"/>
            <w:vAlign w:val="bottom"/>
            <w:tcBorders>
              <w:top w:val="single" w:sz="8" w:color="auto"/>
            </w:tcBorders>
            <w:shd w:val="clear" w:color="auto" w:fill="E5FFFF"/>
          </w:tcPr>
          <w:p>
            <w:pPr>
              <w:ind w:left="840"/>
              <w:spacing w:after="0"/>
              <w:rPr>
                <w:sz w:val="20"/>
                <w:szCs w:val="20"/>
                <w:color w:val="auto"/>
              </w:rPr>
            </w:pPr>
            <w:r>
              <w:rPr>
                <w:rFonts w:ascii="Times New Roman" w:cs="Times New Roman" w:eastAsia="Times New Roman" w:hAnsi="Times New Roman"/>
                <w:sz w:val="16"/>
                <w:szCs w:val="16"/>
                <w:color w:val="auto"/>
                <w:w w:val="84"/>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29,434</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11,866</w:t>
            </w:r>
          </w:p>
        </w:tc>
        <w:tc>
          <w:tcPr>
            <w:tcW w:w="12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4"/>
              </w:rPr>
              <w:t>(60%)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EPU, common (basic)</w:t>
            </w:r>
          </w:p>
        </w:tc>
        <w:tc>
          <w:tcPr>
            <w:tcW w:w="19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0.45</w:t>
            </w:r>
          </w:p>
        </w:tc>
        <w:tc>
          <w:tcPr>
            <w:tcW w:w="2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E5FFFF"/>
          </w:tcPr>
          <w:p>
            <w:pPr>
              <w:spacing w:after="0"/>
              <w:rPr>
                <w:sz w:val="17"/>
                <w:szCs w:val="17"/>
                <w:color w:val="auto"/>
              </w:rPr>
            </w:pPr>
          </w:p>
        </w:tc>
        <w:tc>
          <w:tcPr>
            <w:tcW w:w="1200" w:type="dxa"/>
            <w:vAlign w:val="bottom"/>
            <w:shd w:val="clear" w:color="auto" w:fill="E5FFFF"/>
          </w:tcPr>
          <w:p>
            <w:pPr>
              <w:ind w:left="840"/>
              <w:spacing w:after="0"/>
              <w:rPr>
                <w:sz w:val="20"/>
                <w:szCs w:val="20"/>
                <w:color w:val="auto"/>
              </w:rPr>
            </w:pPr>
            <w:r>
              <w:rPr>
                <w:rFonts w:ascii="Times New Roman" w:cs="Times New Roman" w:eastAsia="Times New Roman" w:hAnsi="Times New Roman"/>
                <w:sz w:val="16"/>
                <w:szCs w:val="16"/>
                <w:color w:val="auto"/>
                <w:w w:val="84"/>
              </w:rPr>
              <w:t>(80%)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7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Adjusted Profit</w:t>
            </w:r>
            <w:r>
              <w:rPr>
                <w:rFonts w:ascii="Times New Roman" w:cs="Times New Roman" w:eastAsia="Times New Roman" w:hAnsi="Times New Roman"/>
                <w:sz w:val="26"/>
                <w:szCs w:val="26"/>
                <w:color w:val="auto"/>
                <w:vertAlign w:val="superscript"/>
              </w:rPr>
              <w:t>(1)</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31,879</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12,844</w:t>
            </w:r>
          </w:p>
        </w:tc>
        <w:tc>
          <w:tcPr>
            <w:tcW w:w="100" w:type="dxa"/>
            <w:vAlign w:val="bottom"/>
          </w:tcPr>
          <w:p>
            <w:pPr>
              <w:spacing w:after="0"/>
              <w:rPr>
                <w:sz w:val="21"/>
                <w:szCs w:val="21"/>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76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6"/>
                <w:szCs w:val="26"/>
                <w:color w:val="auto"/>
                <w:vertAlign w:val="superscript"/>
              </w:rPr>
              <w:t>(1)</w:t>
            </w:r>
          </w:p>
        </w:tc>
        <w:tc>
          <w:tcPr>
            <w:tcW w:w="19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71,779</w:t>
            </w:r>
          </w:p>
        </w:tc>
        <w:tc>
          <w:tcPr>
            <w:tcW w:w="2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46,803</w:t>
            </w:r>
          </w:p>
        </w:tc>
        <w:tc>
          <w:tcPr>
            <w:tcW w:w="100" w:type="dxa"/>
            <w:vAlign w:val="bottom"/>
            <w:shd w:val="clear" w:color="auto" w:fill="E5FFFF"/>
          </w:tcPr>
          <w:p>
            <w:pPr>
              <w:spacing w:after="0"/>
              <w:rPr>
                <w:sz w:val="21"/>
                <w:szCs w:val="21"/>
                <w:color w:val="auto"/>
              </w:rPr>
            </w:pPr>
          </w:p>
        </w:tc>
        <w:tc>
          <w:tcPr>
            <w:tcW w:w="1200" w:type="dxa"/>
            <w:vAlign w:val="bottom"/>
            <w:shd w:val="clear" w:color="auto" w:fill="E5FFFF"/>
          </w:tcPr>
          <w:p>
            <w:pPr>
              <w:ind w:left="840"/>
              <w:spacing w:after="0"/>
              <w:rPr>
                <w:sz w:val="20"/>
                <w:szCs w:val="20"/>
                <w:color w:val="auto"/>
              </w:rPr>
            </w:pPr>
            <w:r>
              <w:rPr>
                <w:rFonts w:ascii="Times New Roman" w:cs="Times New Roman" w:eastAsia="Times New Roman" w:hAnsi="Times New Roman"/>
                <w:sz w:val="16"/>
                <w:szCs w:val="16"/>
                <w:color w:val="auto"/>
                <w:w w:val="84"/>
              </w:rPr>
              <w:t>(35%)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76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Adjusted EPU, common (basic)</w:t>
            </w:r>
            <w:r>
              <w:rPr>
                <w:rFonts w:ascii="Times New Roman" w:cs="Times New Roman" w:eastAsia="Times New Roman" w:hAnsi="Times New Roman"/>
                <w:sz w:val="26"/>
                <w:szCs w:val="26"/>
                <w:color w:val="auto"/>
                <w:vertAlign w:val="superscript"/>
              </w:rPr>
              <w:t>(1)</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0.50</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0.11</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Distributable cash flow</w:t>
            </w:r>
          </w:p>
        </w:tc>
        <w:tc>
          <w:tcPr>
            <w:tcW w:w="194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34,320</w:t>
            </w:r>
          </w:p>
        </w:tc>
        <w:tc>
          <w:tcPr>
            <w:tcW w:w="2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12,328</w:t>
            </w:r>
          </w:p>
        </w:tc>
        <w:tc>
          <w:tcPr>
            <w:tcW w:w="100" w:type="dxa"/>
            <w:vAlign w:val="bottom"/>
            <w:shd w:val="clear" w:color="auto" w:fill="E5FFFF"/>
          </w:tcPr>
          <w:p>
            <w:pPr>
              <w:spacing w:after="0"/>
              <w:rPr>
                <w:sz w:val="17"/>
                <w:szCs w:val="17"/>
                <w:color w:val="auto"/>
              </w:rPr>
            </w:pPr>
          </w:p>
        </w:tc>
        <w:tc>
          <w:tcPr>
            <w:tcW w:w="1300" w:type="dxa"/>
            <w:vAlign w:val="bottom"/>
            <w:gridSpan w:val="2"/>
            <w:shd w:val="clear" w:color="auto" w:fill="E5FFFF"/>
          </w:tcPr>
          <w:p>
            <w:pPr>
              <w:ind w:left="84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distributions declared</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26,437</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There were 1,247 revenue operating days for the quarter ended September 30, 2020 compared to 1,365 revenue operating days for the quarter ended September 30, 2019, mainly due to the increased off-hire days for scheduled dry-dockings.</w:t>
      </w:r>
    </w:p>
    <w:p>
      <w:pPr>
        <w:sectPr>
          <w:pgSz w:w="11900" w:h="16838" w:orient="portrait"/>
          <w:cols w:equalWidth="0" w:num="1">
            <w:col w:w="11240"/>
          </w:cols>
          <w:pgMar w:left="320" w:top="124" w:right="339" w:bottom="177"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 w:right="339" w:bottom="177" w:gutter="0" w:footer="0" w:header="0"/>
          <w:type w:val="continuous"/>
        </w:sectPr>
      </w:pPr>
    </w:p>
    <w:bookmarkStart w:id="4" w:name="page5"/>
    <w:bookmarkEnd w:id="4"/>
    <w:p>
      <w:pPr>
        <w:spacing w:after="0" w:line="271" w:lineRule="auto"/>
        <w:rPr>
          <w:sz w:val="20"/>
          <w:szCs w:val="20"/>
          <w:color w:val="auto"/>
        </w:rPr>
      </w:pPr>
      <w:r>
        <w:rPr>
          <w:rFonts w:ascii="Times New Roman" w:cs="Times New Roman" w:eastAsia="Times New Roman" w:hAnsi="Times New Roman"/>
          <w:sz w:val="16"/>
          <w:szCs w:val="16"/>
          <w:color w:val="auto"/>
        </w:rPr>
        <w:t xml:space="preserve">The decrease of $17.5 million in profit in the third quarter of 2020 as compared to the same period in 2019 is mainly attributable to a decrease in revenues of $23.7 million, primarily due to the expirations of the initial multi-year time charters of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Shirley Elisabeth </w:t>
      </w:r>
      <w:r>
        <w:rPr>
          <w:rFonts w:ascii="Times New Roman" w:cs="Times New Roman" w:eastAsia="Times New Roman" w:hAnsi="Times New Roman"/>
          <w:sz w:val="16"/>
          <w:szCs w:val="16"/>
          <w:color w:val="auto"/>
        </w:rPr>
        <w:t>and the 18-month time charter of the</w:t>
      </w:r>
      <w:r>
        <w:rPr>
          <w:rFonts w:ascii="Times New Roman" w:cs="Times New Roman" w:eastAsia="Times New Roman" w:hAnsi="Times New Roman"/>
          <w:sz w:val="16"/>
          <w:szCs w:val="16"/>
          <w:i w:val="1"/>
          <w:iCs w:val="1"/>
          <w:color w:val="auto"/>
        </w:rPr>
        <w:t xml:space="preserve"> GasLog Sydney </w:t>
      </w:r>
      <w:r>
        <w:rPr>
          <w:rFonts w:ascii="Times New Roman" w:cs="Times New Roman" w:eastAsia="Times New Roman" w:hAnsi="Times New Roman"/>
          <w:sz w:val="16"/>
          <w:szCs w:val="16"/>
          <w:color w:val="auto"/>
        </w:rPr>
        <w:t>and also due to increased off-hire days due to dry-dockings. Following the expirations of their initial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charters,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was re-chartered to Trafigura Maritime Logistics PTE Ltd. (“Trafigura”) in November 2019,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to a wholly owned subsidiary of JOVO Group (“JOVO”) in June 2020 and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to CNTIC VPower in September 2020, while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 xml:space="preserve">GasLog Sydney </w:t>
      </w:r>
      <w:r>
        <w:rPr>
          <w:rFonts w:ascii="Times New Roman" w:cs="Times New Roman" w:eastAsia="Times New Roman" w:hAnsi="Times New Roman"/>
          <w:sz w:val="16"/>
          <w:szCs w:val="16"/>
          <w:color w:val="auto"/>
        </w:rPr>
        <w:t>have been trading in the spot market since May 2020 and June 2020, respectively.</w:t>
      </w:r>
    </w:p>
    <w:p>
      <w:pPr>
        <w:spacing w:after="0" w:line="184"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The decrease in Adjusted EBITDA of $25.0 million in the third quarter of 2020 as compared to the same period in 2019 is mainly attributable to the decrease in revenues of $23.7 million described above and an increase of $1.2 million in operating expenses due to the scheduled dry-dockings of three of our vessels in the third quarter of 2020.</w:t>
      </w:r>
    </w:p>
    <w:p>
      <w:pPr>
        <w:spacing w:after="0" w:line="164"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The decrease in revenues was partially offset by a $6.7 million decrease in interest expense due to the lower London Interbank Offered Rate (“LIBOR”) rates prevailing in the third quarter of 2020 compared to the same period in 2019.</w:t>
      </w:r>
    </w:p>
    <w:p>
      <w:pPr>
        <w:spacing w:after="0" w:line="16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As of September 30, 2020, we had $79.0 million of cash and cash equivalents. In September 2020, an amount of $9.2 million of cash collateral was released, pursuant to an amendment to the Credit Support Annex entered into between GasLog Partners and GasLog in March 2020. As of September 30, 2020, an aggregate amount of $7.6 million was held as cash collateral with respect to our derivative instruments with GasLog ($5.8 million) and bank counterparties ($1.8 million).</w:t>
      </w:r>
    </w:p>
    <w:p>
      <w:pPr>
        <w:spacing w:after="0" w:line="177"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As of September 30, 2020, we had an aggregate of $1,303.6 million of borrowings outstanding under our credit facilities, of which $104.9 million was repayable within one year. In addition, as of September 30, 2020, we had unused availability under our revolving credit facility with GasLog of $30.0 million.</w:t>
      </w:r>
    </w:p>
    <w:p>
      <w:pPr>
        <w:spacing w:after="0" w:line="16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As of September 30, 2020, our current assets totaled $106.8 million and current liabilities totaled $179.8 million, resulting in a negative working capital position of $73.0 million. Current liabilities include $25.1 million of unearned revenue in relation to hires received in advance as of September 30, 2020 (which represents a non-cash liability that will be recognized as revenues after September 30, 2020 as the services are rendered). 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Taking into account current and expected volatile commercial and financial market conditions, we anticipate that our primary sources of funds over the next twelve months will be available cash, cash from operations and existing debt facilities. We believe that these anticipated sources of funds , as well as our decision to decrease the common unit distributions and preserve liquidity, will be sufficient to meet our liquidity needs and to comply with our banking covenants for at least twelve months from the end of the reporting period. Our long-term ability to repay our debts and maintain compliance with our debt covenants beyond the next twelve months without reliance on additional sources of finance is also dependent on a sustainable longer-term recovery in the LNG charter market from the market disruption observed in the first half of 2020 as a result of the COVID-19 outbreak.</w:t>
      </w:r>
    </w:p>
    <w:p>
      <w:pPr>
        <w:spacing w:after="0" w:line="374" w:lineRule="exact"/>
        <w:rPr>
          <w:sz w:val="20"/>
          <w:szCs w:val="20"/>
          <w:color w:val="auto"/>
        </w:rPr>
      </w:pPr>
    </w:p>
    <w:p>
      <w:pPr>
        <w:ind w:left="340" w:right="380" w:hanging="332"/>
        <w:spacing w:after="0" w:line="24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Adjusted Profit, Adjusted EBITDA and Adjusted EPU are non-GAAP financial measures and should not be used in isolation or as substitutes for GasLog Partners’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Preference Unit Distributions</w:t>
      </w:r>
    </w:p>
    <w:p>
      <w:pPr>
        <w:spacing w:after="0" w:line="22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On August 4, 2020, the board of directors of GasLog Partners approved and declared a distribution on the 8.625% Series A Cumulative Redeemable Perpetual Fixed to Floating Rate Preference Units (the “Series A Preference Units”) of $0.5390625 per preference unit, a distribution on the 8.200% Series B Cumulative Redeemable Perpetual Fixed to Floating Rate Preference Units (the “Series B Preference Units”) of $0.5125 per preference unit and a distribution on the 8.500% Series C Cumulative Redeemable Perpetual Fixed to Floating Rate Preference Units (the “Series C Preference Units”) of $0.53125 per preference unit. The aggregate cash distributions of $7,582 were paid on September 15, 2020 to all unitholders of record as of September 8, 2020.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Common Unit Distribution</w:t>
      </w:r>
    </w:p>
    <w:p>
      <w:pPr>
        <w:spacing w:after="0" w:line="223" w:lineRule="exact"/>
        <w:rPr>
          <w:sz w:val="20"/>
          <w:szCs w:val="20"/>
          <w:color w:val="auto"/>
        </w:rPr>
      </w:pPr>
    </w:p>
    <w:p>
      <w:pPr>
        <w:ind w:right="500"/>
        <w:spacing w:after="0" w:line="298" w:lineRule="auto"/>
        <w:rPr>
          <w:sz w:val="20"/>
          <w:szCs w:val="20"/>
          <w:color w:val="auto"/>
        </w:rPr>
      </w:pPr>
      <w:r>
        <w:rPr>
          <w:rFonts w:ascii="Times New Roman" w:cs="Times New Roman" w:eastAsia="Times New Roman" w:hAnsi="Times New Roman"/>
          <w:sz w:val="16"/>
          <w:szCs w:val="16"/>
          <w:color w:val="auto"/>
        </w:rPr>
        <w:t>On November 9, 2020, the board of directors of GasLog Partners approved and declared a quarterly cash distribution of $0.01 per common unit for the quarter ended September 30, 2020. The cash distribution is payable on November 25, 2020 to all unitholders of record as of November 20, 2020.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LNG Market Update and Outlook</w:t>
      </w:r>
    </w:p>
    <w:p>
      <w:pPr>
        <w:spacing w:after="0" w:line="22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LNG demand was 84 million tonnes (“mt”) in the third quarter of 2020, according to Poten, compared to 88 mt in the third quarter of 2019, or a decrease of approximately 4%. Although demand declined globally in the third quarter compared to the third quarter of 2019, it also varied regionally. For example, Chinese LNG demand was 17 mt in the third quarter of 2020, an increase of 13% or approximately 2 mt. In addition, Indian demand was 7 mt, an increase of 13% or approximately 1 mt. These increases were balanced by declines in Europe, the Middle East, Japan, South Korea, North America and South America, which in aggregate saw their demand decline by over 6 mt in the third quarter.</w:t>
      </w:r>
    </w:p>
    <w:p>
      <w:pPr>
        <w:spacing w:after="0" w:line="172"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Global LNG supply was approximately 86 mt in the third quarter of 2020, a decrease of over 3 mt, or 4%, over the third quarter of 2019, according to Poten. Supply from the United States (“U.S.”) decreased by approximately 2 mt or 18%, the result of an estimated 112 cargoes cancelled by customers of U.S. export facilities as well as unplanned outages at Cameron LNG following damage to its power supply caused by Hurricane Laura in late August. In addition, supply from Australia declined by nearly 2 mt or 7%, due in part to unplanned maintenance at Gorgon LNG. Looking ahead, approximately 104 mt of new LNG capacity is currently under construction and scheduled to come online from 2021-2026.</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5" w:name="page6"/>
    <w:bookmarkEnd w:id="5"/>
    <w:p>
      <w:pPr>
        <w:ind w:right="20"/>
        <w:spacing w:after="0" w:line="275" w:lineRule="auto"/>
        <w:rPr>
          <w:sz w:val="20"/>
          <w:szCs w:val="20"/>
          <w:color w:val="auto"/>
        </w:rPr>
      </w:pPr>
      <w:r>
        <w:rPr>
          <w:rFonts w:ascii="Times New Roman" w:cs="Times New Roman" w:eastAsia="Times New Roman" w:hAnsi="Times New Roman"/>
          <w:sz w:val="16"/>
          <w:szCs w:val="16"/>
          <w:color w:val="auto"/>
        </w:rPr>
        <w:t>In the LNG shipping spot market, TFDE headline rates, as reported by Clarksons, averaged $41,000 per day in the third quarter of 2020, a decrease from the average of $66,000 in the third quarter of 2019. Headline spot rates for Steam vessels averaged $28,000 per day in the third quarter of 2020, a decrease from the average of $43,000 per day in the third quarter of 2019. Headline spot rates in the third quarter were negatively impacted by declines in LNG demand as well as unplanned outages at facilities in the U.S. and Australia as noted above.</w:t>
      </w:r>
    </w:p>
    <w:p>
      <w:pPr>
        <w:spacing w:after="0" w:line="18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Clarksons currently assesses headline spot rates for TFDE and Steam LNG carriers at $105,000 per day and $78,000 per day, respectively. Early indications are for LNG demand to grow in the fourth quarter of 2020, relative to the third quarter of 2020, as demand in October was 2% higher than September, according to Poten. This demand growth has been reflected in the increasing headline spot rates for LNG carriers observed in recent weeks. However, taking into account the impact of the COVID-19 pandemic on the global economy, the forecast growth of the global LNG carrier fleet and expected seasonal trading patterns, there is continued potential for volatility in the spot and short-term markets over the near and medium-term.</w:t>
      </w:r>
    </w:p>
    <w:p>
      <w:pPr>
        <w:spacing w:after="0" w:line="186"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6"/>
          <w:szCs w:val="16"/>
          <w:color w:val="auto"/>
        </w:rPr>
        <w:t>As of November 4, 2020, Poten estimates that the orderbook totals 118 dedicated LNG carriers (&gt;100,000 cubic meters, or “cbm”), representing 22% of the on-the-water fleet. Of these, 83 vessels (or 70%) have multi-year charters. 28 LNG carriers have been ordered year-to-date, all for long-term business with no vessels ordered on a speculative basis.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GasLog Partners and GasLog will host a joint conference call to discuss their results for the third quarter of 2020 at 9.30 a.m. EST (4.30 p.m. EET) on Tuesday,</w:t>
      </w:r>
    </w:p>
    <w:p>
      <w:pPr>
        <w:spacing w:after="0" w:line="26"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6"/>
          <w:szCs w:val="16"/>
          <w:color w:val="auto"/>
        </w:rPr>
        <w:t>November 10, 2020. Senior management of GasLog Partners and GasLog will review the operational and financial performance of the companies. The presentation of each company’s third quarter results will be followed by separate Q&amp;A sessions for each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dial-in numbers for the conference call are as follows: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+1 855 253 8928 (USA)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+852 5819 4851 (Hong Kong)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+47 2396 4173 (Oslo)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Conference ID: 2961797</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live webcast of the conference call will also be available on the Investor Relations page of the GasLog Partners website (</w:t>
      </w:r>
      <w:r>
        <w:rPr>
          <w:rFonts w:ascii="Times New Roman" w:cs="Times New Roman" w:eastAsia="Times New Roman" w:hAnsi="Times New Roman"/>
          <w:sz w:val="16"/>
          <w:szCs w:val="16"/>
          <w:u w:val="single" w:color="auto"/>
          <w:color w:val="auto"/>
        </w:rPr>
        <w:t>http://www.gaslogmlp.com/investors</w:t>
      </w:r>
      <w:r>
        <w:rPr>
          <w:rFonts w:ascii="Times New Roman" w:cs="Times New Roman" w:eastAsia="Times New Roman" w:hAnsi="Times New Roman"/>
          <w:sz w:val="16"/>
          <w:szCs w:val="16"/>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those unable to participate in the conference call, a replay of the webcast will be available on the Investor Relations pages of the company website as referenced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GasLog Partners</w:t>
      </w:r>
    </w:p>
    <w:p>
      <w:pPr>
        <w:spacing w:after="0" w:line="23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w:t>
      </w:r>
      <w:r>
        <w:rPr>
          <w:rFonts w:ascii="Times New Roman" w:cs="Times New Roman" w:eastAsia="Times New Roman" w:hAnsi="Times New Roman"/>
          <w:sz w:val="16"/>
          <w:szCs w:val="16"/>
          <w:u w:val="single" w:color="auto"/>
          <w:color w:val="auto"/>
        </w:rPr>
        <w:t>http://www.gaslogmlp.com</w:t>
      </w:r>
      <w:r>
        <w:rPr>
          <w:rFonts w:ascii="Times New Roman" w:cs="Times New Roman" w:eastAsia="Times New Roman" w:hAnsi="Times New Roman"/>
          <w:sz w:val="16"/>
          <w:szCs w:val="16"/>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Forward-Looking Statements</w:t>
      </w:r>
    </w:p>
    <w:p>
      <w:pPr>
        <w:spacing w:after="0" w:line="23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and the impact of cash distribution reductions on the Partnership’s business and growth prospects,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660" w:right="300" w:hanging="328"/>
        <w:spacing w:after="0" w:line="269"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charter hire rates, vessel utilization and vessel values;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secure new multi-year charters at economically attractive rates;</w:t>
      </w:r>
    </w:p>
    <w:p>
      <w:pPr>
        <w:spacing w:after="0" w:line="18" w:lineRule="exact"/>
        <w:rPr>
          <w:rFonts w:ascii="Times New Roman" w:cs="Times New Roman" w:eastAsia="Times New Roman" w:hAnsi="Times New Roman"/>
          <w:sz w:val="16"/>
          <w:szCs w:val="16"/>
          <w:color w:val="auto"/>
        </w:rPr>
      </w:pPr>
    </w:p>
    <w:p>
      <w:pPr>
        <w:jc w:val="both"/>
        <w:ind w:left="660" w:right="160" w:hanging="328"/>
        <w:spacing w:after="0" w:line="276"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6" w:name="page7"/>
    <w:bookmarkEnd w:id="6"/>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operating expenses, including crew wages, maintenance, dry-docking and insurance costs and bunker prices;</w:t>
      </w:r>
    </w:p>
    <w:p>
      <w:pPr>
        <w:spacing w:after="0" w:line="2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off-hire days and dry-docking requirements, including our ability to complete scheduled dry-dockings on time and within budget;</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planned capital expenditures and availability of capital resources to fund capital expenditures;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to the LNG, LNG shipping and financial markets caused by the global shutdown as a result of the COVID-19 pandemic;</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prices for crude oil, petroleum products and natural gas, including LNG;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exchange rates, especially the U.S. dollar and the Euro;</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our portfolio by acquiring vessels through our drop-down pipeline with GasLog or by acquiring other assets from third parties;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leverage GasLog’s relationships and reputation in the shipping industry;</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GasLog to maintain long-term relationships with major energy companies and major LNG producers, marketers and consumers;</w:t>
      </w:r>
    </w:p>
    <w:p>
      <w:pPr>
        <w:spacing w:after="0" w:line="18" w:lineRule="exact"/>
        <w:rPr>
          <w:rFonts w:ascii="Times New Roman" w:cs="Times New Roman" w:eastAsia="Times New Roman" w:hAnsi="Times New Roman"/>
          <w:sz w:val="16"/>
          <w:szCs w:val="16"/>
          <w:color w:val="auto"/>
        </w:rPr>
      </w:pPr>
    </w:p>
    <w:p>
      <w:pPr>
        <w:ind w:left="660" w:right="100" w:hanging="328"/>
        <w:spacing w:after="0" w:line="264"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ownership of our charterers;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customers’ performance of their obligations under our time charters and other contracts;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operating performance, financial condition, liquidity and cash available for distributions;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distribution policy and our ability to make cash distributions on our units or the impact of cash distribution reductions on our financial position;</w:t>
      </w:r>
    </w:p>
    <w:p>
      <w:pPr>
        <w:spacing w:after="0" w:line="18" w:lineRule="exact"/>
        <w:rPr>
          <w:rFonts w:ascii="Times New Roman" w:cs="Times New Roman" w:eastAsia="Times New Roman" w:hAnsi="Times New Roman"/>
          <w:sz w:val="16"/>
          <w:szCs w:val="16"/>
          <w:color w:val="auto"/>
        </w:rPr>
      </w:pPr>
    </w:p>
    <w:p>
      <w:pPr>
        <w:ind w:left="660" w:right="160" w:hanging="328"/>
        <w:spacing w:after="0" w:line="264"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debt and equity financing on acceptable terms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pending or recent acquisitions of ships or other assets, business strategy, areas of possible expansion and expected capital spending;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inherent in ship operation, including the discharge of pollutants;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on us and the shipping industry of environmental concerns, including climate change;</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malfunction or disruption of information technology systems and networks that our operations rely on or any impact of a possible cybersecurity event;</w:t>
      </w:r>
    </w:p>
    <w:p>
      <w:pPr>
        <w:spacing w:after="0" w:line="18" w:lineRule="exact"/>
        <w:rPr>
          <w:rFonts w:ascii="Times New Roman" w:cs="Times New Roman" w:eastAsia="Times New Roman" w:hAnsi="Times New Roman"/>
          <w:sz w:val="16"/>
          <w:szCs w:val="16"/>
          <w:color w:val="auto"/>
        </w:rPr>
      </w:pPr>
    </w:p>
    <w:p>
      <w:pPr>
        <w:ind w:left="660" w:right="420" w:hanging="328"/>
        <w:spacing w:after="0" w:line="264"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disruption of shipping routes due to accidents, diseases, pandemics, political events, piracy or acts by terrorists;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from future litigation; and</w:t>
      </w:r>
    </w:p>
    <w:p>
      <w:pPr>
        <w:spacing w:after="0" w:line="18" w:lineRule="exact"/>
        <w:rPr>
          <w:rFonts w:ascii="Times New Roman" w:cs="Times New Roman" w:eastAsia="Times New Roman" w:hAnsi="Times New Roman"/>
          <w:sz w:val="16"/>
          <w:szCs w:val="16"/>
          <w:color w:val="auto"/>
        </w:rPr>
      </w:pPr>
    </w:p>
    <w:p>
      <w:pPr>
        <w:ind w:left="660" w:hanging="328"/>
        <w:spacing w:after="0" w:line="288" w:lineRule="auto"/>
        <w:tabs>
          <w:tab w:leader="none" w:pos="6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risks and uncertainties described in the Partnership’s Annual Report on Form 20-F filed with the SEC on March 3, 2020 and Quarterly Reports on Form 6-K filed with the SEC on May 7, 2020 and August 5, 2020, available at </w:t>
      </w:r>
      <w:r>
        <w:rPr>
          <w:rFonts w:ascii="Times New Roman" w:cs="Times New Roman" w:eastAsia="Times New Roman" w:hAnsi="Times New Roman"/>
          <w:sz w:val="16"/>
          <w:szCs w:val="16"/>
          <w:u w:val="single" w:color="auto"/>
          <w:color w:val="auto"/>
        </w:rPr>
        <w:t>http://www.sec.gov</w:t>
      </w:r>
      <w:r>
        <w:rPr>
          <w:rFonts w:ascii="Times New Roman" w:cs="Times New Roman" w:eastAsia="Times New Roman" w:hAnsi="Times New Roman"/>
          <w:sz w:val="16"/>
          <w:szCs w:val="16"/>
          <w:color w:val="auto"/>
        </w:rPr>
        <w:t>.</w:t>
      </w:r>
    </w:p>
    <w:p>
      <w:pPr>
        <w:spacing w:after="0" w:line="17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3"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Joseph Nelson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+1-212-223-0643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ir@gaslogmlp.com</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9"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I – Unaudited Interim Financial Information</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2019 and September 30, 2020</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7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7780" w:type="dxa"/>
            <w:vAlign w:val="bottom"/>
          </w:tcPr>
          <w:p>
            <w:pPr>
              <w:spacing w:after="0"/>
              <w:rPr>
                <w:sz w:val="18"/>
                <w:szCs w:val="18"/>
                <w:color w:val="auto"/>
              </w:rPr>
            </w:pPr>
          </w:p>
        </w:tc>
        <w:tc>
          <w:tcPr>
            <w:tcW w:w="1900" w:type="dxa"/>
            <w:vAlign w:val="bottom"/>
            <w:gridSpan w:val="2"/>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3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3"/>
        </w:trPr>
        <w:tc>
          <w:tcPr>
            <w:tcW w:w="7780" w:type="dxa"/>
            <w:vAlign w:val="bottom"/>
            <w:tcBorders>
              <w:top w:val="single" w:sz="8" w:color="E9FFFF"/>
            </w:tcBorders>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58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2,286,430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2,225,665</w:t>
            </w:r>
          </w:p>
        </w:tc>
        <w:tc>
          <w:tcPr>
            <w:tcW w:w="0" w:type="dxa"/>
            <w:vAlign w:val="bottom"/>
          </w:tcPr>
          <w:p>
            <w:pPr>
              <w:spacing w:after="0"/>
              <w:rPr>
                <w:sz w:val="1"/>
                <w:szCs w:val="1"/>
                <w:color w:val="auto"/>
              </w:rPr>
            </w:pP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580" w:type="dxa"/>
            <w:vAlign w:val="bottom"/>
            <w:tcBorders>
              <w:bottom w:val="single" w:sz="8" w:color="E5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2,287,591</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2,226,439</w:t>
            </w:r>
          </w:p>
        </w:tc>
        <w:tc>
          <w:tcPr>
            <w:tcW w:w="0" w:type="dxa"/>
            <w:vAlign w:val="bottom"/>
          </w:tcPr>
          <w:p>
            <w:pPr>
              <w:spacing w:after="0"/>
              <w:rPr>
                <w:sz w:val="1"/>
                <w:szCs w:val="1"/>
                <w:color w:val="auto"/>
              </w:rPr>
            </w:pPr>
          </w:p>
        </w:tc>
      </w:tr>
      <w:tr>
        <w:trPr>
          <w:trHeight w:val="209"/>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58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7,147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11,999</w:t>
            </w:r>
          </w:p>
        </w:tc>
        <w:tc>
          <w:tcPr>
            <w:tcW w:w="0" w:type="dxa"/>
            <w:vAlign w:val="bottom"/>
          </w:tcPr>
          <w:p>
            <w:pPr>
              <w:spacing w:after="0"/>
              <w:rPr>
                <w:sz w:val="1"/>
                <w:szCs w:val="1"/>
                <w:color w:val="auto"/>
              </w:rPr>
            </w:pP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9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Due from related parties</w:t>
            </w:r>
          </w:p>
        </w:tc>
        <w:tc>
          <w:tcPr>
            <w:tcW w:w="5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0" w:type="dxa"/>
            <w:vAlign w:val="bottom"/>
          </w:tcPr>
          <w:p>
            <w:pPr>
              <w:spacing w:after="0"/>
              <w:rPr>
                <w:sz w:val="1"/>
                <w:szCs w:val="1"/>
                <w:color w:val="auto"/>
              </w:rPr>
            </w:pPr>
          </w:p>
        </w:tc>
      </w:tr>
      <w:tr>
        <w:trPr>
          <w:trHeight w:val="216"/>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900" w:type="dxa"/>
            <w:vAlign w:val="bottom"/>
            <w:gridSpan w:val="2"/>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20" w:type="dxa"/>
            <w:vAlign w:val="bottom"/>
            <w:shd w:val="clear" w:color="auto" w:fill="E9FFFF"/>
          </w:tcPr>
          <w:p>
            <w:pPr>
              <w:spacing w:after="0"/>
              <w:rPr>
                <w:sz w:val="18"/>
                <w:szCs w:val="18"/>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2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900" w:type="dxa"/>
            <w:vAlign w:val="bottom"/>
            <w:gridSpan w:val="2"/>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96,884</w:t>
            </w:r>
          </w:p>
        </w:tc>
        <w:tc>
          <w:tcPr>
            <w:tcW w:w="120" w:type="dxa"/>
            <w:vAlign w:val="bottom"/>
            <w:shd w:val="clear" w:color="auto" w:fill="E9FFFF"/>
          </w:tcPr>
          <w:p>
            <w:pPr>
              <w:spacing w:after="0"/>
              <w:rPr>
                <w:sz w:val="19"/>
                <w:szCs w:val="19"/>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78,961</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E9FF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580" w:type="dxa"/>
            <w:vAlign w:val="bottom"/>
            <w:tcBorders>
              <w:bottom w:val="single" w:sz="8" w:color="E9FF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109,353</w:t>
            </w:r>
          </w:p>
        </w:tc>
        <w:tc>
          <w:tcPr>
            <w:tcW w:w="120" w:type="dxa"/>
            <w:vAlign w:val="bottom"/>
            <w:tcBorders>
              <w:bottom w:val="single" w:sz="8" w:color="E9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106,747</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E9FFFF"/>
            </w:tcBorders>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580" w:type="dxa"/>
            <w:vAlign w:val="bottom"/>
            <w:tcBorders>
              <w:bottom w:val="single" w:sz="8" w:color="E9FFFF"/>
            </w:tcBorders>
            <w:shd w:val="clear" w:color="auto" w:fill="E9FFFF"/>
          </w:tcPr>
          <w:p>
            <w:pPr>
              <w:spacing w:after="0"/>
              <w:rPr>
                <w:sz w:val="17"/>
                <w:szCs w:val="17"/>
                <w:color w:val="auto"/>
              </w:rPr>
            </w:pPr>
          </w:p>
        </w:tc>
        <w:tc>
          <w:tcPr>
            <w:tcW w:w="132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2,396,944</w:t>
            </w:r>
          </w:p>
        </w:tc>
        <w:tc>
          <w:tcPr>
            <w:tcW w:w="120" w:type="dxa"/>
            <w:vAlign w:val="bottom"/>
            <w:tcBorders>
              <w:bottom w:val="single" w:sz="8" w:color="E9FFFF"/>
            </w:tcBorders>
            <w:shd w:val="clear" w:color="auto" w:fill="E9FFFF"/>
          </w:tcPr>
          <w:p>
            <w:pPr>
              <w:spacing w:after="0"/>
              <w:rPr>
                <w:sz w:val="17"/>
                <w:szCs w:val="17"/>
                <w:color w:val="auto"/>
              </w:rPr>
            </w:pPr>
          </w:p>
        </w:tc>
        <w:tc>
          <w:tcPr>
            <w:tcW w:w="134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2,333,186</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Partners’ equity and liabilities</w:t>
            </w:r>
          </w:p>
        </w:tc>
        <w:tc>
          <w:tcPr>
            <w:tcW w:w="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7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Partners’ equity</w:t>
            </w:r>
          </w:p>
        </w:tc>
        <w:tc>
          <w:tcPr>
            <w:tcW w:w="580" w:type="dxa"/>
            <w:vAlign w:val="bottom"/>
            <w:shd w:val="clear" w:color="auto" w:fill="E9FFFF"/>
          </w:tcPr>
          <w:p>
            <w:pPr>
              <w:spacing w:after="0"/>
              <w:rPr>
                <w:sz w:val="19"/>
                <w:szCs w:val="19"/>
                <w:color w:val="auto"/>
              </w:rPr>
            </w:pPr>
          </w:p>
        </w:tc>
        <w:tc>
          <w:tcPr>
            <w:tcW w:w="1320" w:type="dxa"/>
            <w:vAlign w:val="bottom"/>
            <w:shd w:val="clear" w:color="auto" w:fill="E9FFFF"/>
          </w:tcPr>
          <w:p>
            <w:pPr>
              <w:spacing w:after="0"/>
              <w:rPr>
                <w:sz w:val="19"/>
                <w:szCs w:val="19"/>
                <w:color w:val="auto"/>
              </w:rPr>
            </w:pPr>
          </w:p>
        </w:tc>
        <w:tc>
          <w:tcPr>
            <w:tcW w:w="120" w:type="dxa"/>
            <w:vAlign w:val="bottom"/>
            <w:shd w:val="clear" w:color="auto" w:fill="E9FFFF"/>
          </w:tcPr>
          <w:p>
            <w:pPr>
              <w:spacing w:after="0"/>
              <w:rPr>
                <w:sz w:val="19"/>
                <w:szCs w:val="19"/>
                <w:color w:val="auto"/>
              </w:rPr>
            </w:pPr>
          </w:p>
        </w:tc>
        <w:tc>
          <w:tcPr>
            <w:tcW w:w="1340" w:type="dxa"/>
            <w:vAlign w:val="bottom"/>
            <w:shd w:val="clear" w:color="auto" w:fill="E9FF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Common unitholders (46,860,182 units issued and outstanding as of December 31, 2019 and 47,517,824 units issued</w:t>
            </w: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outstanding as of September 30, 2020)</w:t>
            </w:r>
          </w:p>
        </w:tc>
        <w:tc>
          <w:tcPr>
            <w:tcW w:w="2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606,811</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580,580</w:t>
            </w:r>
          </w:p>
        </w:tc>
        <w:tc>
          <w:tcPr>
            <w:tcW w:w="0" w:type="dxa"/>
            <w:vAlign w:val="bottom"/>
          </w:tcPr>
          <w:p>
            <w:pPr>
              <w:spacing w:after="0"/>
              <w:rPr>
                <w:sz w:val="1"/>
                <w:szCs w:val="1"/>
                <w:color w:val="auto"/>
              </w:rPr>
            </w:pPr>
          </w:p>
        </w:tc>
      </w:tr>
      <w:tr>
        <w:trPr>
          <w:trHeight w:val="22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General partner (1,021,336 units issued and outstanding as of December 31, 2019 and September 30, 2020)</w:t>
            </w:r>
          </w:p>
        </w:tc>
        <w:tc>
          <w:tcPr>
            <w:tcW w:w="2020" w:type="dxa"/>
            <w:vAlign w:val="bottom"/>
            <w:gridSpan w:val="3"/>
            <w:shd w:val="clear" w:color="auto" w:fill="E9FFFF"/>
          </w:tcPr>
          <w:p>
            <w:pPr>
              <w:jc w:val="right"/>
              <w:ind w:right="120"/>
              <w:spacing w:after="0"/>
              <w:rPr>
                <w:sz w:val="20"/>
                <w:szCs w:val="20"/>
                <w:color w:val="auto"/>
              </w:rPr>
            </w:pPr>
            <w:r>
              <w:rPr>
                <w:rFonts w:ascii="Times New Roman" w:cs="Times New Roman" w:eastAsia="Times New Roman" w:hAnsi="Times New Roman"/>
                <w:sz w:val="16"/>
                <w:szCs w:val="16"/>
                <w:color w:val="auto"/>
              </w:rPr>
              <w:t>11,271</w:t>
            </w: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10,722</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Preference unitholders (5,750,000 Series A Preference Units, 4,600,000 Series B Preference Units and 4,000,000 Series</w:t>
            </w: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 Preference Units issued and outstanding as of December 31, 2019 and September 30, 2020)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347,889</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347,889</w:t>
            </w:r>
          </w:p>
        </w:tc>
        <w:tc>
          <w:tcPr>
            <w:tcW w:w="0" w:type="dxa"/>
            <w:vAlign w:val="bottom"/>
          </w:tcPr>
          <w:p>
            <w:pPr>
              <w:spacing w:after="0"/>
              <w:rPr>
                <w:sz w:val="1"/>
                <w:szCs w:val="1"/>
                <w:color w:val="auto"/>
              </w:rPr>
            </w:pPr>
          </w:p>
        </w:tc>
      </w:tr>
      <w:tr>
        <w:trPr>
          <w:trHeight w:val="202"/>
        </w:trPr>
        <w:tc>
          <w:tcPr>
            <w:tcW w:w="7780" w:type="dxa"/>
            <w:vAlign w:val="bottom"/>
            <w:tcBorders>
              <w:top w:val="single" w:sz="8" w:color="E9FFFF"/>
            </w:tcBorders>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Total partners’ equity</w:t>
            </w:r>
          </w:p>
        </w:tc>
        <w:tc>
          <w:tcPr>
            <w:tcW w:w="580" w:type="dxa"/>
            <w:vAlign w:val="bottom"/>
            <w:tcBorders>
              <w:top w:val="single" w:sz="8" w:color="E9FFFF"/>
            </w:tcBorders>
            <w:shd w:val="clear" w:color="auto" w:fill="E9FFFF"/>
          </w:tcPr>
          <w:p>
            <w:pPr>
              <w:spacing w:after="0"/>
              <w:rPr>
                <w:sz w:val="17"/>
                <w:szCs w:val="17"/>
                <w:color w:val="auto"/>
              </w:rPr>
            </w:pPr>
          </w:p>
        </w:tc>
        <w:tc>
          <w:tcPr>
            <w:tcW w:w="1320" w:type="dxa"/>
            <w:vAlign w:val="bottom"/>
            <w:tcBorders>
              <w:top w:val="single" w:sz="8" w:color="auto"/>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965,971</w:t>
            </w:r>
          </w:p>
        </w:tc>
        <w:tc>
          <w:tcPr>
            <w:tcW w:w="120" w:type="dxa"/>
            <w:vAlign w:val="bottom"/>
            <w:tcBorders>
              <w:top w:val="single" w:sz="8" w:color="E9FFFF"/>
            </w:tcBorders>
            <w:shd w:val="clear" w:color="auto" w:fill="E9FFFF"/>
          </w:tcPr>
          <w:p>
            <w:pPr>
              <w:spacing w:after="0"/>
              <w:rPr>
                <w:sz w:val="17"/>
                <w:szCs w:val="17"/>
                <w:color w:val="auto"/>
              </w:rPr>
            </w:pPr>
          </w:p>
        </w:tc>
        <w:tc>
          <w:tcPr>
            <w:tcW w:w="1340" w:type="dxa"/>
            <w:vAlign w:val="bottom"/>
            <w:tcBorders>
              <w:top w:val="single" w:sz="8" w:color="auto"/>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939,191</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1900" w:type="dxa"/>
            <w:vAlign w:val="bottom"/>
            <w:gridSpan w:val="2"/>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16,630</w:t>
            </w:r>
          </w:p>
        </w:tc>
        <w:tc>
          <w:tcPr>
            <w:tcW w:w="120" w:type="dxa"/>
            <w:vAlign w:val="bottom"/>
            <w:shd w:val="clear" w:color="auto" w:fill="E9FFFF"/>
          </w:tcPr>
          <w:p>
            <w:pPr>
              <w:spacing w:after="0"/>
              <w:rPr>
                <w:sz w:val="19"/>
                <w:szCs w:val="19"/>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15,434</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Due to related parties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5,642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2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900" w:type="dxa"/>
            <w:vAlign w:val="bottom"/>
            <w:gridSpan w:val="2"/>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20" w:type="dxa"/>
            <w:vAlign w:val="bottom"/>
            <w:shd w:val="clear" w:color="auto" w:fill="E9FFFF"/>
          </w:tcPr>
          <w:p>
            <w:pPr>
              <w:spacing w:after="0"/>
              <w:rPr>
                <w:sz w:val="19"/>
                <w:szCs w:val="19"/>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8,312</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51,570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50,565</w:t>
            </w:r>
          </w:p>
        </w:tc>
        <w:tc>
          <w:tcPr>
            <w:tcW w:w="0" w:type="dxa"/>
            <w:vAlign w:val="bottom"/>
          </w:tcPr>
          <w:p>
            <w:pPr>
              <w:spacing w:after="0"/>
              <w:rPr>
                <w:sz w:val="1"/>
                <w:szCs w:val="1"/>
                <w:color w:val="auto"/>
              </w:rPr>
            </w:pPr>
          </w:p>
        </w:tc>
      </w:tr>
      <w:tr>
        <w:trPr>
          <w:trHeight w:val="22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Borrowings—current portion</w:t>
            </w:r>
          </w:p>
        </w:tc>
        <w:tc>
          <w:tcPr>
            <w:tcW w:w="1900" w:type="dxa"/>
            <w:vAlign w:val="bottom"/>
            <w:gridSpan w:val="2"/>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109,822</w:t>
            </w:r>
          </w:p>
        </w:tc>
        <w:tc>
          <w:tcPr>
            <w:tcW w:w="120" w:type="dxa"/>
            <w:vAlign w:val="bottom"/>
            <w:shd w:val="clear" w:color="auto" w:fill="E9FFFF"/>
          </w:tcPr>
          <w:p>
            <w:pPr>
              <w:spacing w:after="0"/>
              <w:rPr>
                <w:sz w:val="19"/>
                <w:szCs w:val="19"/>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104,934</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liabilities—current portion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02"/>
        </w:trPr>
        <w:tc>
          <w:tcPr>
            <w:tcW w:w="7780" w:type="dxa"/>
            <w:vAlign w:val="bottom"/>
            <w:tcBorders>
              <w:top w:val="single" w:sz="8" w:color="E9FFFF"/>
            </w:tcBorders>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580" w:type="dxa"/>
            <w:vAlign w:val="bottom"/>
            <w:tcBorders>
              <w:top w:val="single" w:sz="8" w:color="E9FFFF"/>
            </w:tcBorders>
            <w:shd w:val="clear" w:color="auto" w:fill="E9FFFF"/>
          </w:tcPr>
          <w:p>
            <w:pPr>
              <w:spacing w:after="0"/>
              <w:rPr>
                <w:sz w:val="17"/>
                <w:szCs w:val="17"/>
                <w:color w:val="auto"/>
              </w:rPr>
            </w:pPr>
          </w:p>
        </w:tc>
        <w:tc>
          <w:tcPr>
            <w:tcW w:w="1320" w:type="dxa"/>
            <w:vAlign w:val="bottom"/>
            <w:tcBorders>
              <w:top w:val="single" w:sz="8" w:color="auto"/>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186,743</w:t>
            </w:r>
          </w:p>
        </w:tc>
        <w:tc>
          <w:tcPr>
            <w:tcW w:w="120" w:type="dxa"/>
            <w:vAlign w:val="bottom"/>
            <w:tcBorders>
              <w:top w:val="single" w:sz="8" w:color="E9FFFF"/>
            </w:tcBorders>
            <w:shd w:val="clear" w:color="auto" w:fill="E9FFFF"/>
          </w:tcPr>
          <w:p>
            <w:pPr>
              <w:spacing w:after="0"/>
              <w:rPr>
                <w:sz w:val="17"/>
                <w:szCs w:val="17"/>
                <w:color w:val="auto"/>
              </w:rPr>
            </w:pPr>
          </w:p>
        </w:tc>
        <w:tc>
          <w:tcPr>
            <w:tcW w:w="1340" w:type="dxa"/>
            <w:vAlign w:val="bottom"/>
            <w:tcBorders>
              <w:top w:val="single" w:sz="8" w:color="auto"/>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179,770</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900" w:type="dxa"/>
            <w:vAlign w:val="bottom"/>
            <w:gridSpan w:val="2"/>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6,688</w:t>
            </w:r>
          </w:p>
        </w:tc>
        <w:tc>
          <w:tcPr>
            <w:tcW w:w="120" w:type="dxa"/>
            <w:vAlign w:val="bottom"/>
            <w:shd w:val="clear" w:color="auto" w:fill="E9FFFF"/>
          </w:tcPr>
          <w:p>
            <w:pPr>
              <w:spacing w:after="0"/>
              <w:rPr>
                <w:sz w:val="19"/>
                <w:szCs w:val="19"/>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13,933</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Borrowings—non-current portion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1,236,202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1,198,627</w:t>
            </w:r>
          </w:p>
        </w:tc>
        <w:tc>
          <w:tcPr>
            <w:tcW w:w="0" w:type="dxa"/>
            <w:vAlign w:val="bottom"/>
          </w:tcPr>
          <w:p>
            <w:pPr>
              <w:spacing w:after="0"/>
              <w:rPr>
                <w:sz w:val="1"/>
                <w:szCs w:val="1"/>
                <w:color w:val="auto"/>
              </w:rPr>
            </w:pPr>
          </w:p>
        </w:tc>
      </w:tr>
      <w:tr>
        <w:trPr>
          <w:trHeight w:val="22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Lease liabilities—non-current portion</w:t>
            </w:r>
          </w:p>
        </w:tc>
        <w:tc>
          <w:tcPr>
            <w:tcW w:w="1900" w:type="dxa"/>
            <w:vAlign w:val="bottom"/>
            <w:gridSpan w:val="2"/>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shd w:val="clear" w:color="auto" w:fill="E9FFFF"/>
          </w:tcPr>
          <w:p>
            <w:pPr>
              <w:spacing w:after="0"/>
              <w:rPr>
                <w:sz w:val="19"/>
                <w:szCs w:val="19"/>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202"/>
        </w:trPr>
        <w:tc>
          <w:tcPr>
            <w:tcW w:w="7780" w:type="dxa"/>
            <w:vAlign w:val="bottom"/>
            <w:tcBorders>
              <w:top w:val="single" w:sz="8" w:color="E9FFFF"/>
            </w:tcBorders>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580" w:type="dxa"/>
            <w:vAlign w:val="bottom"/>
            <w:tcBorders>
              <w:top w:val="single" w:sz="8" w:color="E9FFFF"/>
            </w:tcBorders>
            <w:shd w:val="clear" w:color="auto" w:fill="E9FFFF"/>
          </w:tcPr>
          <w:p>
            <w:pPr>
              <w:spacing w:after="0"/>
              <w:rPr>
                <w:sz w:val="17"/>
                <w:szCs w:val="17"/>
                <w:color w:val="auto"/>
              </w:rPr>
            </w:pPr>
          </w:p>
        </w:tc>
        <w:tc>
          <w:tcPr>
            <w:tcW w:w="1320" w:type="dxa"/>
            <w:vAlign w:val="bottom"/>
            <w:tcBorders>
              <w:top w:val="single" w:sz="8" w:color="auto"/>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1,244,230</w:t>
            </w:r>
          </w:p>
        </w:tc>
        <w:tc>
          <w:tcPr>
            <w:tcW w:w="120" w:type="dxa"/>
            <w:vAlign w:val="bottom"/>
            <w:tcBorders>
              <w:top w:val="single" w:sz="8" w:color="E9FFFF"/>
            </w:tcBorders>
            <w:shd w:val="clear" w:color="auto" w:fill="E9FFFF"/>
          </w:tcPr>
          <w:p>
            <w:pPr>
              <w:spacing w:after="0"/>
              <w:rPr>
                <w:sz w:val="17"/>
                <w:szCs w:val="17"/>
                <w:color w:val="auto"/>
              </w:rPr>
            </w:pPr>
          </w:p>
        </w:tc>
        <w:tc>
          <w:tcPr>
            <w:tcW w:w="1340" w:type="dxa"/>
            <w:vAlign w:val="bottom"/>
            <w:tcBorders>
              <w:top w:val="single" w:sz="8" w:color="auto"/>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1,214,225</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partners’ equity and liabilities</w:t>
            </w:r>
          </w:p>
        </w:tc>
        <w:tc>
          <w:tcPr>
            <w:tcW w:w="5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2,396,944</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2,333,186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w:t>
      </w:r>
    </w:p>
    <w:p>
      <w:pPr>
        <w:spacing w:after="0" w:line="28"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b w:val="1"/>
          <w:bCs w:val="1"/>
          <w:color w:val="auto"/>
        </w:rPr>
        <w:t>For the three and nine months ended September 30, 2019 and September 30, 2020 (All amounts expressed in thousands of U.S. Dollars, except per unit data)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8914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pool allocation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Voyage expenses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8914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Vessel operating costs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8914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13716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and administrative expenses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Impairment loss on vessels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8914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8914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8914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Profit and total comprehensive income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8914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8914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Incentive distribution rights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Preference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891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140" cy="13716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per unit attributable to the Partnership,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0891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1371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 basic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0891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 unit</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72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2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12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 w:type="dxa"/>
            <w:vAlign w:val="bottom"/>
          </w:tcPr>
          <w:p>
            <w:pPr>
              <w:spacing w:after="0"/>
              <w:rPr>
                <w:sz w:val="18"/>
                <w:szCs w:val="18"/>
                <w:color w:val="auto"/>
              </w:rPr>
            </w:pPr>
          </w:p>
        </w:tc>
        <w:tc>
          <w:tcPr>
            <w:tcW w:w="12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 w:type="dxa"/>
            <w:vAlign w:val="bottom"/>
          </w:tcPr>
          <w:p>
            <w:pPr>
              <w:spacing w:after="0"/>
              <w:rPr>
                <w:sz w:val="18"/>
                <w:szCs w:val="18"/>
                <w:color w:val="auto"/>
              </w:rPr>
            </w:pPr>
          </w:p>
        </w:tc>
        <w:tc>
          <w:tcPr>
            <w:tcW w:w="13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6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96,485</w:t>
            </w:r>
          </w:p>
        </w:tc>
        <w:tc>
          <w:tcPr>
            <w:tcW w:w="60" w:type="dxa"/>
            <w:vAlign w:val="bottom"/>
          </w:tcPr>
          <w:p>
            <w:pPr>
              <w:spacing w:after="0"/>
              <w:rPr>
                <w:sz w:val="15"/>
                <w:szCs w:val="15"/>
                <w:color w:val="auto"/>
              </w:rPr>
            </w:pPr>
          </w:p>
        </w:tc>
        <w:tc>
          <w:tcPr>
            <w:tcW w:w="128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72,813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282,175</w:t>
            </w:r>
          </w:p>
        </w:tc>
        <w:tc>
          <w:tcPr>
            <w:tcW w:w="6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248,614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6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22"/>
        </w:trPr>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(2,246)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(8,916)</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(18,116)</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(19,327)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(55,295)</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(55,315)</w:t>
            </w: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(22,819)</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(20,577)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(66,826)</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(61,850)</w:t>
            </w:r>
          </w:p>
        </w:tc>
        <w:tc>
          <w:tcPr>
            <w:tcW w:w="0" w:type="dxa"/>
            <w:vAlign w:val="bottom"/>
          </w:tcPr>
          <w:p>
            <w:pPr>
              <w:spacing w:after="0"/>
              <w:rPr>
                <w:sz w:val="1"/>
                <w:szCs w:val="1"/>
                <w:color w:val="auto"/>
              </w:rPr>
            </w:pPr>
          </w:p>
        </w:tc>
      </w:tr>
      <w:tr>
        <w:trPr>
          <w:trHeight w:val="212"/>
        </w:trPr>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(5,379)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(14,352)</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(13,971)</w:t>
            </w:r>
          </w:p>
        </w:tc>
        <w:tc>
          <w:tcPr>
            <w:tcW w:w="0" w:type="dxa"/>
            <w:vAlign w:val="bottom"/>
          </w:tcPr>
          <w:p>
            <w:pPr>
              <w:spacing w:after="0"/>
              <w:rPr>
                <w:sz w:val="1"/>
                <w:szCs w:val="1"/>
                <w:color w:val="auto"/>
              </w:rPr>
            </w:pPr>
          </w:p>
        </w:tc>
      </w:tr>
      <w:tr>
        <w:trPr>
          <w:trHeight w:val="231"/>
        </w:trPr>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(18,841)</w:t>
            </w:r>
          </w:p>
        </w:tc>
        <w:tc>
          <w:tcPr>
            <w:tcW w:w="0" w:type="dxa"/>
            <w:vAlign w:val="bottom"/>
          </w:tcPr>
          <w:p>
            <w:pPr>
              <w:spacing w:after="0"/>
              <w:rPr>
                <w:sz w:val="1"/>
                <w:szCs w:val="1"/>
                <w:color w:val="auto"/>
              </w:rPr>
            </w:pPr>
          </w:p>
        </w:tc>
      </w:tr>
      <w:tr>
        <w:trPr>
          <w:trHeight w:val="199"/>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48,960</w:t>
            </w:r>
          </w:p>
        </w:tc>
        <w:tc>
          <w:tcPr>
            <w:tcW w:w="6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25,284</w:t>
            </w:r>
          </w:p>
        </w:tc>
        <w:tc>
          <w:tcPr>
            <w:tcW w:w="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141,213</w:t>
            </w:r>
          </w:p>
        </w:tc>
        <w:tc>
          <w:tcPr>
            <w:tcW w:w="6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89,721</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(17,534)</w:t>
            </w:r>
          </w:p>
        </w:tc>
        <w:tc>
          <w:tcPr>
            <w:tcW w:w="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(55,650)</w:t>
            </w:r>
          </w:p>
        </w:tc>
        <w:tc>
          <w:tcPr>
            <w:tcW w:w="6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(990)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(15,528)</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(14,741)</w:t>
            </w:r>
          </w:p>
        </w:tc>
        <w:tc>
          <w:tcPr>
            <w:tcW w:w="0" w:type="dxa"/>
            <w:vAlign w:val="bottom"/>
          </w:tcPr>
          <w:p>
            <w:pPr>
              <w:spacing w:after="0"/>
              <w:rPr>
                <w:sz w:val="1"/>
                <w:szCs w:val="1"/>
                <w:color w:val="auto"/>
              </w:rPr>
            </w:pPr>
          </w:p>
        </w:tc>
      </w:tr>
      <w:tr>
        <w:trPr>
          <w:trHeight w:val="202"/>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(19,526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(13,418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(69,620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(55,473</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96"/>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29,434</w:t>
            </w:r>
          </w:p>
        </w:tc>
        <w:tc>
          <w:tcPr>
            <w:tcW w:w="6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11,866</w:t>
            </w:r>
          </w:p>
        </w:tc>
        <w:tc>
          <w:tcPr>
            <w:tcW w:w="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71,593</w:t>
            </w:r>
          </w:p>
        </w:tc>
        <w:tc>
          <w:tcPr>
            <w:tcW w:w="6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34,248</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21,388</w:t>
            </w:r>
          </w:p>
        </w:tc>
        <w:tc>
          <w:tcPr>
            <w:tcW w:w="60" w:type="dxa"/>
            <w:vAlign w:val="bottom"/>
            <w:vMerge w:val="continue"/>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4,193</w:t>
            </w:r>
          </w:p>
        </w:tc>
        <w:tc>
          <w:tcPr>
            <w:tcW w:w="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45,246</w:t>
            </w:r>
          </w:p>
        </w:tc>
        <w:tc>
          <w:tcPr>
            <w:tcW w:w="60" w:type="dxa"/>
            <w:vAlign w:val="bottom"/>
            <w:vMerge w:val="continue"/>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11,256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40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rPr>
              <w:t>N/A</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ind w:left="100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7,582</w:t>
            </w:r>
          </w:p>
        </w:tc>
        <w:tc>
          <w:tcPr>
            <w:tcW w:w="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22,746</w:t>
            </w:r>
          </w:p>
        </w:tc>
        <w:tc>
          <w:tcPr>
            <w:tcW w:w="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60" w:type="dxa"/>
            <w:vAlign w:val="bottom"/>
          </w:tcPr>
          <w:p>
            <w:pPr>
              <w:spacing w:after="0"/>
              <w:rPr>
                <w:sz w:val="24"/>
                <w:szCs w:val="24"/>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2"/>
              </w:rPr>
              <w:t>0.09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60" w:type="dxa"/>
            <w:vAlign w:val="bottom"/>
          </w:tcPr>
          <w:p>
            <w:pPr>
              <w:spacing w:after="0"/>
              <w:rPr>
                <w:sz w:val="24"/>
                <w:szCs w:val="24"/>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0.24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6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2"/>
              </w:rPr>
              <w:t>0.08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60" w:type="dxa"/>
            <w:vAlign w:val="bottom"/>
          </w:tcPr>
          <w:p>
            <w:pPr>
              <w:spacing w:after="0"/>
              <w:rPr>
                <w:sz w:val="18"/>
                <w:szCs w:val="18"/>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0.23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60" w:type="dxa"/>
            <w:vAlign w:val="bottom"/>
          </w:tcPr>
          <w:p>
            <w:pPr>
              <w:spacing w:after="0"/>
              <w:rPr>
                <w:sz w:val="18"/>
                <w:szCs w:val="18"/>
                <w:color w:val="auto"/>
              </w:rPr>
            </w:pPr>
          </w:p>
        </w:tc>
        <w:tc>
          <w:tcPr>
            <w:tcW w:w="128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2"/>
              </w:rPr>
              <w:t>0.09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60" w:type="dxa"/>
            <w:vAlign w:val="bottom"/>
          </w:tcPr>
          <w:p>
            <w:pPr>
              <w:spacing w:after="0"/>
              <w:rPr>
                <w:sz w:val="18"/>
                <w:szCs w:val="18"/>
                <w:color w:val="auto"/>
              </w:rPr>
            </w:pPr>
          </w:p>
        </w:tc>
        <w:tc>
          <w:tcPr>
            <w:tcW w:w="1300" w:type="dxa"/>
            <w:vAlign w:val="bottom"/>
          </w:tcPr>
          <w:p>
            <w:pPr>
              <w:ind w:left="1000"/>
              <w:spacing w:after="0"/>
              <w:rPr>
                <w:sz w:val="20"/>
                <w:szCs w:val="20"/>
                <w:color w:val="auto"/>
              </w:rPr>
            </w:pPr>
            <w:r>
              <w:rPr>
                <w:rFonts w:ascii="Times New Roman" w:cs="Times New Roman" w:eastAsia="Times New Roman" w:hAnsi="Times New Roman"/>
                <w:sz w:val="16"/>
                <w:szCs w:val="16"/>
                <w:color w:val="auto"/>
                <w:w w:val="99"/>
              </w:rPr>
              <w:t>0.24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2">
            <w:col w:w="5680" w:space="200"/>
            <w:col w:w="5340"/>
          </w:cols>
          <w:pgMar w:left="320" w:top="90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2019 and 2020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308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17"/>
                <w:szCs w:val="17"/>
                <w:color w:val="auto"/>
              </w:rPr>
            </w:pPr>
          </w:p>
        </w:tc>
        <w:tc>
          <w:tcPr>
            <w:tcW w:w="170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81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71,593</w:t>
            </w:r>
          </w:p>
        </w:tc>
        <w:tc>
          <w:tcPr>
            <w:tcW w:w="34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34,248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66,826</w:t>
            </w:r>
          </w:p>
        </w:tc>
        <w:tc>
          <w:tcPr>
            <w:tcW w:w="34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61,850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7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55,650</w:t>
            </w:r>
          </w:p>
        </w:tc>
        <w:tc>
          <w:tcPr>
            <w:tcW w:w="34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41,017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(1,558)</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22"/>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Unrealized loss on derivatives held for trading</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16,698</w:t>
            </w:r>
          </w:p>
        </w:tc>
        <w:tc>
          <w:tcPr>
            <w:tcW w:w="34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10,335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Borders>
              <w:bottom w:val="single" w:sz="8" w:color="E9FFFF"/>
            </w:tcBorders>
            <w:shd w:val="clear" w:color="auto" w:fill="E9FFFF"/>
          </w:tcPr>
          <w:p>
            <w:pPr>
              <w:spacing w:after="0"/>
              <w:rPr>
                <w:sz w:val="20"/>
                <w:szCs w:val="20"/>
                <w:color w:val="auto"/>
              </w:rPr>
            </w:pPr>
            <w:r>
              <w:rPr>
                <w:rFonts w:ascii="Times New Roman" w:cs="Times New Roman" w:eastAsia="Times New Roman" w:hAnsi="Times New Roman"/>
                <w:sz w:val="16"/>
                <w:szCs w:val="16"/>
                <w:color w:val="auto"/>
              </w:rPr>
              <w:t>Realized foreign exchange losses</w:t>
            </w:r>
          </w:p>
        </w:tc>
        <w:tc>
          <w:tcPr>
            <w:tcW w:w="136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340" w:type="dxa"/>
            <w:vAlign w:val="bottom"/>
            <w:tcBorders>
              <w:bottom w:val="single" w:sz="8" w:color="E9FFFF"/>
            </w:tcBorders>
            <w:shd w:val="clear" w:color="auto" w:fill="E9FFFF"/>
          </w:tcPr>
          <w:p>
            <w:pPr>
              <w:spacing w:after="0"/>
              <w:rPr>
                <w:sz w:val="18"/>
                <w:szCs w:val="18"/>
                <w:color w:val="auto"/>
              </w:rPr>
            </w:pPr>
          </w:p>
        </w:tc>
        <w:tc>
          <w:tcPr>
            <w:tcW w:w="134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210,510</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167,839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Movements in working capital</w:t>
            </w:r>
          </w:p>
        </w:tc>
        <w:tc>
          <w:tcPr>
            <w:tcW w:w="1700" w:type="dxa"/>
            <w:vAlign w:val="bottom"/>
            <w:gridSpan w:val="2"/>
            <w:shd w:val="clear" w:color="auto" w:fill="E9FFFF"/>
          </w:tcPr>
          <w:p>
            <w:pPr>
              <w:jc w:val="right"/>
              <w:ind w:right="199"/>
              <w:spacing w:after="0"/>
              <w:rPr>
                <w:sz w:val="20"/>
                <w:szCs w:val="20"/>
                <w:color w:val="auto"/>
              </w:rPr>
            </w:pPr>
            <w:r>
              <w:rPr>
                <w:rFonts w:ascii="Times New Roman" w:cs="Times New Roman" w:eastAsia="Times New Roman" w:hAnsi="Times New Roman"/>
                <w:sz w:val="16"/>
                <w:szCs w:val="16"/>
                <w:color w:val="auto"/>
              </w:rPr>
              <w:t>(7,425)</w:t>
            </w: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(16,674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E9FFFF"/>
            </w:tcBorders>
          </w:tcPr>
          <w:p>
            <w:pPr>
              <w:spacing w:after="0"/>
              <w:rPr>
                <w:sz w:val="20"/>
                <w:szCs w:val="20"/>
                <w:color w:val="auto"/>
              </w:rPr>
            </w:pPr>
            <w:r>
              <w:rPr>
                <w:rFonts w:ascii="Times New Roman" w:cs="Times New Roman" w:eastAsia="Times New Roman" w:hAnsi="Times New Roman"/>
                <w:sz w:val="16"/>
                <w:szCs w:val="16"/>
                <w:b w:val="1"/>
                <w:bCs w:val="1"/>
                <w:color w:val="auto"/>
              </w:rPr>
              <w:t>Cash provided by operations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203,085</w:t>
            </w:r>
          </w:p>
        </w:tc>
        <w:tc>
          <w:tcPr>
            <w:tcW w:w="340" w:type="dxa"/>
            <w:vAlign w:val="bottom"/>
            <w:tcBorders>
              <w:bottom w:val="single" w:sz="8" w:color="E9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151,165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36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(54,197</w:t>
            </w:r>
          </w:p>
        </w:tc>
        <w:tc>
          <w:tcPr>
            <w:tcW w:w="340" w:type="dxa"/>
            <w:vAlign w:val="bottom"/>
            <w:shd w:val="clear" w:color="auto" w:fill="E9FF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(41,415)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tcBorders>
              <w:bottom w:val="single" w:sz="8" w:color="E9FF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148,888</w:t>
            </w:r>
          </w:p>
        </w:tc>
        <w:tc>
          <w:tcPr>
            <w:tcW w:w="340" w:type="dxa"/>
            <w:vAlign w:val="bottom"/>
            <w:tcBorders>
              <w:bottom w:val="single" w:sz="8" w:color="E9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109,750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60" w:type="dxa"/>
            <w:vAlign w:val="bottom"/>
            <w:shd w:val="clear" w:color="auto" w:fill="E9FFFF"/>
          </w:tcPr>
          <w:p>
            <w:pPr>
              <w:spacing w:after="0"/>
              <w:rPr>
                <w:sz w:val="18"/>
                <w:szCs w:val="18"/>
                <w:color w:val="auto"/>
              </w:rPr>
            </w:pPr>
          </w:p>
        </w:tc>
        <w:tc>
          <w:tcPr>
            <w:tcW w:w="340" w:type="dxa"/>
            <w:vAlign w:val="bottom"/>
            <w:shd w:val="clear" w:color="auto" w:fill="E9FFFF"/>
          </w:tcPr>
          <w:p>
            <w:pPr>
              <w:spacing w:after="0"/>
              <w:rPr>
                <w:sz w:val="18"/>
                <w:szCs w:val="18"/>
                <w:color w:val="auto"/>
              </w:rPr>
            </w:pPr>
          </w:p>
        </w:tc>
        <w:tc>
          <w:tcPr>
            <w:tcW w:w="1340" w:type="dxa"/>
            <w:vAlign w:val="bottom"/>
            <w:shd w:val="clear" w:color="auto" w:fill="E9FFFF"/>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tangible fixed assets</w:t>
            </w:r>
          </w:p>
        </w:tc>
        <w:tc>
          <w:tcPr>
            <w:tcW w:w="1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(8,637)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Return of capital expenditures</w:t>
            </w:r>
          </w:p>
        </w:tc>
        <w:tc>
          <w:tcPr>
            <w:tcW w:w="136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7,465</w:t>
            </w:r>
          </w:p>
        </w:tc>
        <w:tc>
          <w:tcPr>
            <w:tcW w:w="340" w:type="dxa"/>
            <w:vAlign w:val="bottom"/>
            <w:shd w:val="clear" w:color="auto" w:fill="E9FFFF"/>
          </w:tcPr>
          <w:p>
            <w:pPr>
              <w:spacing w:after="0"/>
              <w:rPr>
                <w:sz w:val="19"/>
                <w:szCs w:val="19"/>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 received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Maturity of short-term investments</w:t>
            </w:r>
          </w:p>
        </w:tc>
        <w:tc>
          <w:tcPr>
            <w:tcW w:w="136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34,000</w:t>
            </w:r>
          </w:p>
        </w:tc>
        <w:tc>
          <w:tcPr>
            <w:tcW w:w="340" w:type="dxa"/>
            <w:vAlign w:val="bottom"/>
            <w:shd w:val="clear" w:color="auto" w:fill="E9FFFF"/>
          </w:tcPr>
          <w:p>
            <w:pPr>
              <w:spacing w:after="0"/>
              <w:rPr>
                <w:sz w:val="19"/>
                <w:szCs w:val="19"/>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1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(33,000)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8100" w:type="dxa"/>
            <w:vAlign w:val="bottom"/>
            <w:tcBorders>
              <w:top w:val="single" w:sz="8" w:color="E9FFFF"/>
            </w:tcBorders>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investing activities</w:t>
            </w:r>
          </w:p>
        </w:tc>
        <w:tc>
          <w:tcPr>
            <w:tcW w:w="1360" w:type="dxa"/>
            <w:vAlign w:val="bottom"/>
            <w:tcBorders>
              <w:top w:val="single" w:sz="8" w:color="auto"/>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1,436</w:t>
            </w:r>
          </w:p>
        </w:tc>
        <w:tc>
          <w:tcPr>
            <w:tcW w:w="340" w:type="dxa"/>
            <w:vAlign w:val="bottom"/>
            <w:tcBorders>
              <w:top w:val="single" w:sz="8" w:color="E9FFFF"/>
            </w:tcBorders>
            <w:shd w:val="clear" w:color="auto" w:fill="E9FFFF"/>
          </w:tcPr>
          <w:p>
            <w:pPr>
              <w:spacing w:after="0"/>
              <w:rPr>
                <w:sz w:val="17"/>
                <w:szCs w:val="17"/>
                <w:color w:val="auto"/>
              </w:rPr>
            </w:pPr>
          </w:p>
        </w:tc>
        <w:tc>
          <w:tcPr>
            <w:tcW w:w="1340" w:type="dxa"/>
            <w:vAlign w:val="bottom"/>
            <w:tcBorders>
              <w:top w:val="single" w:sz="8" w:color="auto"/>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(18,686)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10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Borrowings drawdowns</w:t>
            </w:r>
          </w:p>
        </w:tc>
        <w:tc>
          <w:tcPr>
            <w:tcW w:w="136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435,000</w:t>
            </w:r>
          </w:p>
        </w:tc>
        <w:tc>
          <w:tcPr>
            <w:tcW w:w="340" w:type="dxa"/>
            <w:vAlign w:val="bottom"/>
            <w:shd w:val="clear" w:color="auto" w:fill="E9FFFF"/>
          </w:tcPr>
          <w:p>
            <w:pPr>
              <w:spacing w:after="0"/>
              <w:rPr>
                <w:sz w:val="19"/>
                <w:szCs w:val="19"/>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479,984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Borrowings repayments</w:t>
            </w:r>
          </w:p>
        </w:tc>
        <w:tc>
          <w:tcPr>
            <w:tcW w:w="1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(430,085)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(521,880)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Payment of loan issuance costs</w:t>
            </w:r>
          </w:p>
        </w:tc>
        <w:tc>
          <w:tcPr>
            <w:tcW w:w="1700" w:type="dxa"/>
            <w:vAlign w:val="bottom"/>
            <w:gridSpan w:val="2"/>
            <w:shd w:val="clear" w:color="auto" w:fill="E9FFFF"/>
          </w:tcPr>
          <w:p>
            <w:pPr>
              <w:jc w:val="right"/>
              <w:ind w:right="199"/>
              <w:spacing w:after="0"/>
              <w:rPr>
                <w:sz w:val="20"/>
                <w:szCs w:val="20"/>
                <w:color w:val="auto"/>
              </w:rPr>
            </w:pPr>
            <w:r>
              <w:rPr>
                <w:rFonts w:ascii="Times New Roman" w:cs="Times New Roman" w:eastAsia="Times New Roman" w:hAnsi="Times New Roman"/>
                <w:sz w:val="16"/>
                <w:szCs w:val="16"/>
                <w:color w:val="auto"/>
              </w:rPr>
              <w:t>(5,185)</w:t>
            </w: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(6,914)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entering into interest rate swaps</w:t>
            </w:r>
          </w:p>
        </w:tc>
        <w:tc>
          <w:tcPr>
            <w:tcW w:w="17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Payments for interest rate swaps termination</w:t>
            </w:r>
          </w:p>
        </w:tc>
        <w:tc>
          <w:tcPr>
            <w:tcW w:w="1700" w:type="dxa"/>
            <w:vAlign w:val="bottom"/>
            <w:gridSpan w:val="2"/>
            <w:shd w:val="clear" w:color="auto" w:fill="E9FFFF"/>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(13,210)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issuances of general partner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3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810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Repurchases of common units</w:t>
            </w:r>
          </w:p>
        </w:tc>
        <w:tc>
          <w:tcPr>
            <w:tcW w:w="1700" w:type="dxa"/>
            <w:vAlign w:val="bottom"/>
            <w:gridSpan w:val="2"/>
            <w:shd w:val="clear" w:color="auto" w:fill="E9FFFF"/>
          </w:tcPr>
          <w:p>
            <w:pPr>
              <w:jc w:val="right"/>
              <w:ind w:right="199"/>
              <w:spacing w:after="0"/>
              <w:rPr>
                <w:sz w:val="20"/>
                <w:szCs w:val="20"/>
                <w:color w:val="auto"/>
              </w:rPr>
            </w:pPr>
            <w:r>
              <w:rPr>
                <w:rFonts w:ascii="Times New Roman" w:cs="Times New Roman" w:eastAsia="Times New Roman" w:hAnsi="Times New Roman"/>
                <w:sz w:val="16"/>
                <w:szCs w:val="16"/>
                <w:color w:val="auto"/>
              </w:rPr>
              <w:t>(20,030)</w:t>
            </w: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Payment of offering costs</w:t>
            </w:r>
          </w:p>
        </w:tc>
        <w:tc>
          <w:tcPr>
            <w:tcW w:w="1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(1,584)</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Cash distribution to GasLog in exchange for contribution of net assets</w:t>
            </w:r>
          </w:p>
        </w:tc>
        <w:tc>
          <w:tcPr>
            <w:tcW w:w="1700" w:type="dxa"/>
            <w:vAlign w:val="bottom"/>
            <w:gridSpan w:val="2"/>
            <w:shd w:val="clear" w:color="auto" w:fill="E9FFFF"/>
          </w:tcPr>
          <w:p>
            <w:pPr>
              <w:jc w:val="right"/>
              <w:ind w:right="199"/>
              <w:spacing w:after="0"/>
              <w:rPr>
                <w:sz w:val="20"/>
                <w:szCs w:val="20"/>
                <w:color w:val="auto"/>
              </w:rPr>
            </w:pPr>
            <w:r>
              <w:rPr>
                <w:rFonts w:ascii="Times New Roman" w:cs="Times New Roman" w:eastAsia="Times New Roman" w:hAnsi="Times New Roman"/>
                <w:sz w:val="16"/>
                <w:szCs w:val="16"/>
                <w:color w:val="auto"/>
              </w:rPr>
              <w:t>(93,646)</w:t>
            </w: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paid</w:t>
            </w:r>
          </w:p>
        </w:tc>
        <w:tc>
          <w:tcPr>
            <w:tcW w:w="1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(103,934)</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Payments for lease liabilities</w:t>
            </w:r>
          </w:p>
        </w:tc>
        <w:tc>
          <w:tcPr>
            <w:tcW w:w="1700" w:type="dxa"/>
            <w:vAlign w:val="bottom"/>
            <w:gridSpan w:val="2"/>
            <w:shd w:val="clear" w:color="auto" w:fill="E9FFFF"/>
          </w:tcPr>
          <w:p>
            <w:pPr>
              <w:jc w:val="right"/>
              <w:ind w:right="199"/>
              <w:spacing w:after="0"/>
              <w:rPr>
                <w:sz w:val="20"/>
                <w:szCs w:val="20"/>
                <w:color w:val="auto"/>
              </w:rPr>
            </w:pPr>
            <w:r>
              <w:rPr>
                <w:rFonts w:ascii="Times New Roman" w:cs="Times New Roman" w:eastAsia="Times New Roman" w:hAnsi="Times New Roman"/>
                <w:sz w:val="16"/>
                <w:szCs w:val="16"/>
                <w:color w:val="auto"/>
              </w:rPr>
              <w:t>(403)</w:t>
            </w: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00" w:type="dxa"/>
            <w:vAlign w:val="bottom"/>
            <w:tcBorders>
              <w:bottom w:val="single" w:sz="8" w:color="E9FF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(217,871)</w:t>
            </w:r>
          </w:p>
        </w:tc>
        <w:tc>
          <w:tcPr>
            <w:tcW w:w="340" w:type="dxa"/>
            <w:vAlign w:val="bottom"/>
            <w:tcBorders>
              <w:bottom w:val="single" w:sz="8" w:color="E9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(108,987)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Decrease in cash and cash equivalents</w:t>
            </w:r>
          </w:p>
        </w:tc>
        <w:tc>
          <w:tcPr>
            <w:tcW w:w="136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(67,547)</w:t>
            </w:r>
          </w:p>
        </w:tc>
        <w:tc>
          <w:tcPr>
            <w:tcW w:w="340" w:type="dxa"/>
            <w:vAlign w:val="bottom"/>
            <w:shd w:val="clear" w:color="auto" w:fill="E9FFFF"/>
          </w:tcPr>
          <w:p>
            <w:pPr>
              <w:spacing w:after="0"/>
              <w:rPr>
                <w:sz w:val="17"/>
                <w:szCs w:val="17"/>
                <w:color w:val="auto"/>
              </w:rPr>
            </w:pPr>
          </w:p>
        </w:tc>
        <w:tc>
          <w:tcPr>
            <w:tcW w:w="134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(17,923)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tcBorders>
              <w:bottom w:val="single" w:sz="8" w:color="E9FF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133,370</w:t>
            </w:r>
          </w:p>
        </w:tc>
        <w:tc>
          <w:tcPr>
            <w:tcW w:w="340" w:type="dxa"/>
            <w:vAlign w:val="bottom"/>
            <w:tcBorders>
              <w:bottom w:val="single" w:sz="8" w:color="E9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tcBorders>
              <w:bottom w:val="single" w:sz="8" w:color="E9FFFF"/>
            </w:tcBorders>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the period</w:t>
            </w:r>
          </w:p>
        </w:tc>
        <w:tc>
          <w:tcPr>
            <w:tcW w:w="136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65,823</w:t>
            </w:r>
          </w:p>
        </w:tc>
        <w:tc>
          <w:tcPr>
            <w:tcW w:w="340" w:type="dxa"/>
            <w:vAlign w:val="bottom"/>
            <w:tcBorders>
              <w:bottom w:val="single" w:sz="8" w:color="E9FFFF"/>
            </w:tcBorders>
            <w:shd w:val="clear" w:color="auto" w:fill="E9FFFF"/>
          </w:tcPr>
          <w:p>
            <w:pPr>
              <w:spacing w:after="0"/>
              <w:rPr>
                <w:sz w:val="17"/>
                <w:szCs w:val="17"/>
                <w:color w:val="auto"/>
              </w:rPr>
            </w:pPr>
          </w:p>
        </w:tc>
        <w:tc>
          <w:tcPr>
            <w:tcW w:w="134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78,961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7"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EBITDA is defined as earnings before financial income and costs, gain/loss on derivatives, taxes, depreciation and amortization. Adjusted EBITDA is defined as EBITDA before impairment loss on vessels and restructuring costs. Adjusted Profit represents earnings before (a) non-cash gain/loss on derivatives that includes unrealized gain/loss on derivatives held for trading, (b) write-off and accelerated amortization of unamortized loan fees, (c) impairment loss on vessels and (d) restructuring costs. Adjusted EPU, represents earnings attributable to unitholders before (a) non-cash gain/loss on derivatives that includes unrealized gain/loss on derivatives held for trading, (b) write-off and accelerated amortization of unamortized loan fees, (c) impairment loss on vessels and (d) restructuring costs. EBITDA, Adjusted EBITDA, Adjusted Profit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Adjusted Profit and Adjusted EPU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and restructuring costs and, in the case of Adjusted Profit and Adjusted EPU, non-cash gain/loss on derivatives, write-off and accelerated amortization of unamortized loan fees, impairment loss on vessels and restructuring costs, which items are affected by various and possibly changing financing methods, financial market conditions, general shipping market conditions, capital structure and historical cost basis and which items may significantly affect results of operations between periods. In the current three-month and nine-month periods, restructuring costs have been excluded from Adjusted EBITDA, Adjusted Profit and Adjusted EPU because restructuring costs represent charges reflecting specific actions taken by management to improve the Partnership’s future profitability and therefore are not considered representative of the underlying operations of the Partnership. In the current nine-month period, impairment loss has been excluded from Adjusted EBITDA, Adjusted Profit and Adjusted EPU because impairment loss on vessels represents the excess of their carrying amount over the amount that is expected to be recovered from them in the future and therefore is not considered representative of the underlying operations of the Partnership.</w:t>
      </w:r>
    </w:p>
    <w:p>
      <w:pPr>
        <w:spacing w:after="0" w:line="392"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6"/>
          <w:szCs w:val="16"/>
          <w:color w:val="auto"/>
        </w:rPr>
        <w:t>EBITDA, Adjusted EBITDA, Adjusted Profit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 EBITDA, Adjusted EBITDA, Adjusted Profit and Adjusted EPU are not adjusted for all non-cash income or expense items that are reflected in our statement of cash flows and other companies in our industry may calculate these measures differently to how we do, limiting their usefulness as comparative measures. EBITDA, Adjusted EBITDA, Adjusted Profit and Adjusted EPU exclude some, but not all, items that affect profit or loss and these measures may vary among other companies. Therefore, EBITDA, Adjusted EBITDA, Adjusted Profit and Adjusted EPU as presented herein may not be comparable to similarly titled measures of other companies. The following tables reconcile EBITDA, Adjusted EBITDA, Adjusted Profit and Adjusted EPU to Profit, the most directly comparable IFRS financial measure, for the periods presented.</w:t>
      </w:r>
    </w:p>
    <w:p>
      <w:pPr>
        <w:spacing w:after="0" w:line="19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6"/>
          <w:szCs w:val="16"/>
          <w:color w:val="auto"/>
        </w:rPr>
        <w:t>In evaluating EBITDA, Adjusted EBITDA, Adjusted Profit and Adjusted EPU you should be aware that in the future we may incur expenses that are the same as or similar to some of the adjustments in this presentation. Our presentation of EBITDA, Adjusted EBITDA, Adjusted Profit and Adjusted EPU should not be construed as an inference that our future results will be unaffected by the excluded items.</w:t>
      </w:r>
    </w:p>
    <w:p>
      <w:pPr>
        <w:sectPr>
          <w:pgSz w:w="11900" w:h="16838" w:orient="portrait"/>
          <w:cols w:equalWidth="0" w:num="1">
            <w:col w:w="11240"/>
          </w:cols>
          <w:pgMar w:left="320" w:top="907"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EBITDA and Adjusted EBITDA: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Profit for the period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costs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on derivatives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14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308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Pr>
          <w:p>
            <w:pPr>
              <w:spacing w:after="0"/>
              <w:rPr>
                <w:sz w:val="18"/>
                <w:szCs w:val="18"/>
                <w:color w:val="auto"/>
              </w:rPr>
            </w:pPr>
          </w:p>
        </w:tc>
      </w:tr>
      <w:tr>
        <w:trPr>
          <w:trHeight w:val="207"/>
        </w:trPr>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29,434</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11,866</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71,593</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34,248</w:t>
            </w:r>
          </w:p>
        </w:tc>
        <w:tc>
          <w:tcPr>
            <w:tcW w:w="40" w:type="dxa"/>
            <w:vAlign w:val="bottom"/>
          </w:tcPr>
          <w:p>
            <w:pPr>
              <w:spacing w:after="0"/>
              <w:rPr>
                <w:sz w:val="17"/>
                <w:szCs w:val="17"/>
                <w:color w:val="auto"/>
              </w:rPr>
            </w:pPr>
          </w:p>
        </w:tc>
      </w:tr>
      <w:tr>
        <w:trPr>
          <w:trHeight w:val="229"/>
        </w:trPr>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22,819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20,577</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66,826</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61,850</w:t>
            </w:r>
          </w:p>
        </w:tc>
      </w:tr>
      <w:tr>
        <w:trPr>
          <w:trHeight w:val="222"/>
        </w:trPr>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17,534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12,437</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55,650</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41,017</w:t>
            </w:r>
          </w:p>
        </w:tc>
      </w:tr>
      <w:tr>
        <w:trPr>
          <w:trHeight w:val="210"/>
        </w:trPr>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(393)</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30"/>
        </w:trPr>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2,385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990</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15,528</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14,741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-706755</wp:posOffset>
            </wp:positionV>
            <wp:extent cx="706374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3740" cy="1454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-415290</wp:posOffset>
            </wp:positionV>
            <wp:extent cx="706374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63740" cy="1460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-140970</wp:posOffset>
            </wp:positionV>
            <wp:extent cx="706374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6374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240" w:space="720"/>
            <w:col w:w="6280"/>
          </w:cols>
          <w:pgMar w:left="320" w:top="90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71,779</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45,861</w:t>
            </w:r>
          </w:p>
        </w:tc>
        <w:tc>
          <w:tcPr>
            <w:tcW w:w="10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208,039</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151,571</w:t>
            </w:r>
          </w:p>
        </w:tc>
        <w:tc>
          <w:tcPr>
            <w:tcW w:w="0" w:type="dxa"/>
            <w:vAlign w:val="bottom"/>
          </w:tcPr>
          <w:p>
            <w:pPr>
              <w:spacing w:after="0"/>
              <w:rPr>
                <w:sz w:val="1"/>
                <w:szCs w:val="1"/>
                <w:color w:val="auto"/>
              </w:rPr>
            </w:pPr>
          </w:p>
        </w:tc>
      </w:tr>
      <w:tr>
        <w:trPr>
          <w:trHeight w:val="209"/>
        </w:trPr>
        <w:tc>
          <w:tcPr>
            <w:tcW w:w="49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4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18,841</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942</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0" w:type="dxa"/>
            <w:vAlign w:val="bottom"/>
          </w:tcPr>
          <w:p>
            <w:pPr>
              <w:spacing w:after="0"/>
              <w:rPr>
                <w:sz w:val="1"/>
                <w:szCs w:val="1"/>
                <w:color w:val="auto"/>
              </w:rPr>
            </w:pPr>
          </w:p>
        </w:tc>
      </w:tr>
      <w:tr>
        <w:trPr>
          <w:trHeight w:val="202"/>
        </w:trPr>
        <w:tc>
          <w:tcPr>
            <w:tcW w:w="496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71,779</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46,803</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208,039</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171,586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Adjusted Profit: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Profit for the year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Non-cash loss/(gain) on derivatives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Write-off and accelerated amortization of unamortized loan fees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Impairment loss on vessels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Restructuring costs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Adjusted Profit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Profit to EPU and Adjusted EPU:</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Profit for the period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314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306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186"/>
        </w:trPr>
        <w:tc>
          <w:tcPr>
            <w:tcW w:w="15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c>
          <w:tcPr>
            <w:tcW w:w="158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6"/>
                <w:szCs w:val="16"/>
                <w:color w:val="auto"/>
              </w:rPr>
            </w:pPr>
          </w:p>
        </w:tc>
      </w:tr>
      <w:tr>
        <w:trPr>
          <w:trHeight w:val="215"/>
        </w:trPr>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r>
      <w:tr>
        <w:trPr>
          <w:trHeight w:val="207"/>
        </w:trPr>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29,434</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11,866</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71,593</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34,248</w:t>
            </w:r>
          </w:p>
        </w:tc>
        <w:tc>
          <w:tcPr>
            <w:tcW w:w="20" w:type="dxa"/>
            <w:vAlign w:val="bottom"/>
          </w:tcPr>
          <w:p>
            <w:pPr>
              <w:spacing w:after="0"/>
              <w:rPr>
                <w:sz w:val="17"/>
                <w:szCs w:val="17"/>
                <w:color w:val="auto"/>
              </w:rPr>
            </w:pPr>
          </w:p>
        </w:tc>
      </w:tr>
      <w:tr>
        <w:trPr>
          <w:trHeight w:val="229"/>
        </w:trPr>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2,445</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(1,882)</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16,698</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10,335</w:t>
            </w:r>
          </w:p>
        </w:tc>
      </w:tr>
      <w:tr>
        <w:trPr>
          <w:trHeight w:val="230"/>
        </w:trPr>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1,918</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988</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1,918</w:t>
            </w:r>
          </w:p>
        </w:tc>
      </w:tr>
      <w:tr>
        <w:trPr>
          <w:trHeight w:val="229"/>
        </w:trPr>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18,841</w:t>
            </w:r>
          </w:p>
        </w:tc>
      </w:tr>
      <w:tr>
        <w:trPr>
          <w:trHeight w:val="229"/>
        </w:trPr>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942</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1,174</w:t>
            </w:r>
          </w:p>
        </w:tc>
      </w:tr>
      <w:tr>
        <w:trPr>
          <w:trHeight w:val="202"/>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31,879</w:t>
            </w:r>
          </w:p>
        </w:tc>
        <w:tc>
          <w:tcPr>
            <w:tcW w:w="10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12,844</w:t>
            </w:r>
          </w:p>
        </w:tc>
        <w:tc>
          <w:tcPr>
            <w:tcW w:w="10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89,279</w:t>
            </w:r>
          </w:p>
        </w:tc>
        <w:tc>
          <w:tcPr>
            <w:tcW w:w="120" w:type="dxa"/>
            <w:vAlign w:val="bottom"/>
          </w:tcPr>
          <w:p>
            <w:pPr>
              <w:spacing w:after="0"/>
              <w:rPr>
                <w:sz w:val="17"/>
                <w:szCs w:val="17"/>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66,516</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-890905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-599440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-307975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4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3060" w:type="dxa"/>
            <w:vAlign w:val="bottom"/>
            <w:gridSpan w:val="4"/>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33"/>
        </w:trPr>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tcPr>
          <w:p>
            <w:pPr>
              <w:jc w:val="right"/>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vMerge w:val="continue"/>
          </w:tcPr>
          <w:p>
            <w:pPr>
              <w:spacing w:after="0"/>
              <w:rPr>
                <w:sz w:val="15"/>
                <w:szCs w:val="15"/>
                <w:color w:val="auto"/>
              </w:rPr>
            </w:pPr>
          </w:p>
        </w:tc>
        <w:tc>
          <w:tcPr>
            <w:tcW w:w="158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tcPr>
          <w:p>
            <w:pPr>
              <w:jc w:val="right"/>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29,434</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11,866</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71,593</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-142875</wp:posOffset>
            </wp:positionV>
            <wp:extent cx="706374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63740" cy="145415"/>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2">
            <w:col w:w="4240" w:space="720"/>
            <w:col w:w="6220"/>
          </w:cols>
          <w:pgMar w:left="320" w:top="907" w:right="399" w:bottom="420" w:gutter="0" w:footer="0" w:header="0"/>
        </w:sectPr>
      </w:pPr>
    </w:p>
    <w:tbl>
      <w:tblPr>
        <w:tblLayout w:type="fixed"/>
        <w:tblInd w:w="0" w:type="dxa"/>
        <w:tblCellMar>
          <w:top w:w="0" w:type="dxa"/>
          <w:left w:w="0" w:type="dxa"/>
          <w:bottom w:w="0" w:type="dxa"/>
          <w:right w:w="0" w:type="dxa"/>
        </w:tblCellMar>
      </w:tblPr>
      <w:tr>
        <w:trPr>
          <w:trHeight w:val="215"/>
        </w:trPr>
        <w:tc>
          <w:tcPr>
            <w:tcW w:w="4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 attributable to GasLog’s operations</w:t>
            </w:r>
          </w:p>
        </w:tc>
        <w:tc>
          <w:tcPr>
            <w:tcW w:w="15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(2,650)</w:t>
            </w: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Profit attributable to Partnership’s operations</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29,434</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11,866</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68,943</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Adjustment for:</w:t>
            </w:r>
          </w:p>
        </w:tc>
        <w:tc>
          <w:tcPr>
            <w:tcW w:w="14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4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4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460" w:type="dxa"/>
            <w:vAlign w:val="bottom"/>
            <w:shd w:val="clear" w:color="auto" w:fill="E5FF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Paid and accrued preference unit distributions</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(7,582)</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(7,582)</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(22,746)</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Partnership’s profit attributable to:</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21,852</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4,284</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46,197</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11,502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60" w:type="dxa"/>
            <w:vAlign w:val="bottom"/>
            <w:vMerge w:val="continue"/>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21,388</w:t>
            </w:r>
          </w:p>
        </w:tc>
        <w:tc>
          <w:tcPr>
            <w:tcW w:w="100" w:type="dxa"/>
            <w:vAlign w:val="bottom"/>
            <w:vMerge w:val="continue"/>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100" w:type="dxa"/>
            <w:vAlign w:val="bottom"/>
            <w:vMerge w:val="continue"/>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45,246</w:t>
            </w:r>
          </w:p>
        </w:tc>
        <w:tc>
          <w:tcPr>
            <w:tcW w:w="120" w:type="dxa"/>
            <w:vAlign w:val="bottom"/>
            <w:vMerge w:val="continue"/>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5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464</w:t>
            </w:r>
          </w:p>
        </w:tc>
        <w:tc>
          <w:tcPr>
            <w:tcW w:w="15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91</w:t>
            </w:r>
          </w:p>
        </w:tc>
        <w:tc>
          <w:tcPr>
            <w:tcW w:w="15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951</w:t>
            </w: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Incentive distribution rights</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2"/>
          </w:tcPr>
          <w:p>
            <w:pPr>
              <w:ind w:left="1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2"/>
        </w:trPr>
        <w:tc>
          <w:tcPr>
            <w:tcW w:w="4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Weighted average units outstanding (basic)</w:t>
            </w:r>
          </w:p>
        </w:tc>
        <w:tc>
          <w:tcPr>
            <w:tcW w:w="14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4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4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460" w:type="dxa"/>
            <w:vAlign w:val="bottom"/>
            <w:shd w:val="clear" w:color="auto" w:fill="E5FF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47,325,212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47,167,488</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46,031,861</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46,882,894</w:t>
            </w:r>
          </w:p>
        </w:tc>
        <w:tc>
          <w:tcPr>
            <w:tcW w:w="0" w:type="dxa"/>
            <w:vAlign w:val="bottom"/>
          </w:tcPr>
          <w:p>
            <w:pPr>
              <w:spacing w:after="0"/>
              <w:rPr>
                <w:sz w:val="1"/>
                <w:szCs w:val="1"/>
                <w:color w:val="auto"/>
              </w:rPr>
            </w:pPr>
          </w:p>
        </w:tc>
      </w:tr>
      <w:tr>
        <w:trPr>
          <w:trHeight w:val="233"/>
        </w:trPr>
        <w:tc>
          <w:tcPr>
            <w:tcW w:w="4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5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1,021,336</w:t>
            </w:r>
          </w:p>
        </w:tc>
        <w:tc>
          <w:tcPr>
            <w:tcW w:w="15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1,021,336</w:t>
            </w:r>
          </w:p>
        </w:tc>
        <w:tc>
          <w:tcPr>
            <w:tcW w:w="15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960,095</w:t>
            </w: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1,021,336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EPU (basic)</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1900" w:h="16838" w:orient="portrait"/>
          <w:cols w:equalWidth="0" w:num="1">
            <w:col w:w="11180"/>
          </w:cols>
          <w:pgMar w:left="320" w:top="907" w:right="399" w:bottom="42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Common units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Profit for the period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Less: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Profit attributable to GasLog’s operations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Profit attributable to Partnership’s operations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Adjustment for:</w:t>
      </w:r>
    </w:p>
    <w:p>
      <w:pPr>
        <w:spacing w:after="0" w:line="26" w:lineRule="exact"/>
        <w:rPr>
          <w:sz w:val="20"/>
          <w:szCs w:val="20"/>
          <w:color w:val="auto"/>
        </w:rPr>
      </w:pPr>
    </w:p>
    <w:p>
      <w:pPr>
        <w:ind w:right="1160"/>
        <w:spacing w:after="0" w:line="285" w:lineRule="auto"/>
        <w:rPr>
          <w:sz w:val="20"/>
          <w:szCs w:val="20"/>
          <w:color w:val="auto"/>
        </w:rPr>
      </w:pPr>
      <w:r>
        <w:rPr>
          <w:rFonts w:ascii="Times New Roman" w:cs="Times New Roman" w:eastAsia="Times New Roman" w:hAnsi="Times New Roman"/>
          <w:sz w:val="16"/>
          <w:szCs w:val="16"/>
          <w:color w:val="auto"/>
        </w:rPr>
        <w:t xml:space="preserve">Paid and accrued preference unit distributions </w:t>
      </w:r>
      <w:r>
        <w:rPr>
          <w:rFonts w:ascii="Times New Roman" w:cs="Times New Roman" w:eastAsia="Times New Roman" w:hAnsi="Times New Roman"/>
          <w:sz w:val="16"/>
          <w:szCs w:val="16"/>
          <w:b w:val="1"/>
          <w:bCs w:val="1"/>
          <w:color w:val="auto"/>
        </w:rPr>
        <w:t>Partnership’s profit used in EPU calculation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Non-cash loss/(gain) on derivatives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Write-off and accelerated amortization of unamortized loan fees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Impairment loss on vessels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Restructuring costs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0.45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0.09</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0.98</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0.45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0.09</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0.99</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314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3080" w:type="dxa"/>
            <w:vAlign w:val="bottom"/>
            <w:gridSpan w:val="5"/>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33"/>
        </w:trPr>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58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tcPr>
          <w:p>
            <w:pPr>
              <w:jc w:val="right"/>
              <w:ind w:right="159"/>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vMerge w:val="continue"/>
          </w:tcPr>
          <w:p>
            <w:pPr>
              <w:spacing w:after="0"/>
              <w:rPr>
                <w:sz w:val="15"/>
                <w:szCs w:val="15"/>
                <w:color w:val="auto"/>
              </w:rPr>
            </w:pPr>
          </w:p>
        </w:tc>
        <w:tc>
          <w:tcPr>
            <w:tcW w:w="158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tcPr>
          <w:p>
            <w:pPr>
              <w:jc w:val="right"/>
              <w:ind w:right="179"/>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29,434</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11,866</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71,593</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34,248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(2,650)</w:t>
            </w: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29,434</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11,866</w:t>
            </w:r>
          </w:p>
        </w:tc>
        <w:tc>
          <w:tcPr>
            <w:tcW w:w="10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68,943</w:t>
            </w:r>
          </w:p>
        </w:tc>
        <w:tc>
          <w:tcPr>
            <w:tcW w:w="12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34,248</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(7,582)</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(7,582)</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(22,746)</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(22,746)</w:t>
            </w:r>
          </w:p>
        </w:tc>
        <w:tc>
          <w:tcPr>
            <w:tcW w:w="0" w:type="dxa"/>
            <w:vAlign w:val="bottom"/>
          </w:tcPr>
          <w:p>
            <w:pPr>
              <w:spacing w:after="0"/>
              <w:rPr>
                <w:sz w:val="1"/>
                <w:szCs w:val="1"/>
                <w:color w:val="auto"/>
              </w:rPr>
            </w:pPr>
          </w:p>
        </w:tc>
      </w:tr>
      <w:tr>
        <w:trPr>
          <w:trHeight w:val="211"/>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21,852</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4,284</w:t>
            </w:r>
          </w:p>
        </w:tc>
        <w:tc>
          <w:tcPr>
            <w:tcW w:w="1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46,197</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16,698</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1,918</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988</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942</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-2541270</wp:posOffset>
            </wp:positionV>
            <wp:extent cx="706374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3740" cy="1454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-1581150</wp:posOffset>
            </wp:positionV>
            <wp:extent cx="706374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63740" cy="1460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-1289685</wp:posOffset>
            </wp:positionV>
            <wp:extent cx="706374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63740" cy="1454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-998220</wp:posOffset>
            </wp:positionV>
            <wp:extent cx="706374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63740" cy="14605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-723900</wp:posOffset>
            </wp:positionV>
            <wp:extent cx="706374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63740" cy="1454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-432435</wp:posOffset>
            </wp:positionV>
            <wp:extent cx="706374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63740" cy="14541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-140970</wp:posOffset>
            </wp:positionV>
            <wp:extent cx="706374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6374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240" w:space="720"/>
            <w:col w:w="6220"/>
          </w:cols>
          <w:pgMar w:left="320" w:top="907" w:right="399" w:bottom="42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9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22"/>
        </w:trPr>
        <w:tc>
          <w:tcPr>
            <w:tcW w:w="49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Adjusted Partnership’s profit used in EPU calculation attributable to:</w:t>
            </w:r>
          </w:p>
        </w:tc>
        <w:tc>
          <w:tcPr>
            <w:tcW w:w="14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24,297</w:t>
            </w:r>
          </w:p>
        </w:tc>
        <w:tc>
          <w:tcPr>
            <w:tcW w:w="100" w:type="dxa"/>
            <w:vAlign w:val="bottom"/>
          </w:tcPr>
          <w:p>
            <w:pPr>
              <w:spacing w:after="0"/>
              <w:rPr>
                <w:sz w:val="19"/>
                <w:szCs w:val="19"/>
                <w:color w:val="auto"/>
              </w:rPr>
            </w:pPr>
          </w:p>
        </w:tc>
        <w:tc>
          <w:tcPr>
            <w:tcW w:w="14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5,262</w:t>
            </w:r>
          </w:p>
        </w:tc>
        <w:tc>
          <w:tcPr>
            <w:tcW w:w="100" w:type="dxa"/>
            <w:vAlign w:val="bottom"/>
          </w:tcPr>
          <w:p>
            <w:pPr>
              <w:spacing w:after="0"/>
              <w:rPr>
                <w:sz w:val="19"/>
                <w:szCs w:val="19"/>
                <w:color w:val="auto"/>
              </w:rPr>
            </w:pPr>
          </w:p>
        </w:tc>
        <w:tc>
          <w:tcPr>
            <w:tcW w:w="1580" w:type="dxa"/>
            <w:vAlign w:val="bottom"/>
            <w:gridSpan w:val="2"/>
          </w:tcPr>
          <w:p>
            <w:pPr>
              <w:jc w:val="right"/>
              <w:ind w:right="120"/>
              <w:spacing w:after="0" w:line="182" w:lineRule="exact"/>
              <w:rPr>
                <w:sz w:val="20"/>
                <w:szCs w:val="20"/>
                <w:color w:val="auto"/>
              </w:rPr>
            </w:pPr>
            <w:r>
              <w:rPr>
                <w:rFonts w:ascii="Times New Roman" w:cs="Times New Roman" w:eastAsia="Times New Roman" w:hAnsi="Times New Roman"/>
                <w:sz w:val="16"/>
                <w:szCs w:val="16"/>
                <w:b w:val="1"/>
                <w:bCs w:val="1"/>
                <w:color w:val="auto"/>
              </w:rPr>
              <w:t>63,883</w:t>
            </w:r>
          </w:p>
        </w:tc>
        <w:tc>
          <w:tcPr>
            <w:tcW w:w="14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43,770</w:t>
            </w:r>
          </w:p>
        </w:tc>
      </w:tr>
      <w:tr>
        <w:trPr>
          <w:trHeight w:val="183"/>
        </w:trPr>
        <w:tc>
          <w:tcPr>
            <w:tcW w:w="4960" w:type="dxa"/>
            <w:vAlign w:val="bottom"/>
            <w:tcBorders>
              <w:top w:val="single" w:sz="8" w:color="E5FFFF"/>
            </w:tcBorders>
            <w:shd w:val="clear" w:color="auto" w:fill="E5FFFF"/>
          </w:tcPr>
          <w:p>
            <w:pPr>
              <w:spacing w:after="0" w:line="171" w:lineRule="exact"/>
              <w:rPr>
                <w:sz w:val="20"/>
                <w:szCs w:val="20"/>
                <w:color w:val="auto"/>
              </w:rPr>
            </w:pPr>
            <w:r>
              <w:rPr>
                <w:rFonts w:ascii="Times New Roman" w:cs="Times New Roman" w:eastAsia="Times New Roman" w:hAnsi="Times New Roman"/>
                <w:sz w:val="16"/>
                <w:szCs w:val="16"/>
                <w:color w:val="auto"/>
              </w:rPr>
              <w:t>Common units</w:t>
            </w:r>
          </w:p>
        </w:tc>
        <w:tc>
          <w:tcPr>
            <w:tcW w:w="14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23,781</w:t>
            </w:r>
          </w:p>
        </w:tc>
        <w:tc>
          <w:tcPr>
            <w:tcW w:w="100" w:type="dxa"/>
            <w:vAlign w:val="bottom"/>
            <w:tcBorders>
              <w:top w:val="single" w:sz="8" w:color="E5FFFF"/>
            </w:tcBorders>
            <w:shd w:val="clear" w:color="auto" w:fill="E5FFFF"/>
          </w:tcPr>
          <w:p>
            <w:pPr>
              <w:spacing w:after="0"/>
              <w:rPr>
                <w:sz w:val="15"/>
                <w:szCs w:val="15"/>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5,150</w:t>
            </w:r>
          </w:p>
        </w:tc>
        <w:tc>
          <w:tcPr>
            <w:tcW w:w="100" w:type="dxa"/>
            <w:vAlign w:val="bottom"/>
            <w:tcBorders>
              <w:top w:val="single" w:sz="8" w:color="E5FFFF"/>
            </w:tcBorders>
            <w:shd w:val="clear" w:color="auto" w:fill="E5FFFF"/>
          </w:tcPr>
          <w:p>
            <w:pPr>
              <w:spacing w:after="0"/>
              <w:rPr>
                <w:sz w:val="15"/>
                <w:szCs w:val="15"/>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62,576</w:t>
            </w:r>
          </w:p>
        </w:tc>
        <w:tc>
          <w:tcPr>
            <w:tcW w:w="120" w:type="dxa"/>
            <w:vAlign w:val="bottom"/>
            <w:tcBorders>
              <w:top w:val="single" w:sz="8" w:color="E5FFFF"/>
            </w:tcBorders>
            <w:shd w:val="clear" w:color="auto" w:fill="E5FFFF"/>
          </w:tcPr>
          <w:p>
            <w:pPr>
              <w:spacing w:after="0"/>
              <w:rPr>
                <w:sz w:val="15"/>
                <w:szCs w:val="15"/>
                <w:color w:val="auto"/>
              </w:rPr>
            </w:pPr>
          </w:p>
        </w:tc>
        <w:tc>
          <w:tcPr>
            <w:tcW w:w="14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42,832</w:t>
            </w:r>
          </w:p>
        </w:tc>
      </w:t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1,307</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r>
      <w:tr>
        <w:trPr>
          <w:trHeight w:val="232"/>
        </w:trPr>
        <w:tc>
          <w:tcPr>
            <w:tcW w:w="4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Incentive distribution rights</w:t>
            </w:r>
          </w:p>
        </w:tc>
        <w:tc>
          <w:tcPr>
            <w:tcW w:w="1580" w:type="dxa"/>
            <w:vAlign w:val="bottom"/>
            <w:gridSpan w:val="2"/>
            <w:shd w:val="clear" w:color="auto" w:fill="E5FFFF"/>
          </w:tcPr>
          <w:p>
            <w:pPr>
              <w:ind w:left="1200"/>
              <w:spacing w:after="0"/>
              <w:rPr>
                <w:sz w:val="20"/>
                <w:szCs w:val="20"/>
                <w:color w:val="auto"/>
              </w:rPr>
            </w:pPr>
            <w:r>
              <w:rPr>
                <w:rFonts w:ascii="Times New Roman" w:cs="Times New Roman" w:eastAsia="Times New Roman" w:hAnsi="Times New Roman"/>
                <w:sz w:val="16"/>
                <w:szCs w:val="16"/>
                <w:color w:val="auto"/>
              </w:rPr>
              <w:t>N/A</w:t>
            </w:r>
          </w:p>
        </w:tc>
        <w:tc>
          <w:tcPr>
            <w:tcW w:w="15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15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21"/>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units outstanding (basic)</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8"/>
        </w:trPr>
        <w:tc>
          <w:tcPr>
            <w:tcW w:w="4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5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47,325,212</w:t>
            </w:r>
          </w:p>
        </w:tc>
        <w:tc>
          <w:tcPr>
            <w:tcW w:w="15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47,167,488</w:t>
            </w:r>
          </w:p>
        </w:tc>
        <w:tc>
          <w:tcPr>
            <w:tcW w:w="15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46,031,861</w:t>
            </w: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46,882,894</w:t>
            </w:r>
          </w:p>
        </w:tc>
      </w:tr>
      <w:tr>
        <w:trPr>
          <w:trHeight w:val="226"/>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1,021,336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1,021,336</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960,095</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1,021,336</w:t>
            </w:r>
          </w:p>
        </w:tc>
      </w:tr>
      <w:tr>
        <w:trPr>
          <w:trHeight w:val="233"/>
        </w:trPr>
        <w:tc>
          <w:tcPr>
            <w:tcW w:w="4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Adjusted EPU (basic)</w:t>
            </w:r>
          </w:p>
        </w:tc>
        <w:tc>
          <w:tcPr>
            <w:tcW w:w="14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46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46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460" w:type="dxa"/>
            <w:vAlign w:val="bottom"/>
            <w:shd w:val="clear" w:color="auto" w:fill="E5FFFF"/>
          </w:tcPr>
          <w:p>
            <w:pPr>
              <w:spacing w:after="0"/>
              <w:rPr>
                <w:sz w:val="20"/>
                <w:szCs w:val="20"/>
                <w:color w:val="auto"/>
              </w:rPr>
            </w:pPr>
          </w:p>
        </w:tc>
      </w:tr>
      <w:tr>
        <w:trPr>
          <w:trHeight w:val="226"/>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Common units</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0.11</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1.36</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0.91</w:t>
            </w:r>
          </w:p>
        </w:tc>
      </w:tr>
      <w:tr>
        <w:trPr>
          <w:trHeight w:val="233"/>
        </w:trPr>
        <w:tc>
          <w:tcPr>
            <w:tcW w:w="49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partner units</w:t>
            </w:r>
          </w:p>
        </w:tc>
        <w:tc>
          <w:tcPr>
            <w:tcW w:w="15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0.51</w:t>
            </w:r>
          </w:p>
        </w:tc>
        <w:tc>
          <w:tcPr>
            <w:tcW w:w="15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0.11</w:t>
            </w:r>
          </w:p>
        </w:tc>
        <w:tc>
          <w:tcPr>
            <w:tcW w:w="15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1.36</w:t>
            </w:r>
          </w:p>
        </w:tc>
        <w:tc>
          <w:tcPr>
            <w:tcW w:w="14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0.92</w:t>
            </w:r>
          </w:p>
        </w:tc>
      </w:tr>
    </w:tbl>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7" w:right="399" w:bottom="42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Distributable Cash Flow</w:t>
      </w:r>
    </w:p>
    <w:p>
      <w:pPr>
        <w:spacing w:after="0" w:line="23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Distributable cash flow means Adjusted EBITDA, on the basis of the profit attributable to Partnership’s operations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(as calculated above), after considering financial costs for the period, including realized loss on derivatives (interest rate swaps and forward foreign exchange contracts) and excluding amortization of loan fees, lease expense, estimated dry-docking and replacement capital reserves established by the Partnership and accrued distributions on preference units, whether or not declared. Estimated dry-docking and replacement capital reserves represent capital expenditures required to renew and maintain over the long-term the operating capacity of, or the revenues generated by, our capital assets. Distributable cash flow, which is a non-GAAP financial measure, is a quantitative standard used by investors in publicly traded partnerships to assess their ability to make quarterly cash distributions. Our calculation of Distributable cash flow may not be comparable to that reported by other companies. Distributable cash flow has limitations as an analytical tool and should not be considered as an alternative to, or substitute for, or superior to, profit or loss, profit or loss from operations, earnings per unit or any other measure of operating performance presented in accordance with IFRS. The table below reconciles Distributable cash flow to Profit for the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Distributable Cash Flow to Profit: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expressed in thousands of U.S.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80" w:type="dxa"/>
            <w:vAlign w:val="bottom"/>
          </w:tcPr>
          <w:p>
            <w:pPr>
              <w:spacing w:after="0"/>
              <w:rPr>
                <w:sz w:val="19"/>
                <w:szCs w:val="19"/>
                <w:color w:val="auto"/>
              </w:rPr>
            </w:pPr>
          </w:p>
        </w:tc>
        <w:tc>
          <w:tcPr>
            <w:tcW w:w="4020" w:type="dxa"/>
            <w:vAlign w:val="bottom"/>
            <w:gridSpan w:val="4"/>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900" w:type="dxa"/>
            <w:vAlign w:val="bottom"/>
            <w:gridSpan w:val="4"/>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75"/>
        </w:trPr>
        <w:tc>
          <w:tcPr>
            <w:tcW w:w="3280" w:type="dxa"/>
            <w:vAlign w:val="bottom"/>
          </w:tcPr>
          <w:p>
            <w:pPr>
              <w:spacing w:after="0"/>
              <w:rPr>
                <w:sz w:val="23"/>
                <w:szCs w:val="23"/>
                <w:color w:val="auto"/>
              </w:rPr>
            </w:pPr>
          </w:p>
        </w:tc>
        <w:tc>
          <w:tcPr>
            <w:tcW w:w="19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060" w:type="dxa"/>
            <w:vAlign w:val="bottom"/>
            <w:gridSpan w:val="2"/>
          </w:tcPr>
          <w:p>
            <w:pPr>
              <w:jc w:val="right"/>
              <w:ind w:right="221"/>
              <w:spacing w:after="0" w:line="276" w:lineRule="exact"/>
              <w:rPr>
                <w:sz w:val="20"/>
                <w:szCs w:val="20"/>
                <w:color w:val="auto"/>
              </w:rPr>
            </w:pPr>
            <w:r>
              <w:rPr>
                <w:rFonts w:ascii="Times New Roman" w:cs="Times New Roman" w:eastAsia="Times New Roman" w:hAnsi="Times New Roman"/>
                <w:sz w:val="18"/>
                <w:szCs w:val="18"/>
                <w:b w:val="1"/>
                <w:bCs w:val="1"/>
                <w:color w:val="auto"/>
              </w:rPr>
              <w:t>September 30, 2020</w:t>
            </w:r>
            <w:r>
              <w:rPr>
                <w:rFonts w:ascii="Times New Roman" w:cs="Times New Roman" w:eastAsia="Times New Roman" w:hAnsi="Times New Roman"/>
                <w:sz w:val="29"/>
                <w:szCs w:val="29"/>
                <w:b w:val="1"/>
                <w:bCs w:val="1"/>
                <w:color w:val="auto"/>
                <w:vertAlign w:val="superscript"/>
              </w:rPr>
              <w:t>(4)</w:t>
            </w:r>
          </w:p>
        </w:tc>
        <w:tc>
          <w:tcPr>
            <w:tcW w:w="1960" w:type="dxa"/>
            <w:vAlign w:val="bottom"/>
            <w:gridSpan w:val="2"/>
          </w:tcPr>
          <w:p>
            <w:pPr>
              <w:jc w:val="right"/>
              <w:ind w:right="161"/>
              <w:spacing w:after="0" w:line="276" w:lineRule="exact"/>
              <w:rPr>
                <w:sz w:val="20"/>
                <w:szCs w:val="20"/>
                <w:color w:val="auto"/>
              </w:rPr>
            </w:pPr>
            <w:r>
              <w:rPr>
                <w:rFonts w:ascii="Times New Roman" w:cs="Times New Roman" w:eastAsia="Times New Roman" w:hAnsi="Times New Roman"/>
                <w:sz w:val="18"/>
                <w:szCs w:val="18"/>
                <w:b w:val="1"/>
                <w:bCs w:val="1"/>
                <w:color w:val="auto"/>
                <w:w w:val="98"/>
              </w:rPr>
              <w:t>September 30, 2019</w:t>
            </w:r>
            <w:r>
              <w:rPr>
                <w:rFonts w:ascii="Times New Roman" w:cs="Times New Roman" w:eastAsia="Times New Roman" w:hAnsi="Times New Roman"/>
                <w:sz w:val="29"/>
                <w:szCs w:val="29"/>
                <w:b w:val="1"/>
                <w:bCs w:val="1"/>
                <w:color w:val="auto"/>
                <w:w w:val="98"/>
                <w:vertAlign w:val="superscript"/>
              </w:rPr>
              <w:t>(1)</w:t>
            </w:r>
          </w:p>
        </w:tc>
        <w:tc>
          <w:tcPr>
            <w:tcW w:w="1940" w:type="dxa"/>
            <w:vAlign w:val="bottom"/>
            <w:gridSpan w:val="2"/>
          </w:tcPr>
          <w:p>
            <w:pPr>
              <w:jc w:val="right"/>
              <w:ind w:right="81"/>
              <w:spacing w:after="0" w:line="276" w:lineRule="exact"/>
              <w:rPr>
                <w:sz w:val="20"/>
                <w:szCs w:val="20"/>
                <w:color w:val="auto"/>
              </w:rPr>
            </w:pPr>
            <w:r>
              <w:rPr>
                <w:rFonts w:ascii="Times New Roman" w:cs="Times New Roman" w:eastAsia="Times New Roman" w:hAnsi="Times New Roman"/>
                <w:sz w:val="18"/>
                <w:szCs w:val="18"/>
                <w:b w:val="1"/>
                <w:bCs w:val="1"/>
                <w:color w:val="auto"/>
              </w:rPr>
              <w:t>September 30, 2020</w:t>
            </w:r>
            <w:r>
              <w:rPr>
                <w:rFonts w:ascii="Times New Roman" w:cs="Times New Roman" w:eastAsia="Times New Roman" w:hAnsi="Times New Roman"/>
                <w:sz w:val="29"/>
                <w:szCs w:val="29"/>
                <w:b w:val="1"/>
                <w:bCs w:val="1"/>
                <w:color w:val="auto"/>
                <w:vertAlign w:val="superscript"/>
              </w:rPr>
              <w:t>(4)</w:t>
            </w:r>
          </w:p>
        </w:tc>
        <w:tc>
          <w:tcPr>
            <w:tcW w:w="0" w:type="dxa"/>
            <w:vAlign w:val="bottom"/>
          </w:tcPr>
          <w:p>
            <w:pPr>
              <w:spacing w:after="0"/>
              <w:rPr>
                <w:sz w:val="1"/>
                <w:szCs w:val="1"/>
                <w:color w:val="auto"/>
              </w:rPr>
            </w:pPr>
          </w:p>
        </w:tc>
      </w:tr>
      <w:tr>
        <w:trPr>
          <w:trHeight w:val="209"/>
        </w:trPr>
        <w:tc>
          <w:tcPr>
            <w:tcW w:w="32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7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29,434</w:t>
            </w:r>
          </w:p>
        </w:tc>
        <w:tc>
          <w:tcPr>
            <w:tcW w:w="220" w:type="dxa"/>
            <w:vAlign w:val="bottom"/>
            <w:tcBorders>
              <w:top w:val="single" w:sz="8" w:color="E5FFFF"/>
            </w:tcBorders>
            <w:shd w:val="clear" w:color="auto" w:fill="E5FFFF"/>
          </w:tcPr>
          <w:p>
            <w:pPr>
              <w:spacing w:after="0"/>
              <w:rPr>
                <w:sz w:val="18"/>
                <w:szCs w:val="18"/>
                <w:color w:val="auto"/>
              </w:rPr>
            </w:pPr>
          </w:p>
        </w:tc>
        <w:tc>
          <w:tcPr>
            <w:tcW w:w="18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11,866</w:t>
            </w:r>
          </w:p>
        </w:tc>
        <w:tc>
          <w:tcPr>
            <w:tcW w:w="200" w:type="dxa"/>
            <w:vAlign w:val="bottom"/>
            <w:tcBorders>
              <w:top w:val="single" w:sz="8" w:color="E5FFFF"/>
            </w:tcBorders>
            <w:shd w:val="clear" w:color="auto" w:fill="E5FFFF"/>
          </w:tcPr>
          <w:p>
            <w:pPr>
              <w:spacing w:after="0"/>
              <w:rPr>
                <w:sz w:val="18"/>
                <w:szCs w:val="18"/>
                <w:color w:val="auto"/>
              </w:rPr>
            </w:pPr>
          </w:p>
        </w:tc>
        <w:tc>
          <w:tcPr>
            <w:tcW w:w="17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71,593</w:t>
            </w:r>
          </w:p>
        </w:tc>
        <w:tc>
          <w:tcPr>
            <w:tcW w:w="200" w:type="dxa"/>
            <w:vAlign w:val="bottom"/>
            <w:tcBorders>
              <w:top w:val="single" w:sz="8" w:color="E5FFFF"/>
            </w:tcBorders>
            <w:shd w:val="clear" w:color="auto" w:fill="E5FFFF"/>
          </w:tcPr>
          <w:p>
            <w:pPr>
              <w:spacing w:after="0"/>
              <w:rPr>
                <w:sz w:val="18"/>
                <w:szCs w:val="18"/>
                <w:color w:val="auto"/>
              </w:rPr>
            </w:pPr>
          </w:p>
        </w:tc>
        <w:tc>
          <w:tcPr>
            <w:tcW w:w="18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34,248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Profit attributable to GasLog’s operations</w:t>
            </w:r>
          </w:p>
        </w:tc>
        <w:tc>
          <w:tcPr>
            <w:tcW w:w="1960" w:type="dxa"/>
            <w:vAlign w:val="bottom"/>
            <w:gridSpan w:val="2"/>
            <w:shd w:val="clear" w:color="auto" w:fill="E5FF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gridSpan w:val="2"/>
            <w:shd w:val="clear" w:color="auto" w:fill="E5FF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gridSpan w:val="2"/>
            <w:shd w:val="clear" w:color="auto" w:fill="E5FFFF"/>
          </w:tcPr>
          <w:p>
            <w:pPr>
              <w:jc w:val="right"/>
              <w:ind w:right="61"/>
              <w:spacing w:after="0"/>
              <w:rPr>
                <w:sz w:val="20"/>
                <w:szCs w:val="20"/>
                <w:color w:val="auto"/>
              </w:rPr>
            </w:pPr>
            <w:r>
              <w:rPr>
                <w:rFonts w:ascii="Times New Roman" w:cs="Times New Roman" w:eastAsia="Times New Roman" w:hAnsi="Times New Roman"/>
                <w:sz w:val="18"/>
                <w:szCs w:val="18"/>
                <w:color w:val="auto"/>
              </w:rPr>
              <w:t>(2,650)</w:t>
            </w:r>
          </w:p>
        </w:tc>
        <w:tc>
          <w:tcPr>
            <w:tcW w:w="1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28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Profit attributable to Partnership’s</w:t>
            </w:r>
          </w:p>
        </w:tc>
        <w:tc>
          <w:tcPr>
            <w:tcW w:w="1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3280" w:type="dxa"/>
            <w:vAlign w:val="bottom"/>
          </w:tcPr>
          <w:p>
            <w:pPr>
              <w:ind w:left="200"/>
              <w:spacing w:after="0" w:line="276" w:lineRule="exact"/>
              <w:rPr>
                <w:sz w:val="20"/>
                <w:szCs w:val="20"/>
                <w:color w:val="auto"/>
              </w:rPr>
            </w:pPr>
            <w:r>
              <w:rPr>
                <w:rFonts w:ascii="Times New Roman" w:cs="Times New Roman" w:eastAsia="Times New Roman" w:hAnsi="Times New Roman"/>
                <w:sz w:val="18"/>
                <w:szCs w:val="18"/>
                <w:b w:val="1"/>
                <w:bCs w:val="1"/>
                <w:color w:val="auto"/>
              </w:rPr>
              <w:t>operations</w:t>
            </w:r>
            <w:r>
              <w:rPr>
                <w:rFonts w:ascii="Times New Roman" w:cs="Times New Roman" w:eastAsia="Times New Roman" w:hAnsi="Times New Roman"/>
                <w:sz w:val="29"/>
                <w:szCs w:val="29"/>
                <w:b w:val="1"/>
                <w:bCs w:val="1"/>
                <w:color w:val="auto"/>
                <w:vertAlign w:val="superscript"/>
              </w:rPr>
              <w:t>(1)</w:t>
            </w:r>
          </w:p>
        </w:tc>
        <w:tc>
          <w:tcPr>
            <w:tcW w:w="1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29,434</w:t>
            </w:r>
          </w:p>
        </w:tc>
        <w:tc>
          <w:tcPr>
            <w:tcW w:w="2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11,866</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68,943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34,248</w:t>
            </w:r>
          </w:p>
        </w:tc>
        <w:tc>
          <w:tcPr>
            <w:tcW w:w="0" w:type="dxa"/>
            <w:vAlign w:val="bottom"/>
          </w:tcPr>
          <w:p>
            <w:pPr>
              <w:spacing w:after="0"/>
              <w:rPr>
                <w:sz w:val="1"/>
                <w:szCs w:val="1"/>
                <w:color w:val="auto"/>
              </w:rPr>
            </w:pPr>
          </w:p>
        </w:tc>
      </w:tr>
      <w:tr>
        <w:trPr>
          <w:trHeight w:val="216"/>
        </w:trPr>
        <w:tc>
          <w:tcPr>
            <w:tcW w:w="32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960" w:type="dxa"/>
            <w:vAlign w:val="bottom"/>
            <w:gridSpan w:val="2"/>
            <w:shd w:val="clear" w:color="auto" w:fill="E5FFFF"/>
          </w:tcPr>
          <w:p>
            <w:pPr>
              <w:jc w:val="right"/>
              <w:ind w:right="110"/>
              <w:spacing w:after="0"/>
              <w:rPr>
                <w:sz w:val="20"/>
                <w:szCs w:val="20"/>
                <w:color w:val="auto"/>
              </w:rPr>
            </w:pPr>
            <w:r>
              <w:rPr>
                <w:rFonts w:ascii="Times New Roman" w:cs="Times New Roman" w:eastAsia="Times New Roman" w:hAnsi="Times New Roman"/>
                <w:sz w:val="18"/>
                <w:szCs w:val="18"/>
                <w:color w:val="auto"/>
              </w:rPr>
              <w:t>22,819</w:t>
            </w:r>
          </w:p>
        </w:tc>
        <w:tc>
          <w:tcPr>
            <w:tcW w:w="2060" w:type="dxa"/>
            <w:vAlign w:val="bottom"/>
            <w:gridSpan w:val="2"/>
            <w:shd w:val="clear" w:color="auto" w:fill="E5FFFF"/>
          </w:tcPr>
          <w:p>
            <w:pPr>
              <w:jc w:val="right"/>
              <w:ind w:right="121"/>
              <w:spacing w:after="0"/>
              <w:rPr>
                <w:sz w:val="20"/>
                <w:szCs w:val="20"/>
                <w:color w:val="auto"/>
              </w:rPr>
            </w:pPr>
            <w:r>
              <w:rPr>
                <w:rFonts w:ascii="Times New Roman" w:cs="Times New Roman" w:eastAsia="Times New Roman" w:hAnsi="Times New Roman"/>
                <w:sz w:val="18"/>
                <w:szCs w:val="18"/>
                <w:color w:val="auto"/>
              </w:rPr>
              <w:t>20,577</w:t>
            </w:r>
          </w:p>
        </w:tc>
        <w:tc>
          <w:tcPr>
            <w:tcW w:w="1960" w:type="dxa"/>
            <w:vAlign w:val="bottom"/>
            <w:gridSpan w:val="2"/>
            <w:shd w:val="clear" w:color="auto" w:fill="E5FFFF"/>
          </w:tcPr>
          <w:p>
            <w:pPr>
              <w:jc w:val="right"/>
              <w:ind w:right="121"/>
              <w:spacing w:after="0"/>
              <w:rPr>
                <w:sz w:val="20"/>
                <w:szCs w:val="20"/>
                <w:color w:val="auto"/>
              </w:rPr>
            </w:pPr>
            <w:r>
              <w:rPr>
                <w:rFonts w:ascii="Times New Roman" w:cs="Times New Roman" w:eastAsia="Times New Roman" w:hAnsi="Times New Roman"/>
                <w:sz w:val="18"/>
                <w:szCs w:val="18"/>
                <w:color w:val="auto"/>
              </w:rPr>
              <w:t>65,336</w:t>
            </w:r>
          </w:p>
        </w:tc>
        <w:tc>
          <w:tcPr>
            <w:tcW w:w="1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61,850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1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17,534</w:t>
            </w:r>
          </w:p>
        </w:tc>
        <w:tc>
          <w:tcPr>
            <w:tcW w:w="2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12,437</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53,920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960" w:type="dxa"/>
            <w:vAlign w:val="bottom"/>
            <w:gridSpan w:val="2"/>
            <w:shd w:val="clear" w:color="auto" w:fill="E5FFFF"/>
          </w:tcPr>
          <w:p>
            <w:pPr>
              <w:jc w:val="right"/>
              <w:ind w:right="50"/>
              <w:spacing w:after="0"/>
              <w:rPr>
                <w:sz w:val="20"/>
                <w:szCs w:val="20"/>
                <w:color w:val="auto"/>
              </w:rPr>
            </w:pPr>
            <w:r>
              <w:rPr>
                <w:rFonts w:ascii="Times New Roman" w:cs="Times New Roman" w:eastAsia="Times New Roman" w:hAnsi="Times New Roman"/>
                <w:sz w:val="18"/>
                <w:szCs w:val="18"/>
                <w:color w:val="auto"/>
              </w:rPr>
              <w:t>(393)</w:t>
            </w:r>
          </w:p>
        </w:tc>
        <w:tc>
          <w:tcPr>
            <w:tcW w:w="2060" w:type="dxa"/>
            <w:vAlign w:val="bottom"/>
            <w:gridSpan w:val="2"/>
            <w:shd w:val="clear" w:color="auto" w:fill="E5FFFF"/>
          </w:tcPr>
          <w:p>
            <w:pPr>
              <w:jc w:val="right"/>
              <w:ind w:right="61"/>
              <w:spacing w:after="0"/>
              <w:rPr>
                <w:sz w:val="20"/>
                <w:szCs w:val="20"/>
                <w:color w:val="auto"/>
              </w:rPr>
            </w:pPr>
            <w:r>
              <w:rPr>
                <w:rFonts w:ascii="Times New Roman" w:cs="Times New Roman" w:eastAsia="Times New Roman" w:hAnsi="Times New Roman"/>
                <w:sz w:val="18"/>
                <w:szCs w:val="18"/>
                <w:color w:val="auto"/>
              </w:rPr>
              <w:t>(9)</w:t>
            </w:r>
          </w:p>
        </w:tc>
        <w:tc>
          <w:tcPr>
            <w:tcW w:w="1960" w:type="dxa"/>
            <w:vAlign w:val="bottom"/>
            <w:gridSpan w:val="2"/>
            <w:shd w:val="clear" w:color="auto" w:fill="E5FFFF"/>
          </w:tcPr>
          <w:p>
            <w:pPr>
              <w:jc w:val="right"/>
              <w:ind w:right="61"/>
              <w:spacing w:after="0"/>
              <w:rPr>
                <w:sz w:val="20"/>
                <w:szCs w:val="20"/>
                <w:color w:val="auto"/>
              </w:rPr>
            </w:pPr>
            <w:r>
              <w:rPr>
                <w:rFonts w:ascii="Times New Roman" w:cs="Times New Roman" w:eastAsia="Times New Roman" w:hAnsi="Times New Roman"/>
                <w:sz w:val="18"/>
                <w:szCs w:val="18"/>
                <w:color w:val="auto"/>
              </w:rPr>
              <w:t>(1,544)</w:t>
            </w:r>
          </w:p>
        </w:tc>
        <w:tc>
          <w:tcPr>
            <w:tcW w:w="1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Loss on derivatives</w:t>
            </w:r>
          </w:p>
        </w:tc>
        <w:tc>
          <w:tcPr>
            <w:tcW w:w="1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2,385</w:t>
            </w:r>
          </w:p>
        </w:tc>
        <w:tc>
          <w:tcPr>
            <w:tcW w:w="2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990</w:t>
            </w:r>
          </w:p>
        </w:tc>
        <w:tc>
          <w:tcPr>
            <w:tcW w:w="19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15,528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71,779</w:t>
            </w:r>
          </w:p>
        </w:tc>
        <w:tc>
          <w:tcPr>
            <w:tcW w:w="220" w:type="dxa"/>
            <w:vAlign w:val="bottom"/>
            <w:tcBorders>
              <w:top w:val="single" w:sz="8" w:color="E5FFFF"/>
            </w:tcBorders>
            <w:shd w:val="clear" w:color="auto" w:fill="E5FFFF"/>
          </w:tcPr>
          <w:p>
            <w:pPr>
              <w:spacing w:after="0"/>
              <w:rPr>
                <w:sz w:val="18"/>
                <w:szCs w:val="18"/>
                <w:color w:val="auto"/>
              </w:rPr>
            </w:pPr>
          </w:p>
        </w:tc>
        <w:tc>
          <w:tcPr>
            <w:tcW w:w="18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45,861</w:t>
            </w:r>
          </w:p>
        </w:tc>
        <w:tc>
          <w:tcPr>
            <w:tcW w:w="200" w:type="dxa"/>
            <w:vAlign w:val="bottom"/>
            <w:tcBorders>
              <w:top w:val="single" w:sz="8" w:color="E5FFFF"/>
            </w:tcBorders>
            <w:shd w:val="clear" w:color="auto" w:fill="E5FFFF"/>
          </w:tcPr>
          <w:p>
            <w:pPr>
              <w:spacing w:after="0"/>
              <w:rPr>
                <w:sz w:val="18"/>
                <w:szCs w:val="18"/>
                <w:color w:val="auto"/>
              </w:rPr>
            </w:pPr>
          </w:p>
        </w:tc>
        <w:tc>
          <w:tcPr>
            <w:tcW w:w="1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202,183</w:t>
            </w:r>
          </w:p>
        </w:tc>
        <w:tc>
          <w:tcPr>
            <w:tcW w:w="200" w:type="dxa"/>
            <w:vAlign w:val="bottom"/>
            <w:tcBorders>
              <w:top w:val="single" w:sz="8" w:color="E5FFFF"/>
            </w:tcBorders>
            <w:shd w:val="clear" w:color="auto" w:fill="E5FFFF"/>
          </w:tcPr>
          <w:p>
            <w:pPr>
              <w:spacing w:after="0"/>
              <w:rPr>
                <w:sz w:val="18"/>
                <w:szCs w:val="18"/>
                <w:color w:val="auto"/>
              </w:rPr>
            </w:pPr>
          </w:p>
        </w:tc>
        <w:tc>
          <w:tcPr>
            <w:tcW w:w="1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151,571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960" w:type="dxa"/>
            <w:vAlign w:val="bottom"/>
            <w:gridSpan w:val="2"/>
            <w:shd w:val="clear" w:color="auto" w:fill="E5FF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E5FFFF"/>
          </w:tcPr>
          <w:p>
            <w:pPr>
              <w:jc w:val="right"/>
              <w:ind w:right="121"/>
              <w:spacing w:after="0"/>
              <w:rPr>
                <w:sz w:val="20"/>
                <w:szCs w:val="20"/>
                <w:color w:val="auto"/>
              </w:rPr>
            </w:pPr>
            <w:r>
              <w:rPr>
                <w:rFonts w:ascii="Times New Roman" w:cs="Times New Roman" w:eastAsia="Times New Roman" w:hAnsi="Times New Roman"/>
                <w:sz w:val="18"/>
                <w:szCs w:val="18"/>
                <w:color w:val="auto"/>
              </w:rPr>
              <w:t>942</w:t>
            </w:r>
          </w:p>
        </w:tc>
        <w:tc>
          <w:tcPr>
            <w:tcW w:w="1960" w:type="dxa"/>
            <w:vAlign w:val="bottom"/>
            <w:gridSpan w:val="2"/>
            <w:shd w:val="clear" w:color="auto" w:fill="E5FF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71,779</w:t>
            </w:r>
          </w:p>
        </w:tc>
        <w:tc>
          <w:tcPr>
            <w:tcW w:w="220" w:type="dxa"/>
            <w:vAlign w:val="bottom"/>
            <w:tcBorders>
              <w:bottom w:val="single" w:sz="8" w:color="E5FFFF"/>
            </w:tcBorders>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46,803</w:t>
            </w:r>
          </w:p>
        </w:tc>
        <w:tc>
          <w:tcPr>
            <w:tcW w:w="200" w:type="dxa"/>
            <w:vAlign w:val="bottom"/>
            <w:tcBorders>
              <w:bottom w:val="single" w:sz="8" w:color="E5FFFF"/>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202,183</w:t>
            </w:r>
          </w:p>
        </w:tc>
        <w:tc>
          <w:tcPr>
            <w:tcW w:w="200" w:type="dxa"/>
            <w:vAlign w:val="bottom"/>
            <w:tcBorders>
              <w:bottom w:val="single" w:sz="8" w:color="E5FFFF"/>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80" w:type="dxa"/>
            <w:vAlign w:val="bottom"/>
            <w:shd w:val="clear" w:color="auto" w:fill="E5FFFF"/>
          </w:tcPr>
          <w:p>
            <w:pPr>
              <w:spacing w:after="0" w:line="177" w:lineRule="exact"/>
              <w:rPr>
                <w:sz w:val="20"/>
                <w:szCs w:val="20"/>
                <w:color w:val="auto"/>
              </w:rPr>
            </w:pPr>
            <w:r>
              <w:rPr>
                <w:rFonts w:ascii="Times New Roman" w:cs="Times New Roman" w:eastAsia="Times New Roman" w:hAnsi="Times New Roman"/>
                <w:sz w:val="18"/>
                <w:szCs w:val="18"/>
                <w:color w:val="auto"/>
              </w:rPr>
              <w:t>Financial costs (excluding amortization of</w:t>
            </w:r>
          </w:p>
        </w:tc>
        <w:tc>
          <w:tcPr>
            <w:tcW w:w="174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86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76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880" w:type="dxa"/>
            <w:vAlign w:val="bottom"/>
            <w:shd w:val="clear" w:color="auto" w:fill="E5FF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E5FFFF"/>
          </w:tcPr>
          <w:p>
            <w:pPr>
              <w:ind w:left="200"/>
              <w:spacing w:after="0"/>
              <w:rPr>
                <w:sz w:val="20"/>
                <w:szCs w:val="20"/>
                <w:color w:val="auto"/>
              </w:rPr>
            </w:pPr>
            <w:r>
              <w:rPr>
                <w:rFonts w:ascii="Times New Roman" w:cs="Times New Roman" w:eastAsia="Times New Roman" w:hAnsi="Times New Roman"/>
                <w:sz w:val="18"/>
                <w:szCs w:val="18"/>
                <w:color w:val="auto"/>
              </w:rPr>
              <w:t>loan fees and lease expense) and realized</w:t>
            </w:r>
          </w:p>
        </w:tc>
        <w:tc>
          <w:tcPr>
            <w:tcW w:w="17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8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7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88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E5FFFF"/>
          </w:tcPr>
          <w:p>
            <w:pPr>
              <w:ind w:left="200"/>
              <w:spacing w:after="0"/>
              <w:rPr>
                <w:sz w:val="20"/>
                <w:szCs w:val="20"/>
                <w:color w:val="auto"/>
              </w:rPr>
            </w:pPr>
            <w:r>
              <w:rPr>
                <w:rFonts w:ascii="Times New Roman" w:cs="Times New Roman" w:eastAsia="Times New Roman" w:hAnsi="Times New Roman"/>
                <w:sz w:val="18"/>
                <w:szCs w:val="18"/>
                <w:color w:val="auto"/>
              </w:rPr>
              <w:t>loss on derivatives</w:t>
            </w:r>
          </w:p>
        </w:tc>
        <w:tc>
          <w:tcPr>
            <w:tcW w:w="1960" w:type="dxa"/>
            <w:vAlign w:val="bottom"/>
            <w:gridSpan w:val="2"/>
            <w:shd w:val="clear" w:color="auto" w:fill="E5FFFF"/>
          </w:tcPr>
          <w:p>
            <w:pPr>
              <w:jc w:val="right"/>
              <w:ind w:right="50"/>
              <w:spacing w:after="0"/>
              <w:rPr>
                <w:sz w:val="20"/>
                <w:szCs w:val="20"/>
                <w:color w:val="auto"/>
              </w:rPr>
            </w:pPr>
            <w:r>
              <w:rPr>
                <w:rFonts w:ascii="Times New Roman" w:cs="Times New Roman" w:eastAsia="Times New Roman" w:hAnsi="Times New Roman"/>
                <w:sz w:val="18"/>
                <w:szCs w:val="18"/>
                <w:color w:val="auto"/>
              </w:rPr>
              <w:t>(16,021)</w:t>
            </w:r>
          </w:p>
        </w:tc>
        <w:tc>
          <w:tcPr>
            <w:tcW w:w="2060" w:type="dxa"/>
            <w:vAlign w:val="bottom"/>
            <w:gridSpan w:val="2"/>
            <w:shd w:val="clear" w:color="auto" w:fill="E5FFFF"/>
          </w:tcPr>
          <w:p>
            <w:pPr>
              <w:jc w:val="right"/>
              <w:ind w:right="61"/>
              <w:spacing w:after="0"/>
              <w:rPr>
                <w:sz w:val="20"/>
                <w:szCs w:val="20"/>
                <w:color w:val="auto"/>
              </w:rPr>
            </w:pPr>
            <w:r>
              <w:rPr>
                <w:rFonts w:ascii="Times New Roman" w:cs="Times New Roman" w:eastAsia="Times New Roman" w:hAnsi="Times New Roman"/>
                <w:sz w:val="18"/>
                <w:szCs w:val="18"/>
                <w:color w:val="auto"/>
              </w:rPr>
              <w:t>(12,097)</w:t>
            </w:r>
          </w:p>
        </w:tc>
        <w:tc>
          <w:tcPr>
            <w:tcW w:w="1960" w:type="dxa"/>
            <w:vAlign w:val="bottom"/>
            <w:gridSpan w:val="2"/>
            <w:shd w:val="clear" w:color="auto" w:fill="E5FFFF"/>
          </w:tcPr>
          <w:p>
            <w:pPr>
              <w:jc w:val="right"/>
              <w:ind w:right="61"/>
              <w:spacing w:after="0"/>
              <w:rPr>
                <w:sz w:val="20"/>
                <w:szCs w:val="20"/>
                <w:color w:val="auto"/>
              </w:rPr>
            </w:pPr>
            <w:r>
              <w:rPr>
                <w:rFonts w:ascii="Times New Roman" w:cs="Times New Roman" w:eastAsia="Times New Roman" w:hAnsi="Times New Roman"/>
                <w:sz w:val="18"/>
                <w:szCs w:val="18"/>
                <w:color w:val="auto"/>
              </w:rPr>
              <w:t>(47,471)</w:t>
            </w:r>
          </w:p>
        </w:tc>
        <w:tc>
          <w:tcPr>
            <w:tcW w:w="1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(39,208)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Dry-docking capital reserve </w:t>
            </w:r>
            <w:r>
              <w:rPr>
                <w:rFonts w:ascii="Times New Roman" w:cs="Times New Roman" w:eastAsia="Times New Roman" w:hAnsi="Times New Roman"/>
                <w:sz w:val="29"/>
                <w:szCs w:val="29"/>
                <w:color w:val="auto"/>
                <w:vertAlign w:val="superscript"/>
              </w:rPr>
              <w:t>(2)</w:t>
            </w:r>
          </w:p>
        </w:tc>
        <w:tc>
          <w:tcPr>
            <w:tcW w:w="1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(4,170)</w:t>
            </w:r>
          </w:p>
        </w:tc>
        <w:tc>
          <w:tcPr>
            <w:tcW w:w="2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(4,027)</w:t>
            </w: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(12,222)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0" w:type="dxa"/>
            <w:vAlign w:val="bottom"/>
          </w:tcPr>
          <w:p>
            <w:pPr>
              <w:spacing w:after="0"/>
              <w:rPr>
                <w:sz w:val="1"/>
                <w:szCs w:val="1"/>
                <w:color w:val="auto"/>
              </w:rPr>
            </w:pPr>
          </w:p>
        </w:tc>
      </w:tr>
      <w:tr>
        <w:trPr>
          <w:trHeight w:val="257"/>
        </w:trPr>
        <w:tc>
          <w:tcPr>
            <w:tcW w:w="3280" w:type="dxa"/>
            <w:vAlign w:val="bottom"/>
            <w:shd w:val="clear" w:color="auto" w:fill="E5FF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Replacement capital reserve </w:t>
            </w:r>
            <w:r>
              <w:rPr>
                <w:rFonts w:ascii="Times New Roman" w:cs="Times New Roman" w:eastAsia="Times New Roman" w:hAnsi="Times New Roman"/>
                <w:sz w:val="29"/>
                <w:szCs w:val="29"/>
                <w:color w:val="auto"/>
                <w:vertAlign w:val="superscript"/>
              </w:rPr>
              <w:t>(2)</w:t>
            </w:r>
          </w:p>
        </w:tc>
        <w:tc>
          <w:tcPr>
            <w:tcW w:w="1960" w:type="dxa"/>
            <w:vAlign w:val="bottom"/>
            <w:gridSpan w:val="2"/>
            <w:shd w:val="clear" w:color="auto" w:fill="E5FFFF"/>
          </w:tcPr>
          <w:p>
            <w:pPr>
              <w:jc w:val="right"/>
              <w:ind w:right="50"/>
              <w:spacing w:after="0"/>
              <w:rPr>
                <w:sz w:val="20"/>
                <w:szCs w:val="20"/>
                <w:color w:val="auto"/>
              </w:rPr>
            </w:pPr>
            <w:r>
              <w:rPr>
                <w:rFonts w:ascii="Times New Roman" w:cs="Times New Roman" w:eastAsia="Times New Roman" w:hAnsi="Times New Roman"/>
                <w:sz w:val="18"/>
                <w:szCs w:val="18"/>
                <w:color w:val="auto"/>
              </w:rPr>
              <w:t>(9,686)</w:t>
            </w:r>
          </w:p>
        </w:tc>
        <w:tc>
          <w:tcPr>
            <w:tcW w:w="2060" w:type="dxa"/>
            <w:vAlign w:val="bottom"/>
            <w:gridSpan w:val="2"/>
            <w:shd w:val="clear" w:color="auto" w:fill="E5FFFF"/>
          </w:tcPr>
          <w:p>
            <w:pPr>
              <w:jc w:val="right"/>
              <w:ind w:right="61"/>
              <w:spacing w:after="0"/>
              <w:rPr>
                <w:sz w:val="20"/>
                <w:szCs w:val="20"/>
                <w:color w:val="auto"/>
              </w:rPr>
            </w:pPr>
            <w:r>
              <w:rPr>
                <w:rFonts w:ascii="Times New Roman" w:cs="Times New Roman" w:eastAsia="Times New Roman" w:hAnsi="Times New Roman"/>
                <w:sz w:val="18"/>
                <w:szCs w:val="18"/>
                <w:color w:val="auto"/>
              </w:rPr>
              <w:t>(10,769)</w:t>
            </w:r>
          </w:p>
        </w:tc>
        <w:tc>
          <w:tcPr>
            <w:tcW w:w="1960" w:type="dxa"/>
            <w:vAlign w:val="bottom"/>
            <w:gridSpan w:val="2"/>
            <w:shd w:val="clear" w:color="auto" w:fill="E5FFFF"/>
          </w:tcPr>
          <w:p>
            <w:pPr>
              <w:jc w:val="right"/>
              <w:ind w:right="61"/>
              <w:spacing w:after="0"/>
              <w:rPr>
                <w:sz w:val="20"/>
                <w:szCs w:val="20"/>
                <w:color w:val="auto"/>
              </w:rPr>
            </w:pPr>
            <w:r>
              <w:rPr>
                <w:rFonts w:ascii="Times New Roman" w:cs="Times New Roman" w:eastAsia="Times New Roman" w:hAnsi="Times New Roman"/>
                <w:sz w:val="18"/>
                <w:szCs w:val="18"/>
                <w:color w:val="auto"/>
              </w:rPr>
              <w:t>(28,417)</w:t>
            </w:r>
          </w:p>
        </w:tc>
        <w:tc>
          <w:tcPr>
            <w:tcW w:w="18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(32,307)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Paid and accrued preferred equity</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w:t>
            </w:r>
          </w:p>
        </w:tc>
        <w:tc>
          <w:tcPr>
            <w:tcW w:w="19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(7,582)</w:t>
            </w:r>
          </w:p>
        </w:tc>
        <w:tc>
          <w:tcPr>
            <w:tcW w:w="2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(7,582)</w:t>
            </w:r>
          </w:p>
        </w:tc>
        <w:tc>
          <w:tcPr>
            <w:tcW w:w="1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(22,746)</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(22,746)</w:t>
            </w:r>
          </w:p>
        </w:tc>
        <w:tc>
          <w:tcPr>
            <w:tcW w:w="0" w:type="dxa"/>
            <w:vAlign w:val="bottom"/>
          </w:tcPr>
          <w:p>
            <w:pPr>
              <w:spacing w:after="0"/>
              <w:rPr>
                <w:sz w:val="1"/>
                <w:szCs w:val="1"/>
                <w:color w:val="auto"/>
              </w:rPr>
            </w:pPr>
          </w:p>
        </w:tc>
      </w:tr>
      <w:tr>
        <w:trPr>
          <w:trHeight w:val="210"/>
        </w:trPr>
        <w:tc>
          <w:tcPr>
            <w:tcW w:w="32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Distributable cash flow</w:t>
            </w:r>
          </w:p>
        </w:tc>
        <w:tc>
          <w:tcPr>
            <w:tcW w:w="1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34,320</w:t>
            </w:r>
          </w:p>
        </w:tc>
        <w:tc>
          <w:tcPr>
            <w:tcW w:w="220" w:type="dxa"/>
            <w:vAlign w:val="bottom"/>
            <w:tcBorders>
              <w:top w:val="single" w:sz="8" w:color="E5FFFF"/>
            </w:tcBorders>
            <w:shd w:val="clear" w:color="auto" w:fill="E5FFFF"/>
          </w:tcPr>
          <w:p>
            <w:pPr>
              <w:spacing w:after="0"/>
              <w:rPr>
                <w:sz w:val="18"/>
                <w:szCs w:val="18"/>
                <w:color w:val="auto"/>
              </w:rPr>
            </w:pPr>
          </w:p>
        </w:tc>
        <w:tc>
          <w:tcPr>
            <w:tcW w:w="18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12,328</w:t>
            </w:r>
          </w:p>
        </w:tc>
        <w:tc>
          <w:tcPr>
            <w:tcW w:w="200" w:type="dxa"/>
            <w:vAlign w:val="bottom"/>
            <w:tcBorders>
              <w:top w:val="single" w:sz="8" w:color="E5FFFF"/>
            </w:tcBorders>
            <w:shd w:val="clear" w:color="auto" w:fill="E5FFFF"/>
          </w:tcPr>
          <w:p>
            <w:pPr>
              <w:spacing w:after="0"/>
              <w:rPr>
                <w:sz w:val="18"/>
                <w:szCs w:val="18"/>
                <w:color w:val="auto"/>
              </w:rPr>
            </w:pPr>
          </w:p>
        </w:tc>
        <w:tc>
          <w:tcPr>
            <w:tcW w:w="1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91,327</w:t>
            </w:r>
          </w:p>
        </w:tc>
        <w:tc>
          <w:tcPr>
            <w:tcW w:w="200" w:type="dxa"/>
            <w:vAlign w:val="bottom"/>
            <w:tcBorders>
              <w:top w:val="single" w:sz="8" w:color="E5FFFF"/>
            </w:tcBorders>
            <w:shd w:val="clear" w:color="auto" w:fill="E5FFFF"/>
          </w:tcPr>
          <w:p>
            <w:pPr>
              <w:spacing w:after="0"/>
              <w:rPr>
                <w:sz w:val="18"/>
                <w:szCs w:val="18"/>
                <w:color w:val="auto"/>
              </w:rPr>
            </w:pPr>
          </w:p>
        </w:tc>
        <w:tc>
          <w:tcPr>
            <w:tcW w:w="1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65,244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3280" w:type="dxa"/>
            <w:vAlign w:val="bottom"/>
            <w:tcBorders>
              <w:bottom w:val="single" w:sz="8" w:color="E5FFFF"/>
            </w:tcBorders>
          </w:tcPr>
          <w:p>
            <w:pPr>
              <w:spacing w:after="0" w:line="236" w:lineRule="exact"/>
              <w:rPr>
                <w:sz w:val="20"/>
                <w:szCs w:val="20"/>
                <w:color w:val="auto"/>
              </w:rPr>
            </w:pPr>
            <w:r>
              <w:rPr>
                <w:rFonts w:ascii="Times New Roman" w:cs="Times New Roman" w:eastAsia="Times New Roman" w:hAnsi="Times New Roman"/>
                <w:sz w:val="17"/>
                <w:szCs w:val="17"/>
                <w:color w:val="auto"/>
              </w:rPr>
              <w:t xml:space="preserve">Other reserves </w:t>
            </w:r>
            <w:r>
              <w:rPr>
                <w:rFonts w:ascii="Times New Roman" w:cs="Times New Roman" w:eastAsia="Times New Roman" w:hAnsi="Times New Roman"/>
                <w:sz w:val="27"/>
                <w:szCs w:val="27"/>
                <w:color w:val="auto"/>
                <w:vertAlign w:val="superscript"/>
              </w:rPr>
              <w:t>(3)</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220" w:type="dxa"/>
            <w:vAlign w:val="bottom"/>
            <w:tcBorders>
              <w:bottom w:val="single" w:sz="8" w:color="E5FFFF"/>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200" w:type="dxa"/>
            <w:vAlign w:val="bottom"/>
            <w:tcBorders>
              <w:bottom w:val="single" w:sz="8" w:color="E5FF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200" w:type="dxa"/>
            <w:vAlign w:val="bottom"/>
            <w:tcBorders>
              <w:bottom w:val="single" w:sz="8" w:color="E5FF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(52,770</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Cash distribution declared</w:t>
            </w:r>
          </w:p>
        </w:tc>
        <w:tc>
          <w:tcPr>
            <w:tcW w:w="17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26,437</w:t>
            </w:r>
          </w:p>
        </w:tc>
        <w:tc>
          <w:tcPr>
            <w:tcW w:w="220" w:type="dxa"/>
            <w:vAlign w:val="bottom"/>
            <w:tcBorders>
              <w:bottom w:val="single" w:sz="8" w:color="E5FFFF"/>
            </w:tcBorders>
            <w:shd w:val="clear" w:color="auto" w:fill="E5FFFF"/>
          </w:tcPr>
          <w:p>
            <w:pPr>
              <w:spacing w:after="0"/>
              <w:rPr>
                <w:sz w:val="18"/>
                <w:szCs w:val="18"/>
                <w:color w:val="auto"/>
              </w:rPr>
            </w:pPr>
          </w:p>
        </w:tc>
        <w:tc>
          <w:tcPr>
            <w:tcW w:w="18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200" w:type="dxa"/>
            <w:vAlign w:val="bottom"/>
            <w:tcBorders>
              <w:bottom w:val="single" w:sz="8" w:color="E5FFFF"/>
            </w:tcBorders>
            <w:shd w:val="clear" w:color="auto" w:fill="E5FFFF"/>
          </w:tcPr>
          <w:p>
            <w:pPr>
              <w:spacing w:after="0"/>
              <w:rPr>
                <w:sz w:val="18"/>
                <w:szCs w:val="18"/>
                <w:color w:val="auto"/>
              </w:rPr>
            </w:pPr>
          </w:p>
        </w:tc>
        <w:tc>
          <w:tcPr>
            <w:tcW w:w="17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79,988</w:t>
            </w:r>
          </w:p>
        </w:tc>
        <w:tc>
          <w:tcPr>
            <w:tcW w:w="200" w:type="dxa"/>
            <w:vAlign w:val="bottom"/>
            <w:tcBorders>
              <w:bottom w:val="single" w:sz="8" w:color="E5FFFF"/>
            </w:tcBorders>
            <w:shd w:val="clear" w:color="auto" w:fill="E5FFFF"/>
          </w:tcPr>
          <w:p>
            <w:pPr>
              <w:spacing w:after="0"/>
              <w:rPr>
                <w:sz w:val="18"/>
                <w:szCs w:val="18"/>
                <w:color w:val="auto"/>
              </w:rPr>
            </w:pPr>
          </w:p>
        </w:tc>
        <w:tc>
          <w:tcPr>
            <w:tcW w:w="18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12,474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40" w:right="220" w:hanging="332"/>
        <w:spacing w:after="0" w:line="228" w:lineRule="auto"/>
        <w:tabs>
          <w:tab w:leader="none" w:pos="34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Excludes amounts related to GAS-twelve Ltd., the owner of the </w:t>
      </w:r>
      <w:r>
        <w:rPr>
          <w:rFonts w:ascii="Times New Roman" w:cs="Times New Roman" w:eastAsia="Times New Roman" w:hAnsi="Times New Roman"/>
          <w:sz w:val="16"/>
          <w:szCs w:val="16"/>
          <w:i w:val="1"/>
          <w:iCs w:val="1"/>
          <w:color w:val="auto"/>
        </w:rPr>
        <w:t>GasLog Glasgow</w:t>
      </w:r>
      <w:r>
        <w:rPr>
          <w:rFonts w:ascii="Times New Roman" w:cs="Times New Roman" w:eastAsia="Times New Roman" w:hAnsi="Times New Roman"/>
          <w:sz w:val="16"/>
          <w:szCs w:val="16"/>
          <w:color w:val="auto"/>
        </w:rPr>
        <w:t xml:space="preserve"> for the period prior to its transfer to the Partnership on April 1, 2019. While such amounts are reflected in the Partnership’s unaudited condensed consolidated financial statements because the transfer to the Partnership was accounted as a reorganization of entities under common control under IFRS, GAS-twelve Ltd. was not owned by the Partnership prior to its respective transfer to the Partnership in April 2019 and accordingly the Partnership was not entitled to the cash or results generated in the period prior to such transfer.</w:t>
      </w:r>
    </w:p>
    <w:p>
      <w:pPr>
        <w:spacing w:after="0" w:line="195" w:lineRule="exact"/>
        <w:rPr>
          <w:rFonts w:ascii="Times New Roman" w:cs="Times New Roman" w:eastAsia="Times New Roman" w:hAnsi="Times New Roman"/>
          <w:sz w:val="27"/>
          <w:szCs w:val="27"/>
          <w:color w:val="auto"/>
          <w:vertAlign w:val="superscript"/>
        </w:rPr>
      </w:pPr>
    </w:p>
    <w:p>
      <w:pPr>
        <w:ind w:left="340" w:right="460" w:hanging="332"/>
        <w:spacing w:after="0" w:line="200" w:lineRule="auto"/>
        <w:tabs>
          <w:tab w:leader="none" w:pos="34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Effective January 1, 2020, the Partnership revised the assumed re-investment rate used in calculating the dry-docking capital reserve and the replacement capital reserve to reflect recent movements in market interest rate forecasts.</w:t>
      </w:r>
    </w:p>
    <w:p>
      <w:pPr>
        <w:spacing w:after="0" w:line="195" w:lineRule="exact"/>
        <w:rPr>
          <w:rFonts w:ascii="Times New Roman" w:cs="Times New Roman" w:eastAsia="Times New Roman" w:hAnsi="Times New Roman"/>
          <w:sz w:val="27"/>
          <w:szCs w:val="27"/>
          <w:color w:val="auto"/>
          <w:vertAlign w:val="superscript"/>
        </w:rPr>
      </w:pPr>
    </w:p>
    <w:p>
      <w:pPr>
        <w:ind w:left="340" w:right="580" w:hanging="332"/>
        <w:spacing w:after="0" w:line="200" w:lineRule="auto"/>
        <w:tabs>
          <w:tab w:leader="none" w:pos="34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Refers to movements in reserves (other than the dry-docking and replacement capital reserves) for the proper conduct of the business of the Partnership and its subsidiaries.</w:t>
      </w:r>
    </w:p>
    <w:p>
      <w:pPr>
        <w:spacing w:after="0" w:line="195" w:lineRule="exact"/>
        <w:rPr>
          <w:rFonts w:ascii="Times New Roman" w:cs="Times New Roman" w:eastAsia="Times New Roman" w:hAnsi="Times New Roman"/>
          <w:sz w:val="27"/>
          <w:szCs w:val="27"/>
          <w:color w:val="auto"/>
          <w:vertAlign w:val="superscript"/>
        </w:rPr>
      </w:pPr>
    </w:p>
    <w:p>
      <w:pPr>
        <w:ind w:left="340" w:right="220" w:hanging="332"/>
        <w:spacing w:after="0" w:line="200" w:lineRule="auto"/>
        <w:tabs>
          <w:tab w:leader="none" w:pos="34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For the three months ended September 30, 2020, the cash distributions declared and the other reserves have been calculated based on the number of units issued and outstanding as of September 30, 2020.</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7" w:right="37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Financial Report for the Three and Nine Months Ended September 30, 2020</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w:t>
      </w:r>
    </w:p>
    <w:p>
      <w:pPr>
        <w:spacing w:after="0" w:line="237"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6"/>
          <w:szCs w:val="16"/>
          <w:color w:val="auto"/>
        </w:rPr>
        <w:t>The following is a discussion of our financial condition and results of operations for the three-and nine-month periods ended September 30, 2020 and September 30, 2019. References to “GasLog Partners”, “we”, “our”, “us” and “the Partnership” or similar terms refer to GasLog Partners LP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United States Securities Exchange Commission (the “SEC”) on March 3, 2020.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37" w:lineRule="exact"/>
        <w:rPr>
          <w:sz w:val="20"/>
          <w:szCs w:val="20"/>
          <w:color w:val="auto"/>
        </w:rPr>
      </w:pPr>
    </w:p>
    <w:p>
      <w:pPr>
        <w:ind w:right="80" w:firstLine="324"/>
        <w:spacing w:after="0" w:line="269" w:lineRule="auto"/>
        <w:rPr>
          <w:sz w:val="20"/>
          <w:szCs w:val="20"/>
          <w:color w:val="auto"/>
        </w:rPr>
      </w:pPr>
      <w:r>
        <w:rPr>
          <w:rFonts w:ascii="Times New Roman" w:cs="Times New Roman" w:eastAsia="Times New Roman" w:hAnsi="Times New Roman"/>
          <w:sz w:val="16"/>
          <w:szCs w:val="16"/>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and the impact of cash distribution reductions on the Partnership’s business and growth prospects, plans, strategies, business prospects and changes and trends in our business and the markets in which we operate. We caution that these forward-looking statements represent our estimates and assumptions only as of the date of this report,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660" w:right="80" w:hanging="328"/>
        <w:spacing w:after="0" w:line="269"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liquefied natural gas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charter hire rates, vessel utilization and vessel values;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secure new multi-year charters at economically attractive rates;</w:t>
      </w:r>
    </w:p>
    <w:p>
      <w:pPr>
        <w:spacing w:after="0" w:line="18" w:lineRule="exact"/>
        <w:rPr>
          <w:rFonts w:ascii="Times New Roman" w:cs="Times New Roman" w:eastAsia="Times New Roman" w:hAnsi="Times New Roman"/>
          <w:sz w:val="16"/>
          <w:szCs w:val="16"/>
          <w:color w:val="auto"/>
        </w:rPr>
      </w:pPr>
    </w:p>
    <w:p>
      <w:pPr>
        <w:jc w:val="both"/>
        <w:ind w:left="660" w:right="18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operating expenses, including crew wages, maintenance, dry-docking and insurance costs and bunker prices;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off-hire days and dry-docking requirements, including our ability to complete scheduled dry-dockings on time and within budget;</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planned capital expenditures and availability of capital resources to fund capital expenditures;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to the LNG, LNG shipping and financial markets caused by the global shutdown as a result of the COVID-19 pandemic;</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prices for crude oil, petroleum products and natural gas, including LNG;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exchange rates, especially the U.S. dollar and the Euro;</w:t>
      </w:r>
    </w:p>
    <w:p>
      <w:pPr>
        <w:spacing w:after="0" w:line="18" w:lineRule="exact"/>
        <w:rPr>
          <w:rFonts w:ascii="Times New Roman" w:cs="Times New Roman" w:eastAsia="Times New Roman" w:hAnsi="Times New Roman"/>
          <w:sz w:val="16"/>
          <w:szCs w:val="16"/>
          <w:color w:val="auto"/>
        </w:rPr>
      </w:pPr>
    </w:p>
    <w:p>
      <w:pPr>
        <w:ind w:left="660" w:right="38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expand our portfolio by acquiring vessels through our drop-down pipeline with GasLog Ltd. (“GasLog”) or by acquiring other assets from third parties;</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leverage GasLog’s relationships and reputation in the shipping industry;</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GasLog to maintain long-term relationships with major energy companies and major LNG producers, marketers and consumers;</w:t>
      </w:r>
    </w:p>
    <w:p>
      <w:pPr>
        <w:spacing w:after="0" w:line="18" w:lineRule="exact"/>
        <w:rPr>
          <w:rFonts w:ascii="Times New Roman" w:cs="Times New Roman" w:eastAsia="Times New Roman" w:hAnsi="Times New Roman"/>
          <w:sz w:val="16"/>
          <w:szCs w:val="16"/>
          <w:color w:val="auto"/>
        </w:rPr>
      </w:pPr>
    </w:p>
    <w:p>
      <w:pPr>
        <w:ind w:left="660" w:right="16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ownership of our charterers;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customers’ performance of their obligations under our time charters and other contracts;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operating performance, financial condition, liquidity and cash available for distributions;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distribution policy and our ability to make cash distributions on our units or the impact of cash distribution reductions on our financial position;</w:t>
      </w:r>
    </w:p>
    <w:p>
      <w:pPr>
        <w:spacing w:after="0" w:line="18" w:lineRule="exact"/>
        <w:rPr>
          <w:rFonts w:ascii="Times New Roman" w:cs="Times New Roman" w:eastAsia="Times New Roman" w:hAnsi="Times New Roman"/>
          <w:sz w:val="16"/>
          <w:szCs w:val="16"/>
          <w:color w:val="auto"/>
        </w:rPr>
      </w:pPr>
    </w:p>
    <w:p>
      <w:pPr>
        <w:ind w:left="660" w:right="220" w:hanging="328"/>
        <w:spacing w:after="0" w:line="264"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debt and equity financing on acceptable terms to fund capital expenditures, acquisitions and other corporate activities, funding by banks of their financial commitments, funding by GasLog of the revolving credit facility and our ability to meet our restrictive covenants and other obligations under our credit facilities;</w:t>
      </w: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pending or recent acquisitions of ships or other assets, business strategy, areas of possible expansion and expected capital spending;</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inherent in ship operation, including the discharge of pollutants;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on us and the shipping industry of environmental concerns, including climate change;</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malfunction or disruption of information technology systems and networks that our operations rely on or any impact of a possible cybersecurity event;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ind w:left="660" w:right="480" w:hanging="328"/>
        <w:spacing w:after="0" w:line="267"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disruption of shipping routes due to accidents, diseases, pandemics, political events, piracy or acts by terrorists;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liability from future litigation; and</w:t>
      </w:r>
    </w:p>
    <w:p>
      <w:pPr>
        <w:spacing w:after="0" w:line="18" w:lineRule="exact"/>
        <w:rPr>
          <w:rFonts w:ascii="Times New Roman" w:cs="Times New Roman" w:eastAsia="Times New Roman" w:hAnsi="Times New Roman"/>
          <w:sz w:val="16"/>
          <w:szCs w:val="16"/>
          <w:color w:val="auto"/>
        </w:rPr>
      </w:pPr>
    </w:p>
    <w:p>
      <w:pPr>
        <w:ind w:left="660" w:right="60" w:hanging="328"/>
        <w:spacing w:after="0" w:line="288"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risks and uncertainties described in the Partnership’s Annual Report on Form 20-F filed with the SEC on March 3, 2020 and Quarterly Reports on Form 6-K filed with the SEC on May 7, 2020 and August 5, 2020, available at </w:t>
      </w:r>
      <w:r>
        <w:rPr>
          <w:rFonts w:ascii="Times New Roman" w:cs="Times New Roman" w:eastAsia="Times New Roman" w:hAnsi="Times New Roman"/>
          <w:sz w:val="16"/>
          <w:szCs w:val="16"/>
          <w:u w:val="single" w:color="auto"/>
          <w:color w:val="auto"/>
        </w:rPr>
        <w:t>http://www.sec.gov</w:t>
      </w:r>
      <w:r>
        <w:rPr>
          <w:rFonts w:ascii="Times New Roman" w:cs="Times New Roman" w:eastAsia="Times New Roman" w:hAnsi="Times New Roman"/>
          <w:sz w:val="16"/>
          <w:szCs w:val="16"/>
          <w:color w:val="auto"/>
        </w:rPr>
        <w:t>.</w:t>
      </w:r>
    </w:p>
    <w:p>
      <w:pPr>
        <w:spacing w:after="0" w:line="172" w:lineRule="exact"/>
        <w:rPr>
          <w:sz w:val="20"/>
          <w:szCs w:val="20"/>
          <w:color w:val="auto"/>
        </w:rPr>
      </w:pPr>
    </w:p>
    <w:p>
      <w:pPr>
        <w:ind w:right="120" w:firstLine="324"/>
        <w:spacing w:after="0" w:line="298" w:lineRule="auto"/>
        <w:rPr>
          <w:sz w:val="20"/>
          <w:szCs w:val="20"/>
          <w:color w:val="auto"/>
        </w:rPr>
      </w:pPr>
      <w:r>
        <w:rPr>
          <w:rFonts w:ascii="Times New Roman" w:cs="Times New Roman" w:eastAsia="Times New Roman" w:hAnsi="Times New Roman"/>
          <w:sz w:val="16"/>
          <w:szCs w:val="16"/>
          <w:color w:val="auto"/>
        </w:rPr>
        <w:t>The declaration and payment of distributions are at all times subject to the discretion of our board of directors and will depend on, amongst other things, the risks and uncertainties described above, restrictions in our credit facilities, the provisions of Marshall Islands law and such other factors as our board of directors may deem relevant.</w:t>
      </w:r>
    </w:p>
    <w:p>
      <w:pPr>
        <w:spacing w:after="0" w:line="164"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3"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6"/>
          <w:szCs w:val="16"/>
          <w:color w:val="auto"/>
        </w:rPr>
        <w:t>However, given the current uncertainty in relation to COVID-19 and in an effort to facilitate robust disclosure, we have identified the following risks and uncertainties or updated the risk factors described in our Annual Report on Form 20-F filed with the SEC on March 3, 2020 and our Quarterly Reports on Form 6-K filed with the SEC on May 7, 2020 and August 5, 2020: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control the outbreak of the COVID-19 virus is negatively affecting the global economy, energy demand and our business.</w:t>
      </w:r>
    </w:p>
    <w:p>
      <w:pPr>
        <w:spacing w:after="0" w:line="239" w:lineRule="exact"/>
        <w:rPr>
          <w:sz w:val="20"/>
          <w:szCs w:val="20"/>
          <w:color w:val="auto"/>
        </w:rPr>
      </w:pPr>
    </w:p>
    <w:p>
      <w:pPr>
        <w:ind w:firstLine="405"/>
        <w:spacing w:after="0" w:line="265" w:lineRule="auto"/>
        <w:rPr>
          <w:sz w:val="20"/>
          <w:szCs w:val="20"/>
          <w:color w:val="auto"/>
        </w:rPr>
      </w:pPr>
      <w:r>
        <w:rPr>
          <w:rFonts w:ascii="Times New Roman" w:cs="Times New Roman" w:eastAsia="Times New Roman" w:hAnsi="Times New Roman"/>
          <w:sz w:val="16"/>
          <w:szCs w:val="16"/>
          <w:color w:val="auto"/>
        </w:rPr>
        <w:t xml:space="preserve">The COVID-19 virus outbreak has introduced uncertainty in a number of areas of our business, including operational, commercial, administrative and financial activities. It has also negatively impacted, and may continue to impact negatively, global economic activity and demand for energy including LNG. As a result of significantly lower demand for oil and refined products and the failure of the principal producers of oil to reduce production in line with the fall in demand, oil prices have fallen by approximately 40% since the end of 2019. Natural gas prices in the primary European and Asian markets for LNG have fallen to an even greater extent, although they have recently partially recovered. Together with reduced economic activity as a result of the COVID-19 virus, the decline in oil and gas prices disincentivized trading of LNG and reduced the demand for LNG carriers in the first half of 2020. Although the LNG market has recently improved and remains on a positive trend, this improvement may not be sustainable in the long-term. In the financial markets, the virus, and the responses of governments around the world to manage the impact of the virus, have led to lower interest rates and extreme volatility in the prices of equities, bonds, commodities and their respective derivatives. Our unit price has declined significantly this year, due, in part, to the impact of the COVID-19 virus. Record low interest rates and exchange rates, especially the U.S. dollar exchange rate, have required us to post $7.6 million of cash collateral against our current marked-to-market derivative liabilities. The ongoing spread of the COVID-19 virus may negatively affect our business and operations, the health of our crews and the availability of our fleet, particularly if crew members contract COVID-19, as well as our financial position and prospects. A future reduction in LNG demand and further closure of, or restricted access to, ports and terminals in regions affected by the virus may lead to reduced chartering activity and, in the extreme, an inability of our charterers to meet their obligations under the terms of their term charters. Furthermore, we may be unable to secure charters for our vessels at rates that are sufficient to meet our financial obligations, particularly for the vessels that are coming off-charter in the next twelve months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in December 2020, the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in June 2021). We currently have two vessels in the spot market, and these vessels are currently experiencing reduced spot charter rates and demand compared to their initial long-term charters. Continued exposure to the spot market or extended periods of idle time between charters could adversely affect our future liquidity, results of operations and cash flows. Failure to control the spread of the virus could significantly impact economic activity and demand for LNG and LNG shipping which could further negatively affect our business, financial condition, results of operations and cash available for distribution. Should the COVID-19 pandemic continue to negatively impact market rates in the long-term, there would be a significant negative impact on our liquidity and financial condition, as well as the future carrying values of our vessels could be further affected due to a potential unfavorable permanent impact in the key assumptions such as the estimates of future charter rates for non-contracted revenue days and the discount rate in our future impairment assessments.</w:t>
      </w:r>
    </w:p>
    <w:p>
      <w:pPr>
        <w:spacing w:after="0" w:line="202" w:lineRule="exact"/>
        <w:rPr>
          <w:sz w:val="20"/>
          <w:szCs w:val="20"/>
          <w:color w:val="auto"/>
        </w:rPr>
      </w:pPr>
    </w:p>
    <w:p>
      <w:pPr>
        <w:jc w:val="both"/>
        <w:ind w:right="400" w:firstLine="324"/>
        <w:spacing w:after="0" w:line="281" w:lineRule="auto"/>
        <w:rPr>
          <w:sz w:val="20"/>
          <w:szCs w:val="20"/>
          <w:color w:val="auto"/>
        </w:rPr>
      </w:pPr>
      <w:r>
        <w:rPr>
          <w:rFonts w:ascii="Times New Roman" w:cs="Times New Roman" w:eastAsia="Times New Roman" w:hAnsi="Times New Roman"/>
          <w:sz w:val="16"/>
          <w:szCs w:val="16"/>
          <w:color w:val="auto"/>
        </w:rPr>
        <w:t>Although we have taken extensive measures to limit the impact of COVID-19 on business continuity, including implementation of a “work from home” policy for shore-based employees, as required depending on each location, and the commencement of select rotations of offshore personnel where possible, giving effect to local restrictions on the movement of offshore staff, these may not be sufficient to protect our business against the impact of COVID-19.</w:t>
      </w:r>
    </w:p>
    <w:p>
      <w:pPr>
        <w:spacing w:after="0" w:line="17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In 2021, five of our vessels are scheduled to be dry-docked. The dry-docking for one of these vessels will be longer and more costly than normal as a result of the need to install a ballast water treatment system (“BWTS”) on the vessel in order to comply with regulatory requirements. Any delay or cost overrun of the dry-docking could have a material adverse effect on our business, results of operations and financial condition and could significantly reduce or eliminate our ability to pay distributions on our common or Preference Units.</w:t>
      </w:r>
    </w:p>
    <w:p>
      <w:pPr>
        <w:spacing w:after="0" w:line="181"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6"/>
          <w:szCs w:val="16"/>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In 2021, one of the dry-dockings will be longer and more costly than normal as a result of the need to install BWTS on the vessel in order to comply with regulatory requirements. Furthermore, the COVID-19 virus, and implementation of additional “stop work” orders in Singapore, may impact the availability of dry-dock yard slots and our ability to source the required personnel and equipment. If more than one of our ships is required to be out of service at the same time, or if a ship is dry-docked longer than expected or if the cost of repairs is greater than budgeted, our results of operations and our cash flows, including cash available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5" w:name="page16"/>
    <w:bookmarkEnd w:id="15"/>
    <w:p>
      <w:pPr>
        <w:ind w:right="220"/>
        <w:spacing w:after="0" w:line="298" w:lineRule="auto"/>
        <w:rPr>
          <w:sz w:val="20"/>
          <w:szCs w:val="20"/>
          <w:color w:val="auto"/>
        </w:rPr>
      </w:pPr>
      <w:r>
        <w:rPr>
          <w:rFonts w:ascii="Times New Roman" w:cs="Times New Roman" w:eastAsia="Times New Roman" w:hAnsi="Times New Roman"/>
          <w:sz w:val="16"/>
          <w:szCs w:val="16"/>
          <w:color w:val="auto"/>
        </w:rPr>
        <w:t>for distribution to unitholders, could be adversely affected. The upcoming dry-dockings of our vessels are expected to be carried out in 2021 (five vessels) and 2023 (four vessels).</w:t>
      </w:r>
    </w:p>
    <w:p>
      <w:pPr>
        <w:spacing w:after="0" w:line="1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ability to raise capital to repay or refinance our debt obligations or to fund our maintenance or growth capital expenditures will depend on certain financial, business and other factors, many of which are beyond our control. The COVID-19 virus has had a significant impact on all financial markets, including the prices and the volatility of equities, bonds, commodities, interest rates and foreign exchange rates and their associated derivatives, and the availability and cost of liquidity in the bank credit markets. The recent significant fall in the value of our common units may make it difficult or impossible for us to access the equity or equity-linked capital markets. The recent fall in U.S. interest rates has required us to post cash collateral against our current marked-to-market derivative liabilities. To the extent that we are unable to finance these obligations and expenditures with cash from operations or incremental bank loans or by issuing debt or equity securities, our ability to make cash distributions may be diminished, or our financial leverage may increase, or our unitholders may be diluted. Our business may be adversely affected if we need to access sources of funding which are more expensive and/or more restrictive.</w:t>
      </w:r>
    </w:p>
    <w:p>
      <w:pPr>
        <w:spacing w:after="0" w:line="190" w:lineRule="exact"/>
        <w:rPr>
          <w:sz w:val="20"/>
          <w:szCs w:val="20"/>
          <w:color w:val="auto"/>
        </w:rPr>
      </w:pPr>
    </w:p>
    <w:p>
      <w:pPr>
        <w:ind w:right="60" w:firstLine="324"/>
        <w:spacing w:after="0" w:line="272" w:lineRule="auto"/>
        <w:rPr>
          <w:sz w:val="20"/>
          <w:szCs w:val="20"/>
          <w:color w:val="auto"/>
        </w:rPr>
      </w:pPr>
      <w:r>
        <w:rPr>
          <w:rFonts w:ascii="Times New Roman" w:cs="Times New Roman" w:eastAsia="Times New Roman" w:hAnsi="Times New Roman"/>
          <w:sz w:val="16"/>
          <w:szCs w:val="16"/>
          <w:color w:val="auto"/>
        </w:rPr>
        <w:t>To fund our existing and future debt obligations and capital expenditures and any future growth, we will be required to use cash from operations, incur borrowings, and/or seek to access other financing sources including the capital markets. Our access to potential funding sources and our future financial and operating performance will be affected by prevailing economic conditions and financial, business, regulatory and other factors, many of which are beyond our control. The COVID-19 virus is having a significant negative impact on global financial markets. If we are unable to access the capital markets or raise additional bank financing or generate sufficient cash flow to meet our debt, capital expenditure, minimum liquidity and other business requirements, we may be forced to take actions such as:</w:t>
      </w:r>
    </w:p>
    <w:p>
      <w:pPr>
        <w:spacing w:after="0" w:line="18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seeking waivers or consents from our creditors;</w:t>
      </w:r>
    </w:p>
    <w:p>
      <w:pPr>
        <w:spacing w:after="0" w:line="2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our debt;</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seeking additional debt or equity capital;</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selling assets;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 reducing distributions;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reducing, delaying or cancelling our business activities, acquisitions, investments or capital expenditures; or</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seeking bankruptcy protection.</w:t>
      </w:r>
    </w:p>
    <w:p>
      <w:pPr>
        <w:spacing w:after="0" w:line="213"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6"/>
          <w:szCs w:val="16"/>
          <w:color w:val="auto"/>
        </w:rPr>
        <w:t>Such measures might not be successful, available on acceptable terms or enable us to meet our debt, capital expenditure and other obligations. Some of these measures may adversely affect our business and reputation. In addition, our financing agreements may restrict our ability to implement some of these measures. Use of cash from operations and possible future sale of certain assets will reduce cash available for distribution to unitholders. Our ability to obtain bank financing or to access the capital markets may be limited by our financial condition at the time of any such financing or offering as well as by adverse market conditions. Following the recent significant fall in the value of our common units, we may not be able to access the equity or equity-linked capital markets. Even if we are successful in obtaining the necessary funds, the terms of such financings could limit our ability to pay cash distributions to unitholders or operate our business as currently conducted. In addition, incurring additional debt may significantly increase our interest expense and financial leverage, and issuing additional equity securities may result in significant unitholder dilution and would increase the aggregate amount of cash required to maintain our quarterly distributions to unitholders. Despite the recent refinancing of the Partnership’s debt maturities due in 2021, our liquidity position could be challenged in the future, and we may need to raise equity in order to remain in compliance with the financial covenants within our loan facilities.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Unit Repurchase Programme</w:t>
      </w:r>
    </w:p>
    <w:p>
      <w:pPr>
        <w:spacing w:after="0" w:line="237" w:lineRule="exact"/>
        <w:rPr>
          <w:sz w:val="20"/>
          <w:szCs w:val="20"/>
          <w:color w:val="auto"/>
        </w:rPr>
      </w:pPr>
    </w:p>
    <w:p>
      <w:pPr>
        <w:ind w:right="180" w:firstLine="324"/>
        <w:spacing w:after="0" w:line="298" w:lineRule="auto"/>
        <w:rPr>
          <w:sz w:val="20"/>
          <w:szCs w:val="20"/>
          <w:color w:val="auto"/>
        </w:rPr>
      </w:pPr>
      <w:r>
        <w:rPr>
          <w:rFonts w:ascii="Times New Roman" w:cs="Times New Roman" w:eastAsia="Times New Roman" w:hAnsi="Times New Roman"/>
          <w:sz w:val="16"/>
          <w:szCs w:val="16"/>
          <w:color w:val="auto"/>
        </w:rPr>
        <w:t>In the nine months ended September 30, 2020, GasLog Partners repurchased and cancelled 191,490 of the Partnership’s common units at a weighted average price of $5.18 per common unit for a total amount of $1.0 million, including commissions.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ATM Common Equity Offering Programme (“ATM Programme”)</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 issuances of common units were made in the nine months ended September 30, 2020 under the Partnership’s ATM Programme.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37" w:lineRule="exact"/>
        <w:rPr>
          <w:sz w:val="20"/>
          <w:szCs w:val="20"/>
          <w:color w:val="auto"/>
        </w:rPr>
      </w:pPr>
    </w:p>
    <w:p>
      <w:pPr>
        <w:ind w:right="180" w:firstLine="324"/>
        <w:spacing w:after="0" w:line="275" w:lineRule="auto"/>
        <w:rPr>
          <w:sz w:val="20"/>
          <w:szCs w:val="20"/>
          <w:color w:val="auto"/>
        </w:rPr>
      </w:pPr>
      <w:r>
        <w:rPr>
          <w:rFonts w:ascii="Times New Roman" w:cs="Times New Roman" w:eastAsia="Times New Roman" w:hAnsi="Times New Roman"/>
          <w:sz w:val="16"/>
          <w:szCs w:val="16"/>
          <w:color w:val="auto"/>
        </w:rPr>
        <w:t>On July 1, 2020, GasLog Partners issued 415,000 common units in connection with GasLog’s option to convert the first tranche of its Class B units issued upon the elimination of its incentive distribution rights (“IDRs”) in June 2019. Pursuant to this issuance, as of September 30, 2020, GasLog held a 35.3% interest in the Partnership (including 2.0% through general partner units).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COVID-19 Update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Operational update</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GasLog Partners and GasLog’s focus continues to be on ensuring the health and safety of our employees while providing safe and reliable operations for our customers.</w:t>
      </w:r>
    </w:p>
    <w:p>
      <w:pPr>
        <w:spacing w:after="0" w:line="2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onshore locations have returned to a “work from home” policy in accordance with local guidelines and regulations;</w:t>
      </w:r>
    </w:p>
    <w:p>
      <w:pPr>
        <w:spacing w:after="0" w:line="200" w:lineRule="exact"/>
        <w:rPr>
          <w:rFonts w:ascii="Times New Roman" w:cs="Times New Roman" w:eastAsia="Times New Roman" w:hAnsi="Times New Roman"/>
          <w:sz w:val="16"/>
          <w:szCs w:val="16"/>
          <w:color w:val="auto"/>
        </w:rPr>
      </w:pPr>
    </w:p>
    <w:p>
      <w:pPr>
        <w:spacing w:after="0" w:line="246"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6" w:name="page17"/>
    <w:bookmarkEnd w:id="16"/>
    <w:p>
      <w:pPr>
        <w:ind w:left="660" w:right="60" w:hanging="328"/>
        <w:spacing w:after="0" w:line="269"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Crew changes continue to be planned at every opportunity. During the third quarter of 2020 nearly 1,000 crew members rotated compared with approximately 300 during the second quarter of 2020; and</w:t>
      </w:r>
    </w:p>
    <w:p>
      <w:pPr>
        <w:ind w:left="660" w:hanging="328"/>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these measures, and the dedication of employees onshore and aboard our vessels, 100% of our fleet continues to be available for commercial use.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Commercial update</w:t>
      </w:r>
    </w:p>
    <w:p>
      <w:pPr>
        <w:spacing w:after="0" w:line="237"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COVID-19 placed downward pressure on economic activity and energy demand during the third quarter and there remains significant uncertainty regarding near-term LNG demand and, therefore, LNG shipping requirements.</w:t>
      </w:r>
    </w:p>
    <w:p>
      <w:pPr>
        <w:spacing w:after="0" w:line="16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Partnership’s charter coverage for the fourth quarter of 2020 is 99%, based on signed contracts as of November 10, 2020;</w:t>
      </w:r>
    </w:p>
    <w:p>
      <w:pPr>
        <w:spacing w:after="0" w:line="2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combined impact of COVID-19 and normal seasonality has led to greater volatility in spot rates; and</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utilization and earnings of our vessels trading in the spot market are currently materially lower than their earnings under their initial multi-year charters.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update</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COVID-19 has had a sustained impact on global capital and bank credit markets, affecting access, timing and cost of capital.</w:t>
      </w:r>
    </w:p>
    <w:p>
      <w:pPr>
        <w:spacing w:after="0" w:line="235" w:lineRule="exact"/>
        <w:rPr>
          <w:sz w:val="20"/>
          <w:szCs w:val="20"/>
          <w:color w:val="auto"/>
        </w:rPr>
      </w:pPr>
    </w:p>
    <w:p>
      <w:pPr>
        <w:ind w:left="660" w:hanging="328"/>
        <w:spacing w:after="0" w:line="269"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COVID-19, we have refinanced in full the Partnership’s debt maturities due in 2021 with two new credit facilities representing a total of $454.0 million, strengthening the balance sheet and delivering $14.9 million of incremental liquidity to the Partnership; and</w:t>
      </w:r>
    </w:p>
    <w:p>
      <w:pPr>
        <w:ind w:left="660" w:hanging="328"/>
        <w:spacing w:after="0" w:line="288"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recent amendments to our interest rate swap agreements and to the Credit Support Annex with GasLog, the cash collateral posted against our derivative liabilities has decreased to $7.6 million as of September 30, 2020 from $15.0 million as of June 30, 2020 and March 31, 2020.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Cash Distribution</w:t>
      </w:r>
    </w:p>
    <w:p>
      <w:pPr>
        <w:spacing w:after="0" w:line="237" w:lineRule="exact"/>
        <w:rPr>
          <w:sz w:val="20"/>
          <w:szCs w:val="20"/>
          <w:color w:val="auto"/>
        </w:rPr>
      </w:pPr>
    </w:p>
    <w:p>
      <w:pPr>
        <w:ind w:right="60" w:firstLine="427"/>
        <w:spacing w:after="0" w:line="269" w:lineRule="auto"/>
        <w:rPr>
          <w:sz w:val="20"/>
          <w:szCs w:val="20"/>
          <w:color w:val="auto"/>
        </w:rPr>
      </w:pPr>
      <w:r>
        <w:rPr>
          <w:rFonts w:ascii="Times New Roman" w:cs="Times New Roman" w:eastAsia="Times New Roman" w:hAnsi="Times New Roman"/>
          <w:sz w:val="16"/>
          <w:szCs w:val="16"/>
          <w:color w:val="auto"/>
        </w:rPr>
        <w:t>On November 9, 2020, the board of directors of GasLog Partners approved and declared a quarterly cash distribution of $0.01 per common unit for the quarter ended September 30, 2020. The cash distribution is payable on November 25, 2020 to all unitholders of record as of November 20, 2020. The aggregate amount of the declared distribution will be $0.5 million based on the number of units issued and outstanding as of September 30, 2020. As a result, GasLog Partners will retain approximately $22 million annually based on the distribution rate for the quarter ended September 30, 2020. This decision was made with a view to further strengthen the Partnership’s balance sheet, lower the fleet’s breakeven, reduce its cost of capital and further enhance its competitive positioning during this period of COVID-19-related uncertainty in the near-term LNG and LNG shipping markets. In parallel, management and the board of directors intend to engage with an independent advisor to review together the Partnership’s business and all potential strategic options available.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37" w:lineRule="exact"/>
        <w:rPr>
          <w:sz w:val="20"/>
          <w:szCs w:val="20"/>
          <w:color w:val="auto"/>
        </w:rPr>
      </w:pPr>
    </w:p>
    <w:p>
      <w:pPr>
        <w:jc w:val="both"/>
        <w:ind w:right="220" w:firstLine="324"/>
        <w:spacing w:after="0" w:line="281" w:lineRule="auto"/>
        <w:rPr>
          <w:sz w:val="20"/>
          <w:szCs w:val="20"/>
          <w:color w:val="auto"/>
        </w:rPr>
      </w:pPr>
      <w:r>
        <w:rPr>
          <w:rFonts w:ascii="Times New Roman" w:cs="Times New Roman" w:eastAsia="Times New Roman" w:hAnsi="Times New Roman"/>
          <w:sz w:val="16"/>
          <w:szCs w:val="16"/>
          <w:color w:val="auto"/>
        </w:rPr>
        <w:t>Since our initial public offering (“IPO”) in May 2014, we have been a growth-oriented limited partnership focused on acquiring, owning and operating LNG carriers engaged in LNG transportation under multi-year charters, growing our fleet from three vessels at the time of our IPO to 15 today, of which ten have tri-fuel diesel electric (“TFDE”) propulsion technology and five are Steam vessels.</w:t>
      </w:r>
    </w:p>
    <w:p>
      <w:pPr>
        <w:spacing w:after="0" w:line="177" w:lineRule="exact"/>
        <w:rPr>
          <w:sz w:val="20"/>
          <w:szCs w:val="20"/>
          <w:color w:val="auto"/>
        </w:rPr>
      </w:pPr>
    </w:p>
    <w:p>
      <w:pPr>
        <w:ind w:right="60" w:firstLine="324"/>
        <w:spacing w:after="0" w:line="272" w:lineRule="auto"/>
        <w:rPr>
          <w:sz w:val="20"/>
          <w:szCs w:val="20"/>
          <w:color w:val="auto"/>
        </w:rPr>
      </w:pPr>
      <w:r>
        <w:rPr>
          <w:rFonts w:ascii="Times New Roman" w:cs="Times New Roman" w:eastAsia="Times New Roman" w:hAnsi="Times New Roman"/>
          <w:sz w:val="16"/>
          <w:szCs w:val="16"/>
          <w:color w:val="auto"/>
        </w:rPr>
        <w:t>As of September 30, 2020, our fleet consisted of 15 LNG carriers, including ten vessels with TFDE propulsion and five Steam vessels. We also have options and other rights under which we may acquire additional LNG carriers from GasLog, as described below. We believe that such options and rights could provide us with built-in growth opportunities, subject to certain conditions described below. We may also acquire vessels or other LNG infrastructure assets from shipyards or other owners. However, we cannot assure you that we will make any particular acquisition or that, as a consequence, we will successfully grow our distributions per common unit. Among other things, our ability to acquire additional LNG carriers or other LNG infrastructure assets will be dependent upon our ability to raise additional equity and debt financing.</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t>Our Fleet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Owned Fleet</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Our fleet currently consists of the following vessels: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Cargo</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LNG Carrier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(cubic meters</w:t>
            </w: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Charter</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40" w:type="dxa"/>
            <w:vAlign w:val="bottom"/>
            <w:gridSpan w:val="4"/>
            <w:vMerge w:val="continue"/>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Year Built</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“cbm”)</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Charterer</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3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Optional Period</w:t>
            </w:r>
          </w:p>
        </w:tc>
        <w:tc>
          <w:tcPr>
            <w:tcW w:w="0" w:type="dxa"/>
            <w:vAlign w:val="bottom"/>
          </w:tcPr>
          <w:p>
            <w:pPr>
              <w:spacing w:after="0"/>
              <w:rPr>
                <w:sz w:val="1"/>
                <w:szCs w:val="1"/>
                <w:color w:val="auto"/>
              </w:rPr>
            </w:pPr>
          </w:p>
        </w:tc>
      </w:tr>
      <w:tr>
        <w:trPr>
          <w:trHeight w:val="202"/>
        </w:trPr>
        <w:tc>
          <w:tcPr>
            <w:tcW w:w="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w:t>
            </w:r>
          </w:p>
        </w:tc>
        <w:tc>
          <w:tcPr>
            <w:tcW w:w="2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Methane Rita Andrea</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120" w:type="dxa"/>
            <w:vAlign w:val="bottom"/>
          </w:tcPr>
          <w:p>
            <w:pPr>
              <w:spacing w:after="0"/>
              <w:rPr>
                <w:sz w:val="17"/>
                <w:szCs w:val="17"/>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Spot Market</w:t>
            </w:r>
          </w:p>
        </w:tc>
        <w:tc>
          <w:tcPr>
            <w:tcW w:w="120" w:type="dxa"/>
            <w:vAlign w:val="bottom"/>
          </w:tcPr>
          <w:p>
            <w:pPr>
              <w:spacing w:after="0"/>
              <w:rPr>
                <w:sz w:val="17"/>
                <w:szCs w:val="17"/>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Steam</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2640" w:type="dxa"/>
            <w:vAlign w:val="bottom"/>
            <w:gridSpan w:val="3"/>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GasLog Sydney</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shd w:val="clear" w:color="auto" w:fill="E5FFFF"/>
          </w:tcPr>
          <w:p>
            <w:pPr>
              <w:spacing w:after="0"/>
              <w:rPr>
                <w:sz w:val="18"/>
                <w:szCs w:val="18"/>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rPr>
              <w:t>Spot Market</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w:t>
            </w:r>
          </w:p>
        </w:tc>
        <w:tc>
          <w:tcPr>
            <w:tcW w:w="2640" w:type="dxa"/>
            <w:vAlign w:val="bottom"/>
            <w:gridSpan w:val="3"/>
          </w:tcPr>
          <w:p>
            <w:pPr>
              <w:ind w:left="40"/>
              <w:spacing w:after="0"/>
              <w:rPr>
                <w:sz w:val="20"/>
                <w:szCs w:val="20"/>
                <w:color w:val="auto"/>
              </w:rPr>
            </w:pPr>
            <w:r>
              <w:rPr>
                <w:rFonts w:ascii="Times New Roman" w:cs="Times New Roman" w:eastAsia="Times New Roman" w:hAnsi="Times New Roman"/>
                <w:sz w:val="16"/>
                <w:szCs w:val="16"/>
                <w:i w:val="1"/>
                <w:iCs w:val="1"/>
                <w:color w:val="auto"/>
              </w:rPr>
              <w:t>Methane Jane Elizabeth</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2006</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tcPr>
          <w:p>
            <w:pPr>
              <w:spacing w:after="0"/>
              <w:rPr>
                <w:sz w:val="21"/>
                <w:szCs w:val="21"/>
                <w:color w:val="auto"/>
              </w:rPr>
            </w:pPr>
          </w:p>
        </w:tc>
        <w:tc>
          <w:tcPr>
            <w:tcW w:w="168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4"/>
              </w:rPr>
              <w:t>Trafigura</w:t>
            </w:r>
            <w:r>
              <w:rPr>
                <w:rFonts w:ascii="Times New Roman" w:cs="Times New Roman" w:eastAsia="Times New Roman" w:hAnsi="Times New Roman"/>
                <w:sz w:val="26"/>
                <w:szCs w:val="26"/>
                <w:color w:val="auto"/>
                <w:w w:val="94"/>
                <w:vertAlign w:val="superscript"/>
              </w:rPr>
              <w:t>(1)</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2020</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w:t>
            </w:r>
          </w:p>
        </w:tc>
        <w:tc>
          <w:tcPr>
            <w:tcW w:w="2640" w:type="dxa"/>
            <w:vAlign w:val="bottom"/>
            <w:gridSpan w:val="3"/>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Methane Heather Sally</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20" w:type="dxa"/>
            <w:vAlign w:val="bottom"/>
            <w:shd w:val="clear" w:color="auto" w:fill="E5FFFF"/>
          </w:tcPr>
          <w:p>
            <w:pPr>
              <w:spacing w:after="0"/>
              <w:rPr>
                <w:sz w:val="18"/>
                <w:szCs w:val="18"/>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15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December 2020</w:t>
            </w:r>
          </w:p>
        </w:tc>
        <w:tc>
          <w:tcPr>
            <w:tcW w:w="13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4"/>
        </w:trPr>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w:t>
            </w:r>
          </w:p>
        </w:tc>
        <w:tc>
          <w:tcPr>
            <w:tcW w:w="2640" w:type="dxa"/>
            <w:vAlign w:val="bottom"/>
            <w:gridSpan w:val="3"/>
          </w:tcPr>
          <w:p>
            <w:pPr>
              <w:ind w:left="40"/>
              <w:spacing w:after="0"/>
              <w:rPr>
                <w:sz w:val="20"/>
                <w:szCs w:val="20"/>
                <w:color w:val="auto"/>
              </w:rPr>
            </w:pPr>
            <w:r>
              <w:rPr>
                <w:rFonts w:ascii="Times New Roman" w:cs="Times New Roman" w:eastAsia="Times New Roman" w:hAnsi="Times New Roman"/>
                <w:sz w:val="16"/>
                <w:szCs w:val="16"/>
                <w:i w:val="1"/>
                <w:iCs w:val="1"/>
                <w:color w:val="auto"/>
              </w:rPr>
              <w:t>GasLog Seattle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June 2021</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8"/>
        </w:trPr>
        <w:tc>
          <w:tcPr>
            <w:tcW w:w="2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6</w:t>
            </w:r>
          </w:p>
        </w:tc>
        <w:tc>
          <w:tcPr>
            <w:tcW w:w="2640" w:type="dxa"/>
            <w:vAlign w:val="bottom"/>
            <w:gridSpan w:val="3"/>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Solaris</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2014</w:t>
            </w:r>
          </w:p>
        </w:tc>
        <w:tc>
          <w:tcPr>
            <w:tcW w:w="120" w:type="dxa"/>
            <w:vAlign w:val="bottom"/>
            <w:shd w:val="clear" w:color="auto" w:fill="E5FFFF"/>
          </w:tcPr>
          <w:p>
            <w:pPr>
              <w:spacing w:after="0"/>
              <w:rPr>
                <w:sz w:val="18"/>
                <w:szCs w:val="18"/>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rPr>
              <w:t>June 2021</w:t>
            </w:r>
          </w:p>
        </w:tc>
        <w:tc>
          <w:tcPr>
            <w:tcW w:w="13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w:t>
            </w:r>
          </w:p>
        </w:tc>
        <w:tc>
          <w:tcPr>
            <w:tcW w:w="2640" w:type="dxa"/>
            <w:vAlign w:val="bottom"/>
            <w:gridSpan w:val="3"/>
          </w:tcPr>
          <w:p>
            <w:pPr>
              <w:ind w:left="40"/>
              <w:spacing w:after="0"/>
              <w:rPr>
                <w:sz w:val="20"/>
                <w:szCs w:val="20"/>
                <w:color w:val="auto"/>
              </w:rPr>
            </w:pPr>
            <w:r>
              <w:rPr>
                <w:rFonts w:ascii="Times New Roman" w:cs="Times New Roman" w:eastAsia="Times New Roman" w:hAnsi="Times New Roman"/>
                <w:sz w:val="16"/>
                <w:szCs w:val="16"/>
                <w:i w:val="1"/>
                <w:iCs w:val="1"/>
                <w:color w:val="auto"/>
              </w:rPr>
              <w:t>GasLog Santiago</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tcPr>
          <w:p>
            <w:pPr>
              <w:spacing w:after="0"/>
              <w:rPr>
                <w:sz w:val="21"/>
                <w:szCs w:val="21"/>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Trafigura</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2021</w:t>
            </w:r>
          </w:p>
        </w:tc>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6"/>
              </w:rPr>
              <w:t xml:space="preserve">2022-2028 </w:t>
            </w:r>
            <w:r>
              <w:rPr>
                <w:rFonts w:ascii="Times New Roman" w:cs="Times New Roman" w:eastAsia="Times New Roman" w:hAnsi="Times New Roman"/>
                <w:sz w:val="26"/>
                <w:szCs w:val="26"/>
                <w:color w:val="auto"/>
                <w:w w:val="96"/>
                <w:vertAlign w:val="superscript"/>
              </w:rPr>
              <w:t>(2)</w:t>
            </w: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w:t>
            </w:r>
          </w:p>
        </w:tc>
        <w:tc>
          <w:tcPr>
            <w:tcW w:w="2640" w:type="dxa"/>
            <w:vAlign w:val="bottom"/>
            <w:gridSpan w:val="3"/>
            <w:shd w:val="clear" w:color="auto" w:fill="E5FFFF"/>
          </w:tcPr>
          <w:p>
            <w:pPr>
              <w:ind w:left="40"/>
              <w:spacing w:after="0"/>
              <w:rPr>
                <w:sz w:val="20"/>
                <w:szCs w:val="20"/>
                <w:color w:val="auto"/>
              </w:rPr>
            </w:pPr>
            <w:r>
              <w:rPr>
                <w:rFonts w:ascii="Times New Roman" w:cs="Times New Roman" w:eastAsia="Times New Roman" w:hAnsi="Times New Roman"/>
                <w:sz w:val="16"/>
                <w:szCs w:val="16"/>
                <w:i w:val="1"/>
                <w:iCs w:val="1"/>
                <w:color w:val="auto"/>
              </w:rPr>
              <w:t>Methane Shirley Elisabeth</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1"/>
              </w:rPr>
              <w:t>JOVO</w:t>
            </w:r>
            <w:r>
              <w:rPr>
                <w:rFonts w:ascii="Times New Roman" w:cs="Times New Roman" w:eastAsia="Times New Roman" w:hAnsi="Times New Roman"/>
                <w:sz w:val="26"/>
                <w:szCs w:val="26"/>
                <w:color w:val="auto"/>
                <w:w w:val="91"/>
                <w:vertAlign w:val="superscript"/>
              </w:rPr>
              <w:t>(3)</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15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rPr>
              <w:t>August 2022</w:t>
            </w:r>
          </w:p>
        </w:tc>
        <w:tc>
          <w:tcPr>
            <w:tcW w:w="13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9</w:t>
            </w:r>
          </w:p>
        </w:tc>
        <w:tc>
          <w:tcPr>
            <w:tcW w:w="2640" w:type="dxa"/>
            <w:vAlign w:val="bottom"/>
            <w:gridSpan w:val="3"/>
          </w:tcPr>
          <w:p>
            <w:pPr>
              <w:ind w:left="40"/>
              <w:spacing w:after="0"/>
              <w:rPr>
                <w:sz w:val="20"/>
                <w:szCs w:val="20"/>
                <w:color w:val="auto"/>
              </w:rPr>
            </w:pPr>
            <w:r>
              <w:rPr>
                <w:rFonts w:ascii="Times New Roman" w:cs="Times New Roman" w:eastAsia="Times New Roman" w:hAnsi="Times New Roman"/>
                <w:sz w:val="16"/>
                <w:szCs w:val="16"/>
                <w:i w:val="1"/>
                <w:iCs w:val="1"/>
                <w:color w:val="auto"/>
              </w:rPr>
              <w:t>GasLog Shanghai</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120" w:type="dxa"/>
            <w:vAlign w:val="bottom"/>
          </w:tcPr>
          <w:p>
            <w:pPr>
              <w:spacing w:after="0"/>
              <w:rPr>
                <w:sz w:val="21"/>
                <w:szCs w:val="21"/>
                <w:color w:val="auto"/>
              </w:rPr>
            </w:pPr>
          </w:p>
        </w:tc>
        <w:tc>
          <w:tcPr>
            <w:tcW w:w="168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2"/>
              </w:rPr>
              <w:t xml:space="preserve">Gunvor </w:t>
            </w:r>
            <w:r>
              <w:rPr>
                <w:rFonts w:ascii="Times New Roman" w:cs="Times New Roman" w:eastAsia="Times New Roman" w:hAnsi="Times New Roman"/>
                <w:sz w:val="26"/>
                <w:szCs w:val="26"/>
                <w:color w:val="auto"/>
                <w:w w:val="92"/>
                <w:vertAlign w:val="superscript"/>
              </w:rPr>
              <w:t>(4)</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November 2022</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840" w:type="dxa"/>
            <w:vAlign w:val="bottom"/>
            <w:gridSpan w:val="4"/>
            <w:shd w:val="clear" w:color="auto" w:fill="E5FFFF"/>
          </w:tcPr>
          <w:p>
            <w:pPr>
              <w:ind w:left="40"/>
              <w:spacing w:after="0" w:line="243" w:lineRule="exact"/>
              <w:rPr>
                <w:sz w:val="20"/>
                <w:szCs w:val="20"/>
                <w:color w:val="auto"/>
              </w:rPr>
            </w:pPr>
            <w:r>
              <w:rPr>
                <w:rFonts w:ascii="Times New Roman" w:cs="Times New Roman" w:eastAsia="Times New Roman" w:hAnsi="Times New Roman"/>
                <w:sz w:val="28"/>
                <w:szCs w:val="28"/>
                <w:b w:val="1"/>
                <w:bCs w:val="1"/>
                <w:color w:val="auto"/>
                <w:vertAlign w:val="superscript"/>
              </w:rPr>
              <w:t>10</w:t>
            </w:r>
            <w:r>
              <w:rPr>
                <w:rFonts w:ascii="Times New Roman" w:cs="Times New Roman" w:eastAsia="Times New Roman" w:hAnsi="Times New Roman"/>
                <w:sz w:val="15"/>
                <w:szCs w:val="15"/>
                <w:i w:val="1"/>
                <w:iCs w:val="1"/>
                <w:color w:val="auto"/>
              </w:rPr>
              <w:t xml:space="preserve"> GasLog Geneva</w:t>
            </w:r>
          </w:p>
        </w:tc>
        <w:tc>
          <w:tcPr>
            <w:tcW w:w="90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shd w:val="clear" w:color="auto" w:fill="E5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shd w:val="clear" w:color="auto" w:fill="E5FFFF"/>
          </w:tcPr>
          <w:p>
            <w:pPr>
              <w:jc w:val="center"/>
              <w:ind w:right="60"/>
              <w:spacing w:after="0"/>
              <w:rPr>
                <w:sz w:val="20"/>
                <w:szCs w:val="20"/>
                <w:color w:val="auto"/>
              </w:rPr>
            </w:pPr>
            <w:r>
              <w:rPr>
                <w:rFonts w:ascii="Times New Roman" w:cs="Times New Roman" w:eastAsia="Times New Roman" w:hAnsi="Times New Roman"/>
                <w:sz w:val="16"/>
                <w:szCs w:val="16"/>
                <w:color w:val="auto"/>
                <w:w w:val="99"/>
              </w:rPr>
              <w:t>September 2023</w:t>
            </w:r>
          </w:p>
        </w:tc>
        <w:tc>
          <w:tcPr>
            <w:tcW w:w="134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2028–2031 </w:t>
            </w:r>
            <w:r>
              <w:rPr>
                <w:rFonts w:ascii="Times New Roman" w:cs="Times New Roman" w:eastAsia="Times New Roman" w:hAnsi="Times New Roman"/>
                <w:sz w:val="26"/>
                <w:szCs w:val="26"/>
                <w:color w:val="auto"/>
                <w:w w:val="95"/>
                <w:vertAlign w:val="superscript"/>
              </w:rPr>
              <w:t>(5)</w:t>
            </w:r>
          </w:p>
        </w:tc>
        <w:tc>
          <w:tcPr>
            <w:tcW w:w="0" w:type="dxa"/>
            <w:vAlign w:val="bottom"/>
          </w:tcPr>
          <w:p>
            <w:pPr>
              <w:spacing w:after="0"/>
              <w:rPr>
                <w:sz w:val="1"/>
                <w:szCs w:val="1"/>
                <w:color w:val="auto"/>
              </w:rPr>
            </w:pPr>
          </w:p>
        </w:tc>
      </w:tr>
      <w:tr>
        <w:trPr>
          <w:trHeight w:val="243"/>
        </w:trPr>
        <w:tc>
          <w:tcPr>
            <w:tcW w:w="2840" w:type="dxa"/>
            <w:vAlign w:val="bottom"/>
            <w:gridSpan w:val="4"/>
          </w:tcPr>
          <w:p>
            <w:pPr>
              <w:ind w:left="40"/>
              <w:spacing w:after="0" w:line="243" w:lineRule="exact"/>
              <w:rPr>
                <w:sz w:val="20"/>
                <w:szCs w:val="20"/>
                <w:color w:val="auto"/>
              </w:rPr>
            </w:pPr>
            <w:r>
              <w:rPr>
                <w:rFonts w:ascii="Times New Roman" w:cs="Times New Roman" w:eastAsia="Times New Roman" w:hAnsi="Times New Roman"/>
                <w:sz w:val="28"/>
                <w:szCs w:val="28"/>
                <w:b w:val="1"/>
                <w:bCs w:val="1"/>
                <w:color w:val="auto"/>
                <w:vertAlign w:val="superscript"/>
              </w:rPr>
              <w:t>11</w:t>
            </w:r>
            <w:r>
              <w:rPr>
                <w:rFonts w:ascii="Times New Roman" w:cs="Times New Roman" w:eastAsia="Times New Roman" w:hAnsi="Times New Roman"/>
                <w:sz w:val="15"/>
                <w:szCs w:val="15"/>
                <w:i w:val="1"/>
                <w:iCs w:val="1"/>
                <w:color w:val="auto"/>
              </w:rPr>
              <w:t xml:space="preserve"> Methane Alison Victoria</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120" w:type="dxa"/>
            <w:vAlign w:val="bottom"/>
          </w:tcPr>
          <w:p>
            <w:pPr>
              <w:spacing w:after="0"/>
              <w:rPr>
                <w:sz w:val="21"/>
                <w:szCs w:val="21"/>
                <w:color w:val="auto"/>
              </w:rPr>
            </w:pPr>
          </w:p>
        </w:tc>
        <w:tc>
          <w:tcPr>
            <w:tcW w:w="168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6"/>
              </w:rPr>
              <w:t xml:space="preserve">CNTIC VPower </w:t>
            </w:r>
            <w:r>
              <w:rPr>
                <w:rFonts w:ascii="Times New Roman" w:cs="Times New Roman" w:eastAsia="Times New Roman" w:hAnsi="Times New Roman"/>
                <w:sz w:val="26"/>
                <w:szCs w:val="26"/>
                <w:color w:val="auto"/>
                <w:w w:val="96"/>
                <w:vertAlign w:val="superscript"/>
              </w:rPr>
              <w:t>(6)</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Steam</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2023</w:t>
            </w:r>
          </w:p>
        </w:tc>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2024–2025 </w:t>
            </w:r>
            <w:r>
              <w:rPr>
                <w:rFonts w:ascii="Times New Roman" w:cs="Times New Roman" w:eastAsia="Times New Roman" w:hAnsi="Times New Roman"/>
                <w:sz w:val="26"/>
                <w:szCs w:val="26"/>
                <w:color w:val="auto"/>
                <w:w w:val="95"/>
                <w:vertAlign w:val="superscript"/>
              </w:rPr>
              <w:t>(6)</w:t>
            </w:r>
          </w:p>
        </w:tc>
        <w:tc>
          <w:tcPr>
            <w:tcW w:w="0" w:type="dxa"/>
            <w:vAlign w:val="bottom"/>
          </w:tcPr>
          <w:p>
            <w:pPr>
              <w:spacing w:after="0"/>
              <w:rPr>
                <w:sz w:val="1"/>
                <w:szCs w:val="1"/>
                <w:color w:val="auto"/>
              </w:rPr>
            </w:pPr>
          </w:p>
        </w:tc>
      </w:tr>
      <w:tr>
        <w:trPr>
          <w:trHeight w:val="243"/>
        </w:trPr>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12</w:t>
            </w:r>
          </w:p>
        </w:tc>
        <w:tc>
          <w:tcPr>
            <w:tcW w:w="2600" w:type="dxa"/>
            <w:vAlign w:val="bottom"/>
            <w:gridSpan w:val="2"/>
            <w:shd w:val="clear" w:color="auto" w:fill="DFFFFF"/>
          </w:tcPr>
          <w:p>
            <w:pPr>
              <w:spacing w:after="0"/>
              <w:rPr>
                <w:sz w:val="20"/>
                <w:szCs w:val="20"/>
                <w:color w:val="auto"/>
              </w:rPr>
            </w:pPr>
            <w:r>
              <w:rPr>
                <w:rFonts w:ascii="Times New Roman" w:cs="Times New Roman" w:eastAsia="Times New Roman" w:hAnsi="Times New Roman"/>
                <w:sz w:val="16"/>
                <w:szCs w:val="16"/>
                <w:i w:val="1"/>
                <w:iCs w:val="1"/>
                <w:color w:val="auto"/>
              </w:rPr>
              <w:t>GasLog Gibraltar</w:t>
            </w:r>
          </w:p>
        </w:tc>
        <w:tc>
          <w:tcPr>
            <w:tcW w:w="900" w:type="dxa"/>
            <w:vAlign w:val="bottom"/>
            <w:shd w:val="clear" w:color="auto" w:fill="DFFF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shd w:val="clear" w:color="auto" w:fill="DFFFFF"/>
          </w:tcPr>
          <w:p>
            <w:pPr>
              <w:spacing w:after="0"/>
              <w:rPr>
                <w:sz w:val="21"/>
                <w:szCs w:val="21"/>
                <w:color w:val="auto"/>
              </w:rPr>
            </w:pPr>
          </w:p>
        </w:tc>
        <w:tc>
          <w:tcPr>
            <w:tcW w:w="1580" w:type="dxa"/>
            <w:vAlign w:val="bottom"/>
            <w:shd w:val="clear" w:color="auto" w:fill="DFFF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shd w:val="clear" w:color="auto" w:fill="DFFFFF"/>
          </w:tcPr>
          <w:p>
            <w:pPr>
              <w:spacing w:after="0"/>
              <w:rPr>
                <w:sz w:val="21"/>
                <w:szCs w:val="21"/>
                <w:color w:val="auto"/>
              </w:rPr>
            </w:pPr>
          </w:p>
        </w:tc>
        <w:tc>
          <w:tcPr>
            <w:tcW w:w="1680" w:type="dxa"/>
            <w:vAlign w:val="bottom"/>
            <w:gridSpan w:val="2"/>
            <w:shd w:val="clear" w:color="auto" w:fill="DFFF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shd w:val="clear" w:color="auto" w:fill="DF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shd w:val="clear" w:color="auto" w:fill="DFFFFF"/>
          </w:tcPr>
          <w:p>
            <w:pPr>
              <w:jc w:val="center"/>
              <w:ind w:right="60"/>
              <w:spacing w:after="0"/>
              <w:rPr>
                <w:sz w:val="20"/>
                <w:szCs w:val="20"/>
                <w:color w:val="auto"/>
              </w:rPr>
            </w:pPr>
            <w:r>
              <w:rPr>
                <w:rFonts w:ascii="Times New Roman" w:cs="Times New Roman" w:eastAsia="Times New Roman" w:hAnsi="Times New Roman"/>
                <w:sz w:val="16"/>
                <w:szCs w:val="16"/>
                <w:color w:val="auto"/>
              </w:rPr>
              <w:t>October 2023</w:t>
            </w:r>
          </w:p>
        </w:tc>
        <w:tc>
          <w:tcPr>
            <w:tcW w:w="1340" w:type="dxa"/>
            <w:vAlign w:val="bottom"/>
            <w:shd w:val="clear" w:color="auto" w:fill="DF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2028–2031 </w:t>
            </w:r>
            <w:r>
              <w:rPr>
                <w:rFonts w:ascii="Times New Roman" w:cs="Times New Roman" w:eastAsia="Times New Roman" w:hAnsi="Times New Roman"/>
                <w:sz w:val="26"/>
                <w:szCs w:val="26"/>
                <w:color w:val="auto"/>
                <w:w w:val="95"/>
                <w:vertAlign w:val="superscript"/>
              </w:rPr>
              <w:t>(5)</w:t>
            </w:r>
          </w:p>
        </w:tc>
        <w:tc>
          <w:tcPr>
            <w:tcW w:w="0" w:type="dxa"/>
            <w:vAlign w:val="bottom"/>
          </w:tcPr>
          <w:p>
            <w:pPr>
              <w:spacing w:after="0"/>
              <w:rPr>
                <w:sz w:val="1"/>
                <w:szCs w:val="1"/>
                <w:color w:val="auto"/>
              </w:rPr>
            </w:pPr>
          </w:p>
        </w:tc>
      </w:tr>
      <w:tr>
        <w:trPr>
          <w:trHeight w:val="243"/>
        </w:trPr>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13</w:t>
            </w: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Methane Becki Anne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2010</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170,000</w:t>
            </w:r>
          </w:p>
        </w:tc>
        <w:tc>
          <w:tcPr>
            <w:tcW w:w="120" w:type="dxa"/>
            <w:vAlign w:val="bottom"/>
          </w:tcPr>
          <w:p>
            <w:pPr>
              <w:spacing w:after="0"/>
              <w:rPr>
                <w:sz w:val="21"/>
                <w:szCs w:val="21"/>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2024</w:t>
            </w:r>
          </w:p>
        </w:tc>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5"/>
              </w:rPr>
              <w:t xml:space="preserve">2027–2029 </w:t>
            </w:r>
            <w:r>
              <w:rPr>
                <w:rFonts w:ascii="Times New Roman" w:cs="Times New Roman" w:eastAsia="Times New Roman" w:hAnsi="Times New Roman"/>
                <w:sz w:val="26"/>
                <w:szCs w:val="26"/>
                <w:color w:val="auto"/>
                <w:w w:val="95"/>
                <w:vertAlign w:val="superscript"/>
              </w:rPr>
              <w:t>(7)</w:t>
            </w:r>
          </w:p>
        </w:tc>
        <w:tc>
          <w:tcPr>
            <w:tcW w:w="0" w:type="dxa"/>
            <w:vAlign w:val="bottom"/>
          </w:tcPr>
          <w:p>
            <w:pPr>
              <w:spacing w:after="0"/>
              <w:rPr>
                <w:sz w:val="1"/>
                <w:szCs w:val="1"/>
                <w:color w:val="auto"/>
              </w:rPr>
            </w:pPr>
          </w:p>
        </w:tc>
      </w:tr>
      <w:tr>
        <w:trPr>
          <w:trHeight w:val="243"/>
        </w:trPr>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14</w:t>
            </w:r>
          </w:p>
        </w:tc>
        <w:tc>
          <w:tcPr>
            <w:tcW w:w="2600" w:type="dxa"/>
            <w:vAlign w:val="bottom"/>
            <w:gridSpan w:val="2"/>
            <w:shd w:val="clear" w:color="auto" w:fill="DFFFFF"/>
          </w:tcPr>
          <w:p>
            <w:pPr>
              <w:spacing w:after="0"/>
              <w:rPr>
                <w:sz w:val="20"/>
                <w:szCs w:val="20"/>
                <w:color w:val="auto"/>
              </w:rPr>
            </w:pPr>
            <w:r>
              <w:rPr>
                <w:rFonts w:ascii="Times New Roman" w:cs="Times New Roman" w:eastAsia="Times New Roman" w:hAnsi="Times New Roman"/>
                <w:sz w:val="16"/>
                <w:szCs w:val="16"/>
                <w:i w:val="1"/>
                <w:iCs w:val="1"/>
                <w:color w:val="auto"/>
              </w:rPr>
              <w:t>GasLog Greece</w:t>
            </w:r>
          </w:p>
        </w:tc>
        <w:tc>
          <w:tcPr>
            <w:tcW w:w="900" w:type="dxa"/>
            <w:vAlign w:val="bottom"/>
            <w:shd w:val="clear" w:color="auto" w:fill="DFFFFF"/>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shd w:val="clear" w:color="auto" w:fill="DFFFFF"/>
          </w:tcPr>
          <w:p>
            <w:pPr>
              <w:spacing w:after="0"/>
              <w:rPr>
                <w:sz w:val="21"/>
                <w:szCs w:val="21"/>
                <w:color w:val="auto"/>
              </w:rPr>
            </w:pPr>
          </w:p>
        </w:tc>
        <w:tc>
          <w:tcPr>
            <w:tcW w:w="1580" w:type="dxa"/>
            <w:vAlign w:val="bottom"/>
            <w:shd w:val="clear" w:color="auto" w:fill="DFFF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shd w:val="clear" w:color="auto" w:fill="DFFFFF"/>
          </w:tcPr>
          <w:p>
            <w:pPr>
              <w:spacing w:after="0"/>
              <w:rPr>
                <w:sz w:val="21"/>
                <w:szCs w:val="21"/>
                <w:color w:val="auto"/>
              </w:rPr>
            </w:pPr>
          </w:p>
        </w:tc>
        <w:tc>
          <w:tcPr>
            <w:tcW w:w="1680" w:type="dxa"/>
            <w:vAlign w:val="bottom"/>
            <w:gridSpan w:val="2"/>
            <w:shd w:val="clear" w:color="auto" w:fill="DFFF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shd w:val="clear" w:color="auto" w:fill="DFFF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shd w:val="clear" w:color="auto" w:fill="DFFFFF"/>
          </w:tcPr>
          <w:p>
            <w:pPr>
              <w:jc w:val="center"/>
              <w:ind w:right="100"/>
              <w:spacing w:after="0"/>
              <w:rPr>
                <w:sz w:val="20"/>
                <w:szCs w:val="20"/>
                <w:color w:val="auto"/>
              </w:rPr>
            </w:pPr>
            <w:r>
              <w:rPr>
                <w:rFonts w:ascii="Times New Roman" w:cs="Times New Roman" w:eastAsia="Times New Roman" w:hAnsi="Times New Roman"/>
                <w:sz w:val="16"/>
                <w:szCs w:val="16"/>
                <w:color w:val="auto"/>
              </w:rPr>
              <w:t>March 2026</w:t>
            </w:r>
          </w:p>
        </w:tc>
        <w:tc>
          <w:tcPr>
            <w:tcW w:w="1340" w:type="dxa"/>
            <w:vAlign w:val="bottom"/>
            <w:shd w:val="clear" w:color="auto" w:fill="DF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(8)</w:t>
            </w:r>
          </w:p>
        </w:tc>
        <w:tc>
          <w:tcPr>
            <w:tcW w:w="0" w:type="dxa"/>
            <w:vAlign w:val="bottom"/>
          </w:tcPr>
          <w:p>
            <w:pPr>
              <w:spacing w:after="0"/>
              <w:rPr>
                <w:sz w:val="1"/>
                <w:szCs w:val="1"/>
                <w:color w:val="auto"/>
              </w:rPr>
            </w:pPr>
          </w:p>
        </w:tc>
      </w:tr>
      <w:tr>
        <w:trPr>
          <w:trHeight w:val="355"/>
        </w:trPr>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15</w:t>
            </w:r>
          </w:p>
        </w:tc>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GasLog Glasgow</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12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TFDE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June 2026</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66040</wp:posOffset>
            </wp:positionV>
            <wp:extent cx="1654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89" w:lineRule="exact"/>
        <w:rPr>
          <w:sz w:val="20"/>
          <w:szCs w:val="20"/>
          <w:color w:val="auto"/>
        </w:rPr>
      </w:pPr>
    </w:p>
    <w:p>
      <w:pPr>
        <w:ind w:left="340" w:right="260" w:hanging="332"/>
        <w:spacing w:after="0" w:line="234" w:lineRule="auto"/>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In March 2018, GasLog Partners secured a one-year charter with Trafigura Maritime Logistics PTE Ltd. (“Trafigura”) for the </w:t>
      </w:r>
      <w:r>
        <w:rPr>
          <w:rFonts w:ascii="Times New Roman" w:cs="Times New Roman" w:eastAsia="Times New Roman" w:hAnsi="Times New Roman"/>
          <w:sz w:val="14"/>
          <w:szCs w:val="14"/>
          <w:i w:val="1"/>
          <w:iCs w:val="1"/>
          <w:color w:val="auto"/>
        </w:rPr>
        <w:t>Methane Jane Elizabeth</w:t>
      </w:r>
      <w:r>
        <w:rPr>
          <w:rFonts w:ascii="Times New Roman" w:cs="Times New Roman" w:eastAsia="Times New Roman" w:hAnsi="Times New Roman"/>
          <w:sz w:val="14"/>
          <w:szCs w:val="14"/>
          <w:color w:val="auto"/>
        </w:rPr>
        <w:t xml:space="preserve"> (as nominated by the Partnership), which commenced in November 2019.</w:t>
      </w:r>
    </w:p>
    <w:p>
      <w:pPr>
        <w:spacing w:after="0" w:line="1" w:lineRule="exact"/>
        <w:rPr>
          <w:rFonts w:ascii="Times New Roman" w:cs="Times New Roman" w:eastAsia="Times New Roman" w:hAnsi="Times New Roman"/>
          <w:sz w:val="12"/>
          <w:szCs w:val="12"/>
          <w:color w:val="auto"/>
        </w:rPr>
      </w:pPr>
    </w:p>
    <w:p>
      <w:pPr>
        <w:ind w:left="340" w:right="40" w:hanging="332"/>
        <w:spacing w:after="0" w:line="221" w:lineRule="auto"/>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Charterer may extend the term of this time charter for a period ranging from one to seven years, provided that the charterer gives us advance notice of declaration. The period shown reflects the expiration of the minimum optional period and the maximum optional period.</w:t>
      </w:r>
    </w:p>
    <w:p>
      <w:pPr>
        <w:ind w:left="340" w:hanging="332"/>
        <w:spacing w:after="0"/>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Singapore Carbon Hydrogen Energy Pte. Ltd., a wholly owned subsidiary of JOVO Group (“JOVO”). The charter commenced in July 2020.</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Clearlake Shipping Pte. Ltd., a subsidiary of Gunvor Group Ltd. (“Gunvor”).</w:t>
      </w:r>
    </w:p>
    <w:p>
      <w:pPr>
        <w:spacing w:after="0" w:line="1" w:lineRule="exact"/>
        <w:rPr>
          <w:rFonts w:ascii="Times New Roman" w:cs="Times New Roman" w:eastAsia="Times New Roman" w:hAnsi="Times New Roman"/>
          <w:sz w:val="12"/>
          <w:szCs w:val="12"/>
          <w:color w:val="auto"/>
        </w:rPr>
      </w:pPr>
    </w:p>
    <w:p>
      <w:pPr>
        <w:ind w:left="340" w:right="300" w:hanging="332"/>
        <w:spacing w:after="0" w:line="221" w:lineRule="auto"/>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ind w:left="340" w:right="20" w:hanging="332"/>
        <w:spacing w:after="0" w:line="221" w:lineRule="auto"/>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CNTIC VPower Energy Ltd. (“CNTIC VPower”), an independent Chinese energy company. The charter commenced in October 2020. The charterer may extend the term of the related charter by two additional periods of one year, provided that the charterer gives us advance notice of its exercise of any extension option. The period shown reflects the expiration of the minimum optional period and the maximum optional period.</w:t>
      </w:r>
    </w:p>
    <w:p>
      <w:pPr>
        <w:ind w:left="340" w:right="440" w:hanging="332"/>
        <w:spacing w:after="0" w:line="221" w:lineRule="auto"/>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ind w:left="340" w:hanging="332"/>
        <w:spacing w:after="0"/>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Charterer may extend the term of these time charters for a period of five years, provided that the charterer gives us advance notice of declaration.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Charter Expirations</w:t>
      </w:r>
    </w:p>
    <w:p>
      <w:pPr>
        <w:spacing w:after="0" w:line="237" w:lineRule="exact"/>
        <w:rPr>
          <w:sz w:val="20"/>
          <w:szCs w:val="20"/>
          <w:color w:val="auto"/>
        </w:rPr>
      </w:pPr>
    </w:p>
    <w:p>
      <w:pPr>
        <w:ind w:right="140" w:firstLine="324"/>
        <w:spacing w:after="0" w:line="273"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are due to come off charter in December 2020, while the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are both due to come off charter in June 2021. GasLog Partners has secured a multi-month time charter for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and continues to pursue opportunities for new term charters with third parties, while trading the vessels in the spot market and pursuing the most advantageous redeployment depending on evolving market conditions. Given the current lack of liquidity in the term charter market, the utilization and earnings of our vessels trading in the spot market may be materially lower than their earnings under their initial multi-year charters with Shell.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Additional Vessels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Five-Year Vessel Business Opportunities</w:t>
      </w:r>
    </w:p>
    <w:p>
      <w:pPr>
        <w:spacing w:after="0" w:line="237"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6"/>
          <w:szCs w:val="16"/>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vessel at fair market value. We refer to these vessels, together with any related charters, as “Five-Year Vessels”. The four newbuildings and five on-the-water vessels listed below will each qualify as a Five-Year Vessel upon commencement of their respective charters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Cargo</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03"/>
        </w:trPr>
        <w:tc>
          <w:tcPr>
            <w:tcW w:w="27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LNG Carrier</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Charter</w:t>
            </w:r>
          </w:p>
        </w:tc>
        <w:tc>
          <w:tcPr>
            <w:tcW w:w="0" w:type="dxa"/>
            <w:vAlign w:val="bottom"/>
          </w:tcPr>
          <w:p>
            <w:pPr>
              <w:spacing w:after="0"/>
              <w:rPr>
                <w:sz w:val="1"/>
                <w:szCs w:val="1"/>
                <w:color w:val="auto"/>
              </w:rPr>
            </w:pPr>
          </w:p>
        </w:tc>
      </w:tr>
      <w:tr>
        <w:trPr>
          <w:trHeight w:val="215"/>
        </w:trPr>
        <w:tc>
          <w:tcPr>
            <w:tcW w:w="2720" w:type="dxa"/>
            <w:vAlign w:val="bottom"/>
            <w:gridSpan w:val="3"/>
            <w:vMerge w:val="continue"/>
          </w:tcPr>
          <w:p>
            <w:pPr>
              <w:spacing w:after="0"/>
              <w:rPr>
                <w:sz w:val="18"/>
                <w:szCs w:val="18"/>
                <w:color w:val="auto"/>
              </w:rPr>
            </w:pPr>
          </w:p>
        </w:tc>
        <w:tc>
          <w:tcPr>
            <w:tcW w:w="124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Year Built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Charterer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240"/>
        </w:trPr>
        <w:tc>
          <w:tcPr>
            <w:tcW w:w="24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236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6"/>
                <w:szCs w:val="16"/>
                <w:i w:val="1"/>
                <w:iCs w:val="1"/>
                <w:color w:val="auto"/>
              </w:rPr>
              <w:t>GasLog Singapore</w:t>
            </w:r>
          </w:p>
        </w:tc>
        <w:tc>
          <w:tcPr>
            <w:tcW w:w="120" w:type="dxa"/>
            <w:vAlign w:val="bottom"/>
            <w:tcBorders>
              <w:top w:val="single" w:sz="8" w:color="E5FFFF"/>
            </w:tcBorders>
            <w:shd w:val="clear" w:color="auto" w:fill="E5FFFF"/>
          </w:tcPr>
          <w:p>
            <w:pPr>
              <w:spacing w:after="0"/>
              <w:rPr>
                <w:sz w:val="20"/>
                <w:szCs w:val="20"/>
                <w:color w:val="auto"/>
              </w:rPr>
            </w:pPr>
          </w:p>
        </w:tc>
        <w:tc>
          <w:tcPr>
            <w:tcW w:w="1240" w:type="dxa"/>
            <w:vAlign w:val="bottom"/>
            <w:tcBorders>
              <w:top w:val="single" w:sz="8" w:color="auto"/>
            </w:tcBorders>
            <w:shd w:val="clear" w:color="auto" w:fill="E5FF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2010</w:t>
            </w:r>
          </w:p>
        </w:tc>
        <w:tc>
          <w:tcPr>
            <w:tcW w:w="120" w:type="dxa"/>
            <w:vAlign w:val="bottom"/>
            <w:tcBorders>
              <w:top w:val="single" w:sz="8" w:color="auto"/>
            </w:tcBorders>
            <w:shd w:val="clear" w:color="auto" w:fill="E5FFFF"/>
          </w:tcPr>
          <w:p>
            <w:pPr>
              <w:spacing w:after="0"/>
              <w:rPr>
                <w:sz w:val="20"/>
                <w:szCs w:val="20"/>
                <w:color w:val="auto"/>
              </w:rPr>
            </w:pPr>
          </w:p>
        </w:tc>
        <w:tc>
          <w:tcPr>
            <w:tcW w:w="120" w:type="dxa"/>
            <w:vAlign w:val="bottom"/>
            <w:tcBorders>
              <w:top w:val="single" w:sz="8" w:color="E5FFFF"/>
            </w:tcBorders>
            <w:shd w:val="clear" w:color="auto" w:fill="E5FFFF"/>
          </w:tcPr>
          <w:p>
            <w:pPr>
              <w:spacing w:after="0"/>
              <w:rPr>
                <w:sz w:val="20"/>
                <w:szCs w:val="20"/>
                <w:color w:val="auto"/>
              </w:rPr>
            </w:pPr>
          </w:p>
        </w:tc>
        <w:tc>
          <w:tcPr>
            <w:tcW w:w="102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Borders>
              <w:top w:val="single" w:sz="8" w:color="E5FFFF"/>
            </w:tcBorders>
            <w:shd w:val="clear" w:color="auto" w:fill="E5FFFF"/>
          </w:tcPr>
          <w:p>
            <w:pPr>
              <w:spacing w:after="0"/>
              <w:rPr>
                <w:sz w:val="20"/>
                <w:szCs w:val="20"/>
                <w:color w:val="auto"/>
              </w:rPr>
            </w:pPr>
          </w:p>
        </w:tc>
        <w:tc>
          <w:tcPr>
            <w:tcW w:w="1240" w:type="dxa"/>
            <w:vAlign w:val="bottom"/>
            <w:tcBorders>
              <w:top w:val="single" w:sz="8" w:color="auto"/>
            </w:tcBorders>
            <w:shd w:val="clear" w:color="auto" w:fill="E5FFFF"/>
          </w:tcPr>
          <w:p>
            <w:pPr>
              <w:jc w:val="center"/>
              <w:spacing w:after="0" w:line="240" w:lineRule="exact"/>
              <w:rPr>
                <w:sz w:val="20"/>
                <w:szCs w:val="20"/>
                <w:color w:val="auto"/>
              </w:rPr>
            </w:pPr>
            <w:r>
              <w:rPr>
                <w:rFonts w:ascii="Times New Roman" w:cs="Times New Roman" w:eastAsia="Times New Roman" w:hAnsi="Times New Roman"/>
                <w:sz w:val="16"/>
                <w:szCs w:val="16"/>
                <w:color w:val="auto"/>
                <w:w w:val="97"/>
              </w:rPr>
              <w:t xml:space="preserve">Sinolam LNG </w:t>
            </w:r>
            <w:r>
              <w:rPr>
                <w:rFonts w:ascii="Times New Roman" w:cs="Times New Roman" w:eastAsia="Times New Roman" w:hAnsi="Times New Roman"/>
                <w:sz w:val="26"/>
                <w:szCs w:val="26"/>
                <w:color w:val="auto"/>
                <w:w w:val="97"/>
                <w:vertAlign w:val="superscript"/>
              </w:rPr>
              <w:t>(1)</w:t>
            </w:r>
          </w:p>
        </w:tc>
        <w:tc>
          <w:tcPr>
            <w:tcW w:w="100" w:type="dxa"/>
            <w:vAlign w:val="bottom"/>
            <w:tcBorders>
              <w:top w:val="single" w:sz="8" w:color="E5FFFF"/>
            </w:tcBorders>
            <w:shd w:val="clear" w:color="auto" w:fill="E5FFFF"/>
          </w:tcPr>
          <w:p>
            <w:pPr>
              <w:spacing w:after="0"/>
              <w:rPr>
                <w:sz w:val="20"/>
                <w:szCs w:val="20"/>
                <w:color w:val="auto"/>
              </w:rPr>
            </w:pPr>
          </w:p>
        </w:tc>
        <w:tc>
          <w:tcPr>
            <w:tcW w:w="124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TFDE</w:t>
            </w:r>
          </w:p>
        </w:tc>
        <w:tc>
          <w:tcPr>
            <w:tcW w:w="100" w:type="dxa"/>
            <w:vAlign w:val="bottom"/>
            <w:tcBorders>
              <w:top w:val="single" w:sz="8" w:color="E5FFFF"/>
            </w:tcBorders>
            <w:shd w:val="clear" w:color="auto" w:fill="E5FFFF"/>
          </w:tcPr>
          <w:p>
            <w:pPr>
              <w:spacing w:after="0"/>
              <w:rPr>
                <w:sz w:val="20"/>
                <w:szCs w:val="20"/>
                <w:color w:val="auto"/>
              </w:rPr>
            </w:pPr>
          </w:p>
        </w:tc>
        <w:tc>
          <w:tcPr>
            <w:tcW w:w="134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2031</w:t>
            </w:r>
          </w:p>
        </w:tc>
        <w:tc>
          <w:tcPr>
            <w:tcW w:w="0" w:type="dxa"/>
            <w:vAlign w:val="bottom"/>
          </w:tcPr>
          <w:p>
            <w:pPr>
              <w:spacing w:after="0"/>
              <w:rPr>
                <w:sz w:val="1"/>
                <w:szCs w:val="1"/>
                <w:color w:val="auto"/>
              </w:rPr>
            </w:pPr>
          </w:p>
        </w:tc>
      </w:tr>
      <w:tr>
        <w:trPr>
          <w:trHeight w:val="243"/>
        </w:trPr>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GasLog Warsaw</w:t>
            </w:r>
          </w:p>
        </w:tc>
        <w:tc>
          <w:tcPr>
            <w:tcW w:w="12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2019</w:t>
            </w:r>
          </w:p>
        </w:tc>
        <w:tc>
          <w:tcPr>
            <w:tcW w:w="12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rPr>
              <w:t>180,000</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6"/>
                <w:szCs w:val="16"/>
                <w:color w:val="auto"/>
                <w:w w:val="96"/>
              </w:rPr>
              <w:t xml:space="preserve">Endesa </w:t>
            </w:r>
            <w:r>
              <w:rPr>
                <w:rFonts w:ascii="Times New Roman" w:cs="Times New Roman" w:eastAsia="Times New Roman" w:hAnsi="Times New Roman"/>
                <w:sz w:val="26"/>
                <w:szCs w:val="26"/>
                <w:color w:val="auto"/>
                <w:w w:val="96"/>
                <w:vertAlign w:val="superscript"/>
              </w:rPr>
              <w:t>(2)</w:t>
            </w:r>
          </w:p>
        </w:tc>
        <w:tc>
          <w:tcPr>
            <w:tcW w:w="134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4"/>
              </w:rPr>
              <w:t xml:space="preserve">X-DF </w:t>
            </w:r>
            <w:r>
              <w:rPr>
                <w:rFonts w:ascii="Times New Roman" w:cs="Times New Roman" w:eastAsia="Times New Roman" w:hAnsi="Times New Roman"/>
                <w:sz w:val="26"/>
                <w:szCs w:val="26"/>
                <w:color w:val="auto"/>
                <w:w w:val="94"/>
                <w:vertAlign w:val="superscript"/>
              </w:rPr>
              <w:t>(3)</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2029</w:t>
            </w:r>
          </w:p>
        </w:tc>
        <w:tc>
          <w:tcPr>
            <w:tcW w:w="0" w:type="dxa"/>
            <w:vAlign w:val="bottom"/>
          </w:tcPr>
          <w:p>
            <w:pPr>
              <w:spacing w:after="0"/>
              <w:rPr>
                <w:sz w:val="1"/>
                <w:szCs w:val="1"/>
                <w:color w:val="auto"/>
              </w:rPr>
            </w:pPr>
          </w:p>
        </w:tc>
      </w:tr>
      <w:tr>
        <w:trPr>
          <w:trHeight w:val="243"/>
        </w:trPr>
        <w:tc>
          <w:tcPr>
            <w:tcW w:w="240" w:type="dxa"/>
            <w:vAlign w:val="bottom"/>
            <w:tcBorders>
              <w:right w:val="single" w:sz="8" w:color="E2FFFF"/>
            </w:tcBorders>
            <w:shd w:val="clear" w:color="auto" w:fill="E2FF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48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i w:val="1"/>
                <w:iCs w:val="1"/>
                <w:color w:val="auto"/>
              </w:rPr>
              <w:t>GasLog Windsor</w:t>
            </w:r>
          </w:p>
        </w:tc>
        <w:tc>
          <w:tcPr>
            <w:tcW w:w="1240" w:type="dxa"/>
            <w:vAlign w:val="bottom"/>
            <w:shd w:val="clear" w:color="auto" w:fill="E5FF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2020</w:t>
            </w:r>
          </w:p>
        </w:tc>
        <w:tc>
          <w:tcPr>
            <w:tcW w:w="1260" w:type="dxa"/>
            <w:vAlign w:val="bottom"/>
            <w:gridSpan w:val="3"/>
            <w:shd w:val="clear" w:color="auto" w:fill="E5FFFF"/>
          </w:tcPr>
          <w:p>
            <w:pPr>
              <w:jc w:val="center"/>
              <w:ind w:left="159"/>
              <w:spacing w:after="0"/>
              <w:rPr>
                <w:sz w:val="20"/>
                <w:szCs w:val="20"/>
                <w:color w:val="auto"/>
              </w:rPr>
            </w:pPr>
            <w:r>
              <w:rPr>
                <w:rFonts w:ascii="Times New Roman" w:cs="Times New Roman" w:eastAsia="Times New Roman" w:hAnsi="Times New Roman"/>
                <w:sz w:val="16"/>
                <w:szCs w:val="16"/>
                <w:color w:val="auto"/>
              </w:rPr>
              <w:t>180,000</w:t>
            </w:r>
          </w:p>
        </w:tc>
        <w:tc>
          <w:tcPr>
            <w:tcW w:w="1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ind w:right="100"/>
              <w:spacing w:after="0" w:line="243" w:lineRule="exact"/>
              <w:rPr>
                <w:sz w:val="20"/>
                <w:szCs w:val="20"/>
                <w:color w:val="auto"/>
              </w:rPr>
            </w:pPr>
            <w:r>
              <w:rPr>
                <w:rFonts w:ascii="Times New Roman" w:cs="Times New Roman" w:eastAsia="Times New Roman" w:hAnsi="Times New Roman"/>
                <w:sz w:val="16"/>
                <w:szCs w:val="16"/>
                <w:color w:val="auto"/>
                <w:w w:val="96"/>
              </w:rPr>
              <w:t xml:space="preserve">Centrica </w:t>
            </w:r>
            <w:r>
              <w:rPr>
                <w:rFonts w:ascii="Times New Roman" w:cs="Times New Roman" w:eastAsia="Times New Roman" w:hAnsi="Times New Roman"/>
                <w:sz w:val="26"/>
                <w:szCs w:val="26"/>
                <w:color w:val="auto"/>
                <w:w w:val="96"/>
                <w:vertAlign w:val="superscript"/>
              </w:rPr>
              <w:t>(4)</w:t>
            </w:r>
          </w:p>
        </w:tc>
        <w:tc>
          <w:tcPr>
            <w:tcW w:w="1340" w:type="dxa"/>
            <w:vAlign w:val="bottom"/>
            <w:gridSpan w:val="2"/>
            <w:shd w:val="clear" w:color="auto" w:fill="E5FF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4"/>
              </w:rPr>
              <w:t xml:space="preserve">X-DF </w:t>
            </w:r>
            <w:r>
              <w:rPr>
                <w:rFonts w:ascii="Times New Roman" w:cs="Times New Roman" w:eastAsia="Times New Roman" w:hAnsi="Times New Roman"/>
                <w:sz w:val="26"/>
                <w:szCs w:val="26"/>
                <w:color w:val="auto"/>
                <w:w w:val="94"/>
                <w:vertAlign w:val="superscript"/>
              </w:rPr>
              <w:t>(3)</w:t>
            </w:r>
          </w:p>
        </w:tc>
        <w:tc>
          <w:tcPr>
            <w:tcW w:w="13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2027</w:t>
            </w:r>
          </w:p>
        </w:tc>
        <w:tc>
          <w:tcPr>
            <w:tcW w:w="0" w:type="dxa"/>
            <w:vAlign w:val="bottom"/>
          </w:tcPr>
          <w:p>
            <w:pPr>
              <w:spacing w:after="0"/>
              <w:rPr>
                <w:sz w:val="1"/>
                <w:szCs w:val="1"/>
                <w:color w:val="auto"/>
              </w:rPr>
            </w:pPr>
          </w:p>
        </w:tc>
      </w:tr>
      <w:tr>
        <w:trPr>
          <w:trHeight w:val="243"/>
        </w:trPr>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GasLog Wales</w:t>
            </w:r>
          </w:p>
        </w:tc>
        <w:tc>
          <w:tcPr>
            <w:tcW w:w="12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2020</w:t>
            </w:r>
          </w:p>
        </w:tc>
        <w:tc>
          <w:tcPr>
            <w:tcW w:w="12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rPr>
              <w:t>180,000</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6"/>
                <w:szCs w:val="16"/>
                <w:color w:val="auto"/>
                <w:w w:val="96"/>
              </w:rPr>
              <w:t xml:space="preserve">JERA </w:t>
            </w:r>
            <w:r>
              <w:rPr>
                <w:rFonts w:ascii="Times New Roman" w:cs="Times New Roman" w:eastAsia="Times New Roman" w:hAnsi="Times New Roman"/>
                <w:sz w:val="26"/>
                <w:szCs w:val="26"/>
                <w:color w:val="auto"/>
                <w:w w:val="96"/>
                <w:vertAlign w:val="superscript"/>
              </w:rPr>
              <w:t>(5)</w:t>
            </w:r>
          </w:p>
        </w:tc>
        <w:tc>
          <w:tcPr>
            <w:tcW w:w="134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4"/>
              </w:rPr>
              <w:t xml:space="preserve">X-DF </w:t>
            </w:r>
            <w:r>
              <w:rPr>
                <w:rFonts w:ascii="Times New Roman" w:cs="Times New Roman" w:eastAsia="Times New Roman" w:hAnsi="Times New Roman"/>
                <w:sz w:val="26"/>
                <w:szCs w:val="26"/>
                <w:color w:val="auto"/>
                <w:w w:val="94"/>
                <w:vertAlign w:val="superscript"/>
              </w:rPr>
              <w:t>(3)</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2032</w:t>
            </w:r>
          </w:p>
        </w:tc>
        <w:tc>
          <w:tcPr>
            <w:tcW w:w="0" w:type="dxa"/>
            <w:vAlign w:val="bottom"/>
          </w:tcPr>
          <w:p>
            <w:pPr>
              <w:spacing w:after="0"/>
              <w:rPr>
                <w:sz w:val="1"/>
                <w:szCs w:val="1"/>
                <w:color w:val="auto"/>
              </w:rPr>
            </w:pPr>
          </w:p>
        </w:tc>
      </w:tr>
      <w:tr>
        <w:trPr>
          <w:trHeight w:val="243"/>
        </w:trPr>
        <w:tc>
          <w:tcPr>
            <w:tcW w:w="240" w:type="dxa"/>
            <w:vAlign w:val="bottom"/>
            <w:tcBorders>
              <w:right w:val="single" w:sz="8" w:color="E2FFFF"/>
            </w:tcBorders>
            <w:shd w:val="clear" w:color="auto" w:fill="E2FF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48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i w:val="1"/>
                <w:iCs w:val="1"/>
                <w:color w:val="auto"/>
              </w:rPr>
              <w:t>GasLog Westminster</w:t>
            </w:r>
          </w:p>
        </w:tc>
        <w:tc>
          <w:tcPr>
            <w:tcW w:w="1240" w:type="dxa"/>
            <w:vAlign w:val="bottom"/>
            <w:shd w:val="clear" w:color="auto" w:fill="E5FFFF"/>
          </w:tcPr>
          <w:p>
            <w:pPr>
              <w:jc w:val="center"/>
              <w:ind w:left="39"/>
              <w:spacing w:after="0"/>
              <w:rPr>
                <w:sz w:val="20"/>
                <w:szCs w:val="20"/>
                <w:color w:val="auto"/>
              </w:rPr>
            </w:pPr>
            <w:r>
              <w:rPr>
                <w:rFonts w:ascii="Times New Roman" w:cs="Times New Roman" w:eastAsia="Times New Roman" w:hAnsi="Times New Roman"/>
                <w:sz w:val="16"/>
                <w:szCs w:val="16"/>
                <w:color w:val="auto"/>
                <w:w w:val="99"/>
              </w:rPr>
              <w:t>2020</w:t>
            </w:r>
          </w:p>
        </w:tc>
        <w:tc>
          <w:tcPr>
            <w:tcW w:w="1260" w:type="dxa"/>
            <w:vAlign w:val="bottom"/>
            <w:gridSpan w:val="3"/>
            <w:shd w:val="clear" w:color="auto" w:fill="E5FFFF"/>
          </w:tcPr>
          <w:p>
            <w:pPr>
              <w:jc w:val="center"/>
              <w:ind w:left="159"/>
              <w:spacing w:after="0"/>
              <w:rPr>
                <w:sz w:val="20"/>
                <w:szCs w:val="20"/>
                <w:color w:val="auto"/>
              </w:rPr>
            </w:pPr>
            <w:r>
              <w:rPr>
                <w:rFonts w:ascii="Times New Roman" w:cs="Times New Roman" w:eastAsia="Times New Roman" w:hAnsi="Times New Roman"/>
                <w:sz w:val="16"/>
                <w:szCs w:val="16"/>
                <w:color w:val="auto"/>
              </w:rPr>
              <w:t>180,000</w:t>
            </w:r>
          </w:p>
        </w:tc>
        <w:tc>
          <w:tcPr>
            <w:tcW w:w="1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ind w:right="100"/>
              <w:spacing w:after="0" w:line="243" w:lineRule="exact"/>
              <w:rPr>
                <w:sz w:val="20"/>
                <w:szCs w:val="20"/>
                <w:color w:val="auto"/>
              </w:rPr>
            </w:pPr>
            <w:r>
              <w:rPr>
                <w:rFonts w:ascii="Times New Roman" w:cs="Times New Roman" w:eastAsia="Times New Roman" w:hAnsi="Times New Roman"/>
                <w:sz w:val="16"/>
                <w:szCs w:val="16"/>
                <w:color w:val="auto"/>
                <w:w w:val="96"/>
              </w:rPr>
              <w:t xml:space="preserve">Centrica </w:t>
            </w:r>
            <w:r>
              <w:rPr>
                <w:rFonts w:ascii="Times New Roman" w:cs="Times New Roman" w:eastAsia="Times New Roman" w:hAnsi="Times New Roman"/>
                <w:sz w:val="26"/>
                <w:szCs w:val="26"/>
                <w:color w:val="auto"/>
                <w:w w:val="96"/>
                <w:vertAlign w:val="superscript"/>
              </w:rPr>
              <w:t>(4)</w:t>
            </w:r>
          </w:p>
        </w:tc>
        <w:tc>
          <w:tcPr>
            <w:tcW w:w="1340" w:type="dxa"/>
            <w:vAlign w:val="bottom"/>
            <w:gridSpan w:val="2"/>
            <w:shd w:val="clear" w:color="auto" w:fill="E5FF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4"/>
              </w:rPr>
              <w:t xml:space="preserve">X-DF </w:t>
            </w:r>
            <w:r>
              <w:rPr>
                <w:rFonts w:ascii="Times New Roman" w:cs="Times New Roman" w:eastAsia="Times New Roman" w:hAnsi="Times New Roman"/>
                <w:sz w:val="26"/>
                <w:szCs w:val="26"/>
                <w:color w:val="auto"/>
                <w:w w:val="94"/>
                <w:vertAlign w:val="superscript"/>
              </w:rPr>
              <w:t>(3)</w:t>
            </w:r>
          </w:p>
        </w:tc>
        <w:tc>
          <w:tcPr>
            <w:tcW w:w="134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2027</w:t>
            </w:r>
          </w:p>
        </w:tc>
        <w:tc>
          <w:tcPr>
            <w:tcW w:w="0" w:type="dxa"/>
            <w:vAlign w:val="bottom"/>
          </w:tcPr>
          <w:p>
            <w:pPr>
              <w:spacing w:after="0"/>
              <w:rPr>
                <w:sz w:val="1"/>
                <w:szCs w:val="1"/>
                <w:color w:val="auto"/>
              </w:rPr>
            </w:pPr>
          </w:p>
        </w:tc>
      </w:tr>
      <w:tr>
        <w:trPr>
          <w:trHeight w:val="243"/>
        </w:trPr>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GasLog Georgetown</w:t>
            </w:r>
          </w:p>
        </w:tc>
        <w:tc>
          <w:tcPr>
            <w:tcW w:w="1240" w:type="dxa"/>
            <w:vAlign w:val="bottom"/>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5"/>
              </w:rPr>
              <w:t xml:space="preserve">Q4 2020 </w:t>
            </w:r>
            <w:r>
              <w:rPr>
                <w:rFonts w:ascii="Times New Roman" w:cs="Times New Roman" w:eastAsia="Times New Roman" w:hAnsi="Times New Roman"/>
                <w:sz w:val="26"/>
                <w:szCs w:val="26"/>
                <w:color w:val="auto"/>
                <w:w w:val="95"/>
                <w:vertAlign w:val="superscript"/>
              </w:rPr>
              <w:t>(6)</w:t>
            </w:r>
          </w:p>
        </w:tc>
        <w:tc>
          <w:tcPr>
            <w:tcW w:w="12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tcPr>
          <w:p>
            <w:pPr>
              <w:spacing w:after="0"/>
              <w:rPr>
                <w:sz w:val="21"/>
                <w:szCs w:val="21"/>
                <w:color w:val="auto"/>
              </w:rPr>
            </w:pPr>
          </w:p>
        </w:tc>
        <w:tc>
          <w:tcPr>
            <w:tcW w:w="134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16"/>
                <w:szCs w:val="16"/>
                <w:color w:val="auto"/>
                <w:w w:val="95"/>
              </w:rPr>
              <w:t xml:space="preserve">Cheniere </w:t>
            </w:r>
            <w:r>
              <w:rPr>
                <w:rFonts w:ascii="Times New Roman" w:cs="Times New Roman" w:eastAsia="Times New Roman" w:hAnsi="Times New Roman"/>
                <w:sz w:val="26"/>
                <w:szCs w:val="26"/>
                <w:color w:val="auto"/>
                <w:w w:val="95"/>
                <w:vertAlign w:val="superscript"/>
              </w:rPr>
              <w:t>(8)</w:t>
            </w:r>
          </w:p>
        </w:tc>
        <w:tc>
          <w:tcPr>
            <w:tcW w:w="134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4"/>
              </w:rPr>
              <w:t xml:space="preserve">X-DF </w:t>
            </w:r>
            <w:r>
              <w:rPr>
                <w:rFonts w:ascii="Times New Roman" w:cs="Times New Roman" w:eastAsia="Times New Roman" w:hAnsi="Times New Roman"/>
                <w:sz w:val="26"/>
                <w:szCs w:val="26"/>
                <w:color w:val="auto"/>
                <w:w w:val="94"/>
                <w:vertAlign w:val="superscript"/>
              </w:rPr>
              <w:t>(3)</w:t>
            </w:r>
          </w:p>
        </w:tc>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2027 </w:t>
            </w:r>
            <w:r>
              <w:rPr>
                <w:rFonts w:ascii="Times New Roman" w:cs="Times New Roman" w:eastAsia="Times New Roman" w:hAnsi="Times New Roman"/>
                <w:sz w:val="26"/>
                <w:szCs w:val="26"/>
                <w:color w:val="auto"/>
                <w:w w:val="92"/>
                <w:vertAlign w:val="superscript"/>
              </w:rPr>
              <w:t>(7)</w:t>
            </w:r>
          </w:p>
        </w:tc>
        <w:tc>
          <w:tcPr>
            <w:tcW w:w="0" w:type="dxa"/>
            <w:vAlign w:val="bottom"/>
          </w:tcPr>
          <w:p>
            <w:pPr>
              <w:spacing w:after="0"/>
              <w:rPr>
                <w:sz w:val="1"/>
                <w:szCs w:val="1"/>
                <w:color w:val="auto"/>
              </w:rPr>
            </w:pPr>
          </w:p>
        </w:tc>
      </w:tr>
      <w:tr>
        <w:trPr>
          <w:trHeight w:val="243"/>
        </w:trPr>
        <w:tc>
          <w:tcPr>
            <w:tcW w:w="240" w:type="dxa"/>
            <w:vAlign w:val="bottom"/>
            <w:tcBorders>
              <w:right w:val="single" w:sz="8" w:color="E2FFFF"/>
            </w:tcBorders>
            <w:shd w:val="clear" w:color="auto" w:fill="E2FF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248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Hull No. 2301</w:t>
            </w:r>
          </w:p>
        </w:tc>
        <w:tc>
          <w:tcPr>
            <w:tcW w:w="1240" w:type="dxa"/>
            <w:vAlign w:val="bottom"/>
            <w:shd w:val="clear" w:color="auto" w:fill="E5FFFF"/>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5"/>
              </w:rPr>
              <w:t xml:space="preserve">Q1 2021 </w:t>
            </w:r>
            <w:r>
              <w:rPr>
                <w:rFonts w:ascii="Times New Roman" w:cs="Times New Roman" w:eastAsia="Times New Roman" w:hAnsi="Times New Roman"/>
                <w:sz w:val="26"/>
                <w:szCs w:val="26"/>
                <w:color w:val="auto"/>
                <w:w w:val="95"/>
                <w:vertAlign w:val="superscript"/>
              </w:rPr>
              <w:t>(6)</w:t>
            </w:r>
          </w:p>
        </w:tc>
        <w:tc>
          <w:tcPr>
            <w:tcW w:w="1260" w:type="dxa"/>
            <w:vAlign w:val="bottom"/>
            <w:gridSpan w:val="3"/>
            <w:shd w:val="clear" w:color="auto" w:fill="E5FFFF"/>
          </w:tcPr>
          <w:p>
            <w:pPr>
              <w:jc w:val="center"/>
              <w:ind w:left="159"/>
              <w:spacing w:after="0"/>
              <w:rPr>
                <w:sz w:val="20"/>
                <w:szCs w:val="20"/>
                <w:color w:val="auto"/>
              </w:rPr>
            </w:pPr>
            <w:r>
              <w:rPr>
                <w:rFonts w:ascii="Times New Roman" w:cs="Times New Roman" w:eastAsia="Times New Roman" w:hAnsi="Times New Roman"/>
                <w:sz w:val="16"/>
                <w:szCs w:val="16"/>
                <w:color w:val="auto"/>
              </w:rPr>
              <w:t>174,000</w:t>
            </w:r>
          </w:p>
        </w:tc>
        <w:tc>
          <w:tcPr>
            <w:tcW w:w="1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ind w:right="80"/>
              <w:spacing w:after="0" w:line="243" w:lineRule="exact"/>
              <w:rPr>
                <w:sz w:val="20"/>
                <w:szCs w:val="20"/>
                <w:color w:val="auto"/>
              </w:rPr>
            </w:pPr>
            <w:r>
              <w:rPr>
                <w:rFonts w:ascii="Times New Roman" w:cs="Times New Roman" w:eastAsia="Times New Roman" w:hAnsi="Times New Roman"/>
                <w:sz w:val="16"/>
                <w:szCs w:val="16"/>
                <w:color w:val="auto"/>
                <w:w w:val="95"/>
              </w:rPr>
              <w:t xml:space="preserve">Cheniere </w:t>
            </w:r>
            <w:r>
              <w:rPr>
                <w:rFonts w:ascii="Times New Roman" w:cs="Times New Roman" w:eastAsia="Times New Roman" w:hAnsi="Times New Roman"/>
                <w:sz w:val="26"/>
                <w:szCs w:val="26"/>
                <w:color w:val="auto"/>
                <w:w w:val="95"/>
                <w:vertAlign w:val="superscript"/>
              </w:rPr>
              <w:t>(8)</w:t>
            </w:r>
          </w:p>
        </w:tc>
        <w:tc>
          <w:tcPr>
            <w:tcW w:w="1340" w:type="dxa"/>
            <w:vAlign w:val="bottom"/>
            <w:gridSpan w:val="2"/>
            <w:shd w:val="clear" w:color="auto" w:fill="E5FF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4"/>
              </w:rPr>
              <w:t xml:space="preserve">X-DF </w:t>
            </w:r>
            <w:r>
              <w:rPr>
                <w:rFonts w:ascii="Times New Roman" w:cs="Times New Roman" w:eastAsia="Times New Roman" w:hAnsi="Times New Roman"/>
                <w:sz w:val="26"/>
                <w:szCs w:val="26"/>
                <w:color w:val="auto"/>
                <w:w w:val="94"/>
                <w:vertAlign w:val="superscript"/>
              </w:rPr>
              <w:t>(3)</w:t>
            </w:r>
          </w:p>
        </w:tc>
        <w:tc>
          <w:tcPr>
            <w:tcW w:w="134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2028 </w:t>
            </w:r>
            <w:r>
              <w:rPr>
                <w:rFonts w:ascii="Times New Roman" w:cs="Times New Roman" w:eastAsia="Times New Roman" w:hAnsi="Times New Roman"/>
                <w:sz w:val="26"/>
                <w:szCs w:val="26"/>
                <w:color w:val="auto"/>
                <w:w w:val="92"/>
                <w:vertAlign w:val="superscript"/>
              </w:rPr>
              <w:t>(7)</w:t>
            </w:r>
          </w:p>
        </w:tc>
        <w:tc>
          <w:tcPr>
            <w:tcW w:w="0" w:type="dxa"/>
            <w:vAlign w:val="bottom"/>
          </w:tcPr>
          <w:p>
            <w:pPr>
              <w:spacing w:after="0"/>
              <w:rPr>
                <w:sz w:val="1"/>
                <w:szCs w:val="1"/>
                <w:color w:val="auto"/>
              </w:rPr>
            </w:pPr>
          </w:p>
        </w:tc>
      </w:tr>
      <w:tr>
        <w:trPr>
          <w:trHeight w:val="243"/>
        </w:trPr>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Hull No. 2311</w:t>
            </w:r>
          </w:p>
        </w:tc>
        <w:tc>
          <w:tcPr>
            <w:tcW w:w="1240" w:type="dxa"/>
            <w:vAlign w:val="bottom"/>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5"/>
              </w:rPr>
              <w:t xml:space="preserve">Q2 2021 </w:t>
            </w:r>
            <w:r>
              <w:rPr>
                <w:rFonts w:ascii="Times New Roman" w:cs="Times New Roman" w:eastAsia="Times New Roman" w:hAnsi="Times New Roman"/>
                <w:sz w:val="26"/>
                <w:szCs w:val="26"/>
                <w:color w:val="auto"/>
                <w:w w:val="95"/>
                <w:vertAlign w:val="superscript"/>
              </w:rPr>
              <w:t>(6)</w:t>
            </w:r>
          </w:p>
        </w:tc>
        <w:tc>
          <w:tcPr>
            <w:tcW w:w="126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color w:val="auto"/>
              </w:rPr>
              <w:t>180,000</w:t>
            </w:r>
          </w:p>
        </w:tc>
        <w:tc>
          <w:tcPr>
            <w:tcW w:w="100" w:type="dxa"/>
            <w:vAlign w:val="bottom"/>
          </w:tcPr>
          <w:p>
            <w:pPr>
              <w:spacing w:after="0"/>
              <w:rPr>
                <w:sz w:val="21"/>
                <w:szCs w:val="21"/>
                <w:color w:val="auto"/>
              </w:rPr>
            </w:pPr>
          </w:p>
        </w:tc>
        <w:tc>
          <w:tcPr>
            <w:tcW w:w="134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16"/>
                <w:szCs w:val="16"/>
                <w:color w:val="auto"/>
                <w:w w:val="95"/>
              </w:rPr>
              <w:t xml:space="preserve">Cheniere </w:t>
            </w:r>
            <w:r>
              <w:rPr>
                <w:rFonts w:ascii="Times New Roman" w:cs="Times New Roman" w:eastAsia="Times New Roman" w:hAnsi="Times New Roman"/>
                <w:sz w:val="26"/>
                <w:szCs w:val="26"/>
                <w:color w:val="auto"/>
                <w:w w:val="95"/>
                <w:vertAlign w:val="superscript"/>
              </w:rPr>
              <w:t>(8)</w:t>
            </w:r>
          </w:p>
        </w:tc>
        <w:tc>
          <w:tcPr>
            <w:tcW w:w="134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4"/>
              </w:rPr>
              <w:t xml:space="preserve">X-DF </w:t>
            </w:r>
            <w:r>
              <w:rPr>
                <w:rFonts w:ascii="Times New Roman" w:cs="Times New Roman" w:eastAsia="Times New Roman" w:hAnsi="Times New Roman"/>
                <w:sz w:val="26"/>
                <w:szCs w:val="26"/>
                <w:color w:val="auto"/>
                <w:w w:val="94"/>
                <w:vertAlign w:val="superscript"/>
              </w:rPr>
              <w:t>(3)</w:t>
            </w:r>
          </w:p>
        </w:tc>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2028 </w:t>
            </w:r>
            <w:r>
              <w:rPr>
                <w:rFonts w:ascii="Times New Roman" w:cs="Times New Roman" w:eastAsia="Times New Roman" w:hAnsi="Times New Roman"/>
                <w:sz w:val="26"/>
                <w:szCs w:val="26"/>
                <w:color w:val="auto"/>
                <w:w w:val="92"/>
                <w:vertAlign w:val="superscript"/>
              </w:rPr>
              <w:t>(7)</w:t>
            </w:r>
          </w:p>
        </w:tc>
        <w:tc>
          <w:tcPr>
            <w:tcW w:w="0" w:type="dxa"/>
            <w:vAlign w:val="bottom"/>
          </w:tcPr>
          <w:p>
            <w:pPr>
              <w:spacing w:after="0"/>
              <w:rPr>
                <w:sz w:val="1"/>
                <w:szCs w:val="1"/>
                <w:color w:val="auto"/>
              </w:rPr>
            </w:pPr>
          </w:p>
        </w:tc>
      </w:tr>
      <w:tr>
        <w:trPr>
          <w:trHeight w:val="243"/>
        </w:trPr>
        <w:tc>
          <w:tcPr>
            <w:tcW w:w="240" w:type="dxa"/>
            <w:vAlign w:val="bottom"/>
            <w:tcBorders>
              <w:right w:val="single" w:sz="8" w:color="E2FFFF"/>
            </w:tcBorders>
            <w:shd w:val="clear" w:color="auto" w:fill="E2FF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248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Hull No. 2312</w:t>
            </w:r>
          </w:p>
        </w:tc>
        <w:tc>
          <w:tcPr>
            <w:tcW w:w="1240" w:type="dxa"/>
            <w:vAlign w:val="bottom"/>
            <w:shd w:val="clear" w:color="auto" w:fill="E5FFFF"/>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5"/>
              </w:rPr>
              <w:t xml:space="preserve">Q3 2021 </w:t>
            </w:r>
            <w:r>
              <w:rPr>
                <w:rFonts w:ascii="Times New Roman" w:cs="Times New Roman" w:eastAsia="Times New Roman" w:hAnsi="Times New Roman"/>
                <w:sz w:val="26"/>
                <w:szCs w:val="26"/>
                <w:color w:val="auto"/>
                <w:w w:val="95"/>
                <w:vertAlign w:val="superscript"/>
              </w:rPr>
              <w:t>(6)</w:t>
            </w:r>
          </w:p>
        </w:tc>
        <w:tc>
          <w:tcPr>
            <w:tcW w:w="1260" w:type="dxa"/>
            <w:vAlign w:val="bottom"/>
            <w:gridSpan w:val="3"/>
            <w:shd w:val="clear" w:color="auto" w:fill="E5FFFF"/>
          </w:tcPr>
          <w:p>
            <w:pPr>
              <w:jc w:val="center"/>
              <w:ind w:left="159"/>
              <w:spacing w:after="0"/>
              <w:rPr>
                <w:sz w:val="20"/>
                <w:szCs w:val="20"/>
                <w:color w:val="auto"/>
              </w:rPr>
            </w:pPr>
            <w:r>
              <w:rPr>
                <w:rFonts w:ascii="Times New Roman" w:cs="Times New Roman" w:eastAsia="Times New Roman" w:hAnsi="Times New Roman"/>
                <w:sz w:val="16"/>
                <w:szCs w:val="16"/>
                <w:color w:val="auto"/>
              </w:rPr>
              <w:t>180,000</w:t>
            </w:r>
          </w:p>
        </w:tc>
        <w:tc>
          <w:tcPr>
            <w:tcW w:w="10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center"/>
              <w:ind w:right="80"/>
              <w:spacing w:after="0" w:line="243" w:lineRule="exact"/>
              <w:rPr>
                <w:sz w:val="20"/>
                <w:szCs w:val="20"/>
                <w:color w:val="auto"/>
              </w:rPr>
            </w:pPr>
            <w:r>
              <w:rPr>
                <w:rFonts w:ascii="Times New Roman" w:cs="Times New Roman" w:eastAsia="Times New Roman" w:hAnsi="Times New Roman"/>
                <w:sz w:val="16"/>
                <w:szCs w:val="16"/>
                <w:color w:val="auto"/>
                <w:w w:val="95"/>
              </w:rPr>
              <w:t xml:space="preserve">Cheniere </w:t>
            </w:r>
            <w:r>
              <w:rPr>
                <w:rFonts w:ascii="Times New Roman" w:cs="Times New Roman" w:eastAsia="Times New Roman" w:hAnsi="Times New Roman"/>
                <w:sz w:val="26"/>
                <w:szCs w:val="26"/>
                <w:color w:val="auto"/>
                <w:w w:val="95"/>
                <w:vertAlign w:val="superscript"/>
              </w:rPr>
              <w:t>(8)</w:t>
            </w:r>
          </w:p>
        </w:tc>
        <w:tc>
          <w:tcPr>
            <w:tcW w:w="1340" w:type="dxa"/>
            <w:vAlign w:val="bottom"/>
            <w:gridSpan w:val="2"/>
            <w:shd w:val="clear" w:color="auto" w:fill="E5FF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4"/>
              </w:rPr>
              <w:t xml:space="preserve">X-DF </w:t>
            </w:r>
            <w:r>
              <w:rPr>
                <w:rFonts w:ascii="Times New Roman" w:cs="Times New Roman" w:eastAsia="Times New Roman" w:hAnsi="Times New Roman"/>
                <w:sz w:val="26"/>
                <w:szCs w:val="26"/>
                <w:color w:val="auto"/>
                <w:w w:val="94"/>
                <w:vertAlign w:val="superscript"/>
              </w:rPr>
              <w:t>(3)</w:t>
            </w:r>
          </w:p>
        </w:tc>
        <w:tc>
          <w:tcPr>
            <w:tcW w:w="1340" w:type="dxa"/>
            <w:vAlign w:val="bottom"/>
            <w:shd w:val="clear" w:color="auto" w:fill="E5FFFF"/>
          </w:tcPr>
          <w:p>
            <w:pPr>
              <w:jc w:val="center"/>
              <w:spacing w:after="0" w:line="243" w:lineRule="exact"/>
              <w:rPr>
                <w:sz w:val="20"/>
                <w:szCs w:val="20"/>
                <w:color w:val="auto"/>
              </w:rPr>
            </w:pPr>
            <w:r>
              <w:rPr>
                <w:rFonts w:ascii="Times New Roman" w:cs="Times New Roman" w:eastAsia="Times New Roman" w:hAnsi="Times New Roman"/>
                <w:sz w:val="16"/>
                <w:szCs w:val="16"/>
                <w:color w:val="auto"/>
                <w:w w:val="92"/>
              </w:rPr>
              <w:t xml:space="preserve">2028 </w:t>
            </w:r>
            <w:r>
              <w:rPr>
                <w:rFonts w:ascii="Times New Roman" w:cs="Times New Roman" w:eastAsia="Times New Roman" w:hAnsi="Times New Roman"/>
                <w:sz w:val="26"/>
                <w:szCs w:val="26"/>
                <w:color w:val="auto"/>
                <w:w w:val="92"/>
                <w:vertAlign w:val="superscript"/>
              </w:rPr>
              <w:t>(7)</w:t>
            </w:r>
          </w:p>
        </w:tc>
        <w:tc>
          <w:tcPr>
            <w:tcW w:w="0" w:type="dxa"/>
            <w:vAlign w:val="bottom"/>
          </w:tcPr>
          <w:p>
            <w:pPr>
              <w:spacing w:after="0"/>
              <w:rPr>
                <w:sz w:val="1"/>
                <w:szCs w:val="1"/>
                <w:color w:val="auto"/>
              </w:rPr>
            </w:pPr>
          </w:p>
        </w:tc>
      </w:tr>
      <w:tr>
        <w:trPr>
          <w:trHeight w:val="216"/>
        </w:trPr>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7" w:right="339" w:bottom="0" w:gutter="0" w:footer="0" w:header="0"/>
        </w:sectPr>
      </w:pPr>
    </w:p>
    <w:bookmarkStart w:id="18" w:name="page19"/>
    <w:bookmarkEnd w:id="18"/>
    <w:p>
      <w:pPr>
        <w:ind w:left="332" w:hanging="332"/>
        <w:spacing w:after="0" w:line="232" w:lineRule="auto"/>
        <w:tabs>
          <w:tab w:leader="none" w:pos="332"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currently trading in the spot market and has been chartered to Sinolam LNG Terminal, S.A. (“Sinolam LNG”) for the provision of an LNG floating storage unit (“FSU”). The charter is expected to commence in April 2021, after the dry-docking and conversion of the vessel to an FSU.</w:t>
      </w:r>
    </w:p>
    <w:p>
      <w:pPr>
        <w:spacing w:after="0" w:line="1" w:lineRule="exact"/>
        <w:rPr>
          <w:rFonts w:ascii="Times New Roman" w:cs="Times New Roman" w:eastAsia="Times New Roman" w:hAnsi="Times New Roman"/>
          <w:sz w:val="12"/>
          <w:szCs w:val="12"/>
          <w:color w:val="auto"/>
        </w:rPr>
      </w:pPr>
    </w:p>
    <w:p>
      <w:pPr>
        <w:ind w:left="332" w:hanging="332"/>
        <w:spacing w:after="0"/>
        <w:tabs>
          <w:tab w:leader="none" w:pos="332"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a wholly owned subsidiary of Endesa, S.A. (“Endesa”). The charter is expected to commence in May 2021.</w:t>
      </w:r>
    </w:p>
    <w:p>
      <w:pPr>
        <w:spacing w:after="0" w:line="200" w:lineRule="exact"/>
        <w:rPr>
          <w:sz w:val="20"/>
          <w:szCs w:val="20"/>
          <w:color w:val="auto"/>
        </w:rPr>
      </w:pPr>
    </w:p>
    <w:p>
      <w:pPr>
        <w:spacing w:after="0" w:line="221"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92"/>
          </w:cols>
          <w:pgMar w:left="328" w:top="118" w:right="479" w:bottom="1440" w:gutter="0" w:footer="0" w:header="0"/>
        </w:sectPr>
      </w:pPr>
    </w:p>
    <w:bookmarkStart w:id="19" w:name="page20"/>
    <w:bookmarkEnd w:id="19"/>
    <w:p>
      <w:pPr>
        <w:ind w:left="340" w:hanging="332"/>
        <w:spacing w:after="0"/>
        <w:tabs>
          <w:tab w:leader="none" w:pos="3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Reference to “X-DF” refers to low pressure dual-fuel two-stroke engine propulsion manufactured by Winterthur Gas &amp; Diesel.</w:t>
      </w:r>
    </w:p>
    <w:p>
      <w:pPr>
        <w:spacing w:after="0" w:line="17"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Pioneer Shipping Limited, a wholly owned subsidiary of Centrica plc (“Centrica”).</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LNG Marine Transport Limited, the principal LNG shipping entity of Japan’s JERA Co., Inc (“JERA”).</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Expected delivery quarters are presented.</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 expiration to be determined based upon actual date of delivery.</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Cheniere Marketing International LLP, a wholly-owned subsidiary of Cheniere Energy, Inc. (“Cheniere”).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35" w:lineRule="exact"/>
        <w:rPr>
          <w:sz w:val="20"/>
          <w:szCs w:val="20"/>
          <w:color w:val="auto"/>
        </w:rPr>
      </w:pPr>
    </w:p>
    <w:p>
      <w:pPr>
        <w:ind w:right="160" w:firstLine="324"/>
        <w:spacing w:after="0" w:line="273" w:lineRule="auto"/>
        <w:rPr>
          <w:sz w:val="20"/>
          <w:szCs w:val="20"/>
          <w:color w:val="auto"/>
        </w:rPr>
      </w:pPr>
      <w:r>
        <w:rPr>
          <w:rFonts w:ascii="Times New Roman" w:cs="Times New Roman" w:eastAsia="Times New Roman" w:hAnsi="Times New Roman"/>
          <w:sz w:val="16"/>
          <w:szCs w:val="16"/>
          <w:color w:val="auto"/>
        </w:rPr>
        <w:t xml:space="preserve">Our results set forth below are derived from the unaudited condensed consolidated financial statements of the Partnership. The transfer of the </w:t>
      </w:r>
      <w:r>
        <w:rPr>
          <w:rFonts w:ascii="Times New Roman" w:cs="Times New Roman" w:eastAsia="Times New Roman" w:hAnsi="Times New Roman"/>
          <w:sz w:val="16"/>
          <w:szCs w:val="16"/>
          <w:i w:val="1"/>
          <w:iCs w:val="1"/>
          <w:color w:val="auto"/>
        </w:rPr>
        <w:t>GasLog Glasgow</w:t>
      </w:r>
      <w:r>
        <w:rPr>
          <w:rFonts w:ascii="Times New Roman" w:cs="Times New Roman" w:eastAsia="Times New Roman" w:hAnsi="Times New Roman"/>
          <w:sz w:val="16"/>
          <w:szCs w:val="16"/>
          <w:color w:val="auto"/>
        </w:rPr>
        <w:t xml:space="preserve"> from GasLog to the Partnership on April 1, 2019 was accounted for as a reorganization of entities under common control under International Financial Reporting Standards (“IFRS”). The unaudited condensed consolidated financial statements include the accounts of the Partnership and its subsidiaries assuming that they are consolidated from the dates of their incorporation by GasLog as they were under the common control of GasLog. The Partnership’s historical results were retroactively restated to reflect the historical results of the acquired entity during the period it was owned by GasLog.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Three-month period ended September 30, 2019 compared to the three-month period ended September 30,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w:t>
            </w:r>
          </w:p>
        </w:tc>
        <w:tc>
          <w:tcPr>
            <w:tcW w:w="16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4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20" w:type="dxa"/>
            <w:vAlign w:val="bottom"/>
          </w:tcPr>
          <w:p>
            <w:pPr>
              <w:spacing w:after="0"/>
              <w:rPr>
                <w:sz w:val="18"/>
                <w:szCs w:val="18"/>
                <w:color w:val="auto"/>
              </w:rPr>
            </w:pPr>
          </w:p>
        </w:tc>
        <w:tc>
          <w:tcPr>
            <w:tcW w:w="13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20" w:type="dxa"/>
            <w:vAlign w:val="bottom"/>
          </w:tcPr>
          <w:p>
            <w:pPr>
              <w:spacing w:after="0"/>
              <w:rPr>
                <w:sz w:val="18"/>
                <w:szCs w:val="18"/>
                <w:color w:val="auto"/>
              </w:rPr>
            </w:pPr>
          </w:p>
        </w:tc>
        <w:tc>
          <w:tcPr>
            <w:tcW w:w="13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8"/>
                <w:szCs w:val="18"/>
                <w:color w:val="auto"/>
              </w:rPr>
            </w:pPr>
          </w:p>
        </w:tc>
        <w:tc>
          <w:tcPr>
            <w:tcW w:w="14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2"/>
        </w:trPr>
        <w:tc>
          <w:tcPr>
            <w:tcW w:w="64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3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96,485</w:t>
            </w:r>
          </w:p>
        </w:tc>
        <w:tc>
          <w:tcPr>
            <w:tcW w:w="3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72,813</w:t>
            </w:r>
          </w:p>
        </w:tc>
        <w:tc>
          <w:tcPr>
            <w:tcW w:w="2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(23,672)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(1,673)</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(2,246)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 operating costs</w:t>
            </w:r>
          </w:p>
        </w:tc>
        <w:tc>
          <w:tcPr>
            <w:tcW w:w="168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(18,116)</w:t>
            </w:r>
          </w:p>
        </w:tc>
        <w:tc>
          <w:tcPr>
            <w:tcW w:w="15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(19,327)</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(22,819)</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(20,577)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8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(4,917)</w:t>
            </w:r>
          </w:p>
        </w:tc>
        <w:tc>
          <w:tcPr>
            <w:tcW w:w="15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(5,379)</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64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48,960</w:t>
            </w:r>
          </w:p>
        </w:tc>
        <w:tc>
          <w:tcPr>
            <w:tcW w:w="320" w:type="dxa"/>
            <w:vAlign w:val="bottom"/>
            <w:tcBorders>
              <w:bottom w:val="single" w:sz="8" w:color="E5FF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25,284</w:t>
            </w:r>
          </w:p>
        </w:tc>
        <w:tc>
          <w:tcPr>
            <w:tcW w:w="2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(23,676</w:t>
            </w: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(17,534)</w:t>
            </w:r>
          </w:p>
        </w:tc>
        <w:tc>
          <w:tcPr>
            <w:tcW w:w="32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5,097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3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on derivatives</w:t>
            </w:r>
          </w:p>
        </w:tc>
        <w:tc>
          <w:tcPr>
            <w:tcW w:w="168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(2,385)</w:t>
            </w:r>
          </w:p>
        </w:tc>
        <w:tc>
          <w:tcPr>
            <w:tcW w:w="15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(990)</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29,434</w:t>
            </w:r>
          </w:p>
        </w:tc>
        <w:tc>
          <w:tcPr>
            <w:tcW w:w="3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11,866</w:t>
            </w:r>
          </w:p>
        </w:tc>
        <w:tc>
          <w:tcPr>
            <w:tcW w:w="22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(17,568</w:t>
            </w: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6"/>
          <w:szCs w:val="16"/>
          <w:color w:val="auto"/>
        </w:rPr>
        <w:t>For the three-month period ended September 30, 2019, we had an average of 15 vessels operating in our owned fleet having 1,365 revenue operating days, while during the three-month period ended September 30, 2020, we had an average of 15 vessels operating in our owned fleet having 1,247 revenue operating days, mainly due to the increased off-hire days for scheduled dry-dockings.</w:t>
      </w:r>
    </w:p>
    <w:p>
      <w:pPr>
        <w:spacing w:after="0" w:line="173" w:lineRule="exact"/>
        <w:rPr>
          <w:sz w:val="20"/>
          <w:szCs w:val="20"/>
          <w:color w:val="auto"/>
        </w:rPr>
      </w:pPr>
    </w:p>
    <w:p>
      <w:pPr>
        <w:ind w:right="100" w:firstLine="324"/>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Revenues: </w:t>
      </w:r>
      <w:r>
        <w:rPr>
          <w:rFonts w:ascii="Times New Roman" w:cs="Times New Roman" w:eastAsia="Times New Roman" w:hAnsi="Times New Roman"/>
          <w:sz w:val="16"/>
          <w:szCs w:val="16"/>
          <w:color w:val="auto"/>
        </w:rPr>
        <w:t>Revenues decreased by $23.7 million, or 24.6%, from $96.5 million for the three-month period ended September 30, 2019 to $72.8 million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period in 2020. The decrease in revenues is mainly attributable to the expirations of the initial multi-year time charters of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Alison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Victoria</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Methane Rita Andrea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Methane Shirley Elisabeth </w:t>
      </w:r>
      <w:r>
        <w:rPr>
          <w:rFonts w:ascii="Times New Roman" w:cs="Times New Roman" w:eastAsia="Times New Roman" w:hAnsi="Times New Roman"/>
          <w:sz w:val="16"/>
          <w:szCs w:val="16"/>
          <w:color w:val="auto"/>
        </w:rPr>
        <w:t>and the 18-month time charter of the</w:t>
      </w:r>
      <w:r>
        <w:rPr>
          <w:rFonts w:ascii="Times New Roman" w:cs="Times New Roman" w:eastAsia="Times New Roman" w:hAnsi="Times New Roman"/>
          <w:sz w:val="16"/>
          <w:szCs w:val="16"/>
          <w:i w:val="1"/>
          <w:iCs w:val="1"/>
          <w:color w:val="auto"/>
        </w:rPr>
        <w:t xml:space="preserve"> GasLog Sydney </w:t>
      </w:r>
      <w:r>
        <w:rPr>
          <w:rFonts w:ascii="Times New Roman" w:cs="Times New Roman" w:eastAsia="Times New Roman" w:hAnsi="Times New Roman"/>
          <w:sz w:val="16"/>
          <w:szCs w:val="16"/>
          <w:color w:val="auto"/>
        </w:rPr>
        <w:t xml:space="preserve">and also increased off-hire days due to dry-dockings. Following the expirations of their initial charters,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was re-chartered to Trafigura in November 2019,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to JOVO in June 2020 and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to CNTIC VPower in September 2020, while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xml:space="preserve"> have been trading in the spot market. The average daily hire rate decreased from $70,684 for the three-month period ended September 30, 2019 to $58,390 for the three-month period ended September 30, 2020.</w:t>
      </w:r>
    </w:p>
    <w:p>
      <w:pPr>
        <w:spacing w:after="0" w:line="18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6"/>
          <w:szCs w:val="16"/>
          <w:b w:val="1"/>
          <w:bCs w:val="1"/>
          <w:i w:val="1"/>
          <w:iCs w:val="1"/>
          <w:color w:val="auto"/>
        </w:rPr>
        <w:t xml:space="preserve">Voyage Expenses and Commissions: </w:t>
      </w:r>
      <w:r>
        <w:rPr>
          <w:rFonts w:ascii="Times New Roman" w:cs="Times New Roman" w:eastAsia="Times New Roman" w:hAnsi="Times New Roman"/>
          <w:sz w:val="16"/>
          <w:szCs w:val="16"/>
          <w:color w:val="auto"/>
        </w:rPr>
        <w:t>Voyage expenses and commissions increased by $0.5 million or 29.4%, from $1.7 million in the three months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September 30, 2019 to $2.2 million in the three months ended September 30, 2020. The increase in voyage expenses and commissions is mainly attributable to an increase in bunker consumption costs due to the operation of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in the spot market in the three months ended September 30, 2020.</w:t>
      </w:r>
    </w:p>
    <w:p>
      <w:pPr>
        <w:spacing w:after="0" w:line="377"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 xml:space="preserve">Vessel Operating Costs: </w:t>
      </w:r>
      <w:r>
        <w:rPr>
          <w:rFonts w:ascii="Times New Roman" w:cs="Times New Roman" w:eastAsia="Times New Roman" w:hAnsi="Times New Roman"/>
          <w:sz w:val="16"/>
          <w:szCs w:val="16"/>
          <w:color w:val="auto"/>
        </w:rPr>
        <w:t>Vessel operating costs increased by $1.2 million, or 6.6%, from $18.1 million for the three-month period ended September 30, 2019 to $19.3</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million for the same period in 2020. The increase in vessel operating costs is attributable to an increase of $1.2 million in technical maintenance expenses mainly due to the scheduled dry-dockings of three of our vessels in the third quarter of 2020. As a result, daily operating costs per vessel (after excluding calendar days for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increased from $14,065 per day for the three-month period ended September 30, 2019 to $15,005 per day for the three-month period ended September 30, 2020.</w:t>
      </w:r>
    </w:p>
    <w:p>
      <w:pPr>
        <w:spacing w:after="0" w:line="177"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increased by $0.5 million, or 10.2%, from $4.9 million for the three-month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2019 to $5.4 million for the same period in 2020. The increase in general and administrative expenses is mainly attributable to an increase of $0.9 million due to restructuring costs (increased amortization of share-based compensation due to accelerated vestings of relevant awards in the third quarter of 2020).</w:t>
      </w:r>
    </w:p>
    <w:p>
      <w:pPr>
        <w:spacing w:after="0" w:line="173"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Financial Costs: </w:t>
      </w:r>
      <w:r>
        <w:rPr>
          <w:rFonts w:ascii="Times New Roman" w:cs="Times New Roman" w:eastAsia="Times New Roman" w:hAnsi="Times New Roman"/>
          <w:sz w:val="16"/>
          <w:szCs w:val="16"/>
          <w:color w:val="auto"/>
        </w:rPr>
        <w:t>Financial costs decreased by $5.1 million, or 29.1%, from $17.5 million for the three-month period ended September 30, 2019 to $12.4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2020. The decrease in financial costs is mainly attributable to a decrease of $6.7 million in interest expense on loans, primarily due to the lower London Interbank Offered Rate (“LIBOR”) rates in the three months ended September 30, 2020 as compared to the same period in 2019, partially offset by an increase of $1.8 million in amortization and write-off of deferred loan issuance costs, as a result of the July 2020 loan refinancings. During the three-month period ended September 30, 2019, we had an average of $1,402.9 million of</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0" w:name="page21"/>
    <w:bookmarkEnd w:id="20"/>
    <w:p>
      <w:pPr>
        <w:ind w:right="200"/>
        <w:spacing w:after="0" w:line="281" w:lineRule="auto"/>
        <w:rPr>
          <w:sz w:val="20"/>
          <w:szCs w:val="20"/>
          <w:color w:val="auto"/>
        </w:rPr>
      </w:pPr>
      <w:r>
        <w:rPr>
          <w:rFonts w:ascii="Times New Roman" w:cs="Times New Roman" w:eastAsia="Times New Roman" w:hAnsi="Times New Roman"/>
          <w:sz w:val="16"/>
          <w:szCs w:val="16"/>
          <w:color w:val="auto"/>
        </w:rPr>
        <w:t>outstanding indebtedness with a weighted average interest rate of 4.4%, compared to an average of $1,337.1 million of outstanding indebtedness with a weighted average interest rate of 2.7% during the three-month period ended September 30, 2020. Average indebtedness is based on the daily outstanding principal for loans and weighted average interest rates are computed based on interest expense on loans.</w:t>
      </w:r>
    </w:p>
    <w:p>
      <w:pPr>
        <w:spacing w:after="0" w:line="173" w:lineRule="exact"/>
        <w:rPr>
          <w:sz w:val="20"/>
          <w:szCs w:val="20"/>
          <w:color w:val="auto"/>
        </w:rPr>
      </w:pPr>
    </w:p>
    <w:p>
      <w:pPr>
        <w:ind w:right="140" w:firstLine="324"/>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 on Derivatives: </w:t>
      </w:r>
      <w:r>
        <w:rPr>
          <w:rFonts w:ascii="Times New Roman" w:cs="Times New Roman" w:eastAsia="Times New Roman" w:hAnsi="Times New Roman"/>
          <w:sz w:val="16"/>
          <w:szCs w:val="16"/>
          <w:color w:val="auto"/>
        </w:rPr>
        <w:t>Loss on derivatives decreased by $1.4 million, from $2.4 million for the three-month period ended September 30, 2019 to $1.0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same period in 2020. The decrease is attributable to a $4.3 million net decrease in unrealized loss from the mark-to-market valuation of derivatives held for trading which were carried at fair value through profit or loss (a $2.4 million loss in the three months ended September 30, 2019 as compared to a $1.9 million gain in the three months ended September 30, 2020), partially offset by a net increase of $2.9 million in realized loss on derivatives held for trading (a net gain of $0.06 million in the three months ended September 30, 2019 as compared to a $2.9 million loss in the three months ended September 30, 2020).</w:t>
      </w:r>
    </w:p>
    <w:p>
      <w:pPr>
        <w:spacing w:after="0" w:line="178" w:lineRule="exact"/>
        <w:rPr>
          <w:sz w:val="20"/>
          <w:szCs w:val="20"/>
          <w:color w:val="auto"/>
        </w:rPr>
      </w:pPr>
    </w:p>
    <w:p>
      <w:pPr>
        <w:ind w:right="260"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Profit for the Period: </w:t>
      </w:r>
      <w:r>
        <w:rPr>
          <w:rFonts w:ascii="Times New Roman" w:cs="Times New Roman" w:eastAsia="Times New Roman" w:hAnsi="Times New Roman"/>
          <w:sz w:val="16"/>
          <w:szCs w:val="16"/>
          <w:color w:val="auto"/>
        </w:rPr>
        <w:t>Profit for the period decreased by $17.5 million, or 59.5%, from $29.4 million for the three-month period ended September 30, 2019 to $11.9</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same period in 2020, as a result of the aforementioned factors.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Nine-month period ended September 30, 2019 compared to the nine-month period ended September 30,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w:t>
            </w:r>
          </w:p>
        </w:tc>
        <w:tc>
          <w:tcPr>
            <w:tcW w:w="16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32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20" w:type="dxa"/>
            <w:vAlign w:val="bottom"/>
          </w:tcPr>
          <w:p>
            <w:pPr>
              <w:spacing w:after="0"/>
              <w:rPr>
                <w:sz w:val="18"/>
                <w:szCs w:val="18"/>
                <w:color w:val="auto"/>
              </w:rPr>
            </w:pPr>
          </w:p>
        </w:tc>
        <w:tc>
          <w:tcPr>
            <w:tcW w:w="134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Pr>
          <w:p>
            <w:pPr>
              <w:spacing w:after="0"/>
              <w:rPr>
                <w:sz w:val="18"/>
                <w:szCs w:val="18"/>
                <w:color w:val="auto"/>
              </w:rPr>
            </w:pPr>
          </w:p>
        </w:tc>
        <w:tc>
          <w:tcPr>
            <w:tcW w:w="134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340" w:type="dxa"/>
            <w:vAlign w:val="bottom"/>
          </w:tcPr>
          <w:p>
            <w:pPr>
              <w:spacing w:after="0"/>
              <w:rPr>
                <w:sz w:val="18"/>
                <w:szCs w:val="18"/>
                <w:color w:val="auto"/>
              </w:rPr>
            </w:pPr>
          </w:p>
        </w:tc>
        <w:tc>
          <w:tcPr>
            <w:tcW w:w="14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2"/>
        </w:trPr>
        <w:tc>
          <w:tcPr>
            <w:tcW w:w="63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282,175</w:t>
            </w:r>
          </w:p>
        </w:tc>
        <w:tc>
          <w:tcPr>
            <w:tcW w:w="3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248,614</w:t>
            </w:r>
          </w:p>
        </w:tc>
        <w:tc>
          <w:tcPr>
            <w:tcW w:w="3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(33,561)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Net pool allocation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34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68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(5,547)</w:t>
            </w:r>
          </w:p>
        </w:tc>
        <w:tc>
          <w:tcPr>
            <w:tcW w:w="168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(8,916)</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(3,369)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Vessel operating costs</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(55,295)</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(55,315)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2"/>
        </w:trPr>
        <w:tc>
          <w:tcPr>
            <w:tcW w:w="6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68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(66,826)</w:t>
            </w:r>
          </w:p>
        </w:tc>
        <w:tc>
          <w:tcPr>
            <w:tcW w:w="168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(61,850)</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(14,352)</w:t>
            </w: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(13,971)</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68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(18,841)</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(18,841)</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141,213</w:t>
            </w:r>
          </w:p>
        </w:tc>
        <w:tc>
          <w:tcPr>
            <w:tcW w:w="34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89,721</w:t>
            </w:r>
          </w:p>
        </w:tc>
        <w:tc>
          <w:tcPr>
            <w:tcW w:w="34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(51,492</w:t>
            </w:r>
          </w:p>
        </w:tc>
        <w:tc>
          <w:tcPr>
            <w:tcW w:w="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(55,650)</w:t>
            </w:r>
          </w:p>
        </w:tc>
        <w:tc>
          <w:tcPr>
            <w:tcW w:w="34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(41,017)</w:t>
            </w:r>
          </w:p>
        </w:tc>
        <w:tc>
          <w:tcPr>
            <w:tcW w:w="34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14,633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34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on derivatives</w:t>
            </w:r>
          </w:p>
        </w:tc>
        <w:tc>
          <w:tcPr>
            <w:tcW w:w="168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(15,528)</w:t>
            </w:r>
          </w:p>
        </w:tc>
        <w:tc>
          <w:tcPr>
            <w:tcW w:w="168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(14,741)</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71,593</w:t>
            </w:r>
          </w:p>
        </w:tc>
        <w:tc>
          <w:tcPr>
            <w:tcW w:w="34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34,248</w:t>
            </w:r>
          </w:p>
        </w:tc>
        <w:tc>
          <w:tcPr>
            <w:tcW w:w="34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(37,345</w:t>
            </w:r>
          </w:p>
        </w:tc>
        <w:tc>
          <w:tcPr>
            <w:tcW w:w="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6"/>
          <w:szCs w:val="16"/>
          <w:color w:val="auto"/>
        </w:rPr>
        <w:t>For the nine-month period ended September 30, 2019, we had an average of 15 vessels operating in our owned fleet having 4,049 revenue operating days, while during the nine-month period ended September 30, 2020, we had an average of 15 vessels operating in our owned fleet having 3,838 revenue operating days, mainly due to the increased off-hire days for scheduled dry-dockings and reduced utilization of our vessels entering the spot market in 2020.</w:t>
      </w:r>
    </w:p>
    <w:p>
      <w:pPr>
        <w:spacing w:after="0" w:line="173" w:lineRule="exact"/>
        <w:rPr>
          <w:sz w:val="20"/>
          <w:szCs w:val="20"/>
          <w:color w:val="auto"/>
        </w:rPr>
      </w:pPr>
    </w:p>
    <w:p>
      <w:pPr>
        <w:ind w:right="80" w:firstLine="324"/>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Revenues: </w:t>
      </w:r>
      <w:r>
        <w:rPr>
          <w:rFonts w:ascii="Times New Roman" w:cs="Times New Roman" w:eastAsia="Times New Roman" w:hAnsi="Times New Roman"/>
          <w:sz w:val="16"/>
          <w:szCs w:val="16"/>
          <w:color w:val="auto"/>
        </w:rPr>
        <w:t>Revenues decreased by $33.6 million, or 11.9%, from $282.2 million for the nine-month period ended September 30, 2019 to $248.6 million for the same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period in 2020. The decrease in revenues is mainly attributable to the expirations of the initial multi-year time charters of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Alison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Victoria</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Methane Rita Andrea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Methane Shirley Elisabeth </w:t>
      </w:r>
      <w:r>
        <w:rPr>
          <w:rFonts w:ascii="Times New Roman" w:cs="Times New Roman" w:eastAsia="Times New Roman" w:hAnsi="Times New Roman"/>
          <w:sz w:val="16"/>
          <w:szCs w:val="16"/>
          <w:color w:val="auto"/>
        </w:rPr>
        <w:t>and the 18-month time charter of the</w:t>
      </w:r>
      <w:r>
        <w:rPr>
          <w:rFonts w:ascii="Times New Roman" w:cs="Times New Roman" w:eastAsia="Times New Roman" w:hAnsi="Times New Roman"/>
          <w:sz w:val="16"/>
          <w:szCs w:val="16"/>
          <w:i w:val="1"/>
          <w:iCs w:val="1"/>
          <w:color w:val="auto"/>
        </w:rPr>
        <w:t xml:space="preserve"> GasLog Sydney </w:t>
      </w:r>
      <w:r>
        <w:rPr>
          <w:rFonts w:ascii="Times New Roman" w:cs="Times New Roman" w:eastAsia="Times New Roman" w:hAnsi="Times New Roman"/>
          <w:sz w:val="16"/>
          <w:szCs w:val="16"/>
          <w:color w:val="auto"/>
        </w:rPr>
        <w:t xml:space="preserve">and also increased off-hire days due to dry-dockings. Following the expirations of their initial charters,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was re-chartered to Trafigura in November 2019,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to JOVO in June 2020 and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to CNTIC VPower in September 2020, while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xml:space="preserve"> have been trading in the spot market. The average daily hire rate decreased from $69,690 for the nine-month period ended September 30, 2019 to $64,777 for the nine-month period ended September 30, 2020.</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Voyage Expenses and Commissions: </w:t>
      </w:r>
      <w:r>
        <w:rPr>
          <w:rFonts w:ascii="Times New Roman" w:cs="Times New Roman" w:eastAsia="Times New Roman" w:hAnsi="Times New Roman"/>
          <w:sz w:val="16"/>
          <w:szCs w:val="16"/>
          <w:color w:val="auto"/>
        </w:rPr>
        <w:t>Voyage expenses and commissions increased by $3.4 million, or 61.8%, from $5.5 million in the nine months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2019 to $8.9 million in the nine months ended September 30, 2020. The increase in voyage expenses and commissions is mainly attributable to an increase 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bunker consumption costs due to the operation of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in the spot market in the first nine months of 2020.</w:t>
      </w:r>
    </w:p>
    <w:p>
      <w:pPr>
        <w:spacing w:after="0" w:line="223"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 xml:space="preserve">Vessel Operating Costs: </w:t>
      </w:r>
      <w:r>
        <w:rPr>
          <w:rFonts w:ascii="Times New Roman" w:cs="Times New Roman" w:eastAsia="Times New Roman" w:hAnsi="Times New Roman"/>
          <w:sz w:val="16"/>
          <w:szCs w:val="16"/>
          <w:color w:val="auto"/>
        </w:rPr>
        <w:t>Vessel operating costs were $55.3 million for the nine-month periods ended September 30, 2019 and September 30, 2020. The increase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technical maintenance expenses of $1.5 million mainly due to the increased number of dry-dockings in the first nine months of 2020 was entirely offset by a decrease of $0.5 million in crew wages and a decrease of $1.0 million in other operating costs. Daily operating costs per vessel (after excluding calendar days for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decreased slightly from $14,468 per day for the nine-month period ended September 30, 2019 to $14,420 per day for the nine-month period ended September 30, 2020.</w:t>
      </w:r>
    </w:p>
    <w:p>
      <w:pPr>
        <w:spacing w:after="0" w:line="177"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decreased by $0.4 million, or 2.8%, from $14.4 million for the nine-month period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September 30, 2019 to $14.0 million for the same period in 2020. The decrease in general and administrative expenses is attributable to decreased administrative services fees of $0.8 million, due to the decrease of the annual fee payable to GasLog in 2020 by almost $0.1 million per vessel per year, and decreased other expenses of $0.7 million, partially offset by an increase of $1.2 million due to restructuring costs (increased amortization of share-based compensation due to accelerated vestings of relevant awards in 2020).</w:t>
      </w:r>
    </w:p>
    <w:p>
      <w:pPr>
        <w:spacing w:after="0" w:line="178" w:lineRule="exact"/>
        <w:rPr>
          <w:sz w:val="20"/>
          <w:szCs w:val="20"/>
          <w:color w:val="auto"/>
        </w:rPr>
      </w:pPr>
    </w:p>
    <w:p>
      <w:pPr>
        <w:jc w:val="both"/>
        <w:ind w:right="120" w:firstLine="324"/>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 xml:space="preserve">Impairment Loss on Vessels: </w:t>
      </w:r>
      <w:r>
        <w:rPr>
          <w:rFonts w:ascii="Times New Roman" w:cs="Times New Roman" w:eastAsia="Times New Roman" w:hAnsi="Times New Roman"/>
          <w:sz w:val="16"/>
          <w:szCs w:val="16"/>
          <w:color w:val="auto"/>
        </w:rPr>
        <w:t>Impairment loss on vessels was nil for the nine-month period ended September 30, 2019 and $18.8 million for the same period in 2020.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The impairment loss was recognized as of June 30, 2020 with respect to three of the Partnership’s Steam vessels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as a result of anticipated increases in volatility in the spot charter market over the near term from COVID-19 pandemic-related impacts to LNG and LNG shipping demand.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1" w:name="page22"/>
    <w:bookmarkEnd w:id="21"/>
    <w:p>
      <w:pPr>
        <w:ind w:right="100" w:firstLine="324"/>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Financial Costs: </w:t>
      </w:r>
      <w:r>
        <w:rPr>
          <w:rFonts w:ascii="Times New Roman" w:cs="Times New Roman" w:eastAsia="Times New Roman" w:hAnsi="Times New Roman"/>
          <w:sz w:val="16"/>
          <w:szCs w:val="16"/>
          <w:color w:val="auto"/>
        </w:rPr>
        <w:t>Financial costs decreased by $14.7 million, or 26.4%, from $55.7 million for the nine-month period ended September 30, 2019 to $41.0 million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same period in 2020. The decrease in financial costs is mainly attributable to a decrease of $15.3 million in interest expense on loans, primarily due to the lower LIBOR rates in the first nine months of 2020 as compared to the same period in 2019, partially offset by an increase of $0.8 million in amortization and write-off of deferred loan issuance costs. During the nine-month period ended September 30, 2019, we had an average of $1,400.6 million of outstanding indebtedness with a weighted average interest rate of 4.6%, compared to an average of $1,345.1 million of outstanding indebtedness with a weighted average interest rate of 3.3% during the nine-month period ended September 30, 2020. Average indebtedness is based on the daily outstanding principal for loans and weighted average interest rates are computed based on interest expense on loans.</w:t>
      </w:r>
    </w:p>
    <w:p>
      <w:pPr>
        <w:spacing w:after="0" w:line="387" w:lineRule="exact"/>
        <w:rPr>
          <w:sz w:val="20"/>
          <w:szCs w:val="20"/>
          <w:color w:val="auto"/>
        </w:rPr>
      </w:pPr>
    </w:p>
    <w:p>
      <w:pPr>
        <w:jc w:val="both"/>
        <w:ind w:right="20" w:firstLine="324"/>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 on Derivatives: </w:t>
      </w:r>
      <w:r>
        <w:rPr>
          <w:rFonts w:ascii="Times New Roman" w:cs="Times New Roman" w:eastAsia="Times New Roman" w:hAnsi="Times New Roman"/>
          <w:sz w:val="16"/>
          <w:szCs w:val="16"/>
          <w:color w:val="auto"/>
        </w:rPr>
        <w:t>Loss on derivatives decreased by $0.8 million, or 5.2%, from $15.5 million for the nine-month period ended September 30, 2019 to $14.7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same period in 2020. The decrease is attributable to a net decrease of $6.4 million in unrealized loss from the mark-to-market valuation of derivatives held for trading which were carried at fair value through profit or loss, partially offset by a decrease of $5.6 million in realized gain on derivatives held for trading, which reflected a gain of $1.2 million in the nine months ended September 30, 2019 as compared to a loss of $4.4 million in the nine months ended September 30, 2020.</w:t>
      </w:r>
    </w:p>
    <w:p>
      <w:pPr>
        <w:spacing w:after="0" w:line="177" w:lineRule="exact"/>
        <w:rPr>
          <w:sz w:val="20"/>
          <w:szCs w:val="20"/>
          <w:color w:val="auto"/>
        </w:rPr>
      </w:pPr>
    </w:p>
    <w:p>
      <w:pPr>
        <w:ind w:right="340"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Profit for the Period: </w:t>
      </w:r>
      <w:r>
        <w:rPr>
          <w:rFonts w:ascii="Times New Roman" w:cs="Times New Roman" w:eastAsia="Times New Roman" w:hAnsi="Times New Roman"/>
          <w:sz w:val="16"/>
          <w:szCs w:val="16"/>
          <w:color w:val="auto"/>
        </w:rPr>
        <w:t>Profit for the period decreased by $37.4 million, or 52.2%, from $71.6 million for the nine-month period ended September 30, 2019 to $34.2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same period in 2020, as a result of the aforementioned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37"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6"/>
          <w:szCs w:val="16"/>
          <w:color w:val="auto"/>
        </w:rPr>
        <w:t>We operate in a capital-intensive industry and we expect to finance the purchase of additional vessels and other capital expenditures through a combination of borrowings from commercial banks, cash generated from operations and debt and equity financings, if any. In addition to paying distributions and potentially repurchasing common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86"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6"/>
          <w:szCs w:val="16"/>
          <w:color w:val="auto"/>
        </w:rPr>
        <w:t>As part of the closing of the Partnership’s refinancing in July 2020, the Partnership drew down an amount of $260.3 million with respect to the credit agreement entered into with BNP Paribas, Credit Suisse AG and Alpha Bank S.A. and an amount of $193.7 million with respect to the credit agreement entered into with DNB Bank ASA, London Branch, and ING Bank N.V., London Branch. Both amounts were primarily used to refinance the outstanding indebtedness of the six vessel-owning entities participating in the facilities. In October 2020, the first facility was further syndicated, with the Development Bank of Japan joining the existing lenders under the facility.</w:t>
      </w:r>
    </w:p>
    <w:p>
      <w:pPr>
        <w:spacing w:after="0" w:line="183"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6"/>
          <w:szCs w:val="16"/>
          <w:color w:val="auto"/>
        </w:rPr>
        <w:t>Furthermore, also in July 2020, the Partnership entered into four new interest rate swap agreements with an aggregate notional amount of $133.3 million due in 2024 and 2025 with the lenders under the second facility, receiving $16.1 million, and terminated two interest rate swap agreements with GasLog in September 2020 with an aggregate notional amount of $155.0 million initially due in 2023 and 2024, paying $13.2 million.</w:t>
      </w:r>
    </w:p>
    <w:p>
      <w:pPr>
        <w:spacing w:after="0" w:line="177" w:lineRule="exact"/>
        <w:rPr>
          <w:sz w:val="20"/>
          <w:szCs w:val="20"/>
          <w:color w:val="auto"/>
        </w:rPr>
      </w:pPr>
    </w:p>
    <w:p>
      <w:pPr>
        <w:ind w:right="320" w:firstLine="324"/>
        <w:spacing w:after="0" w:line="298" w:lineRule="auto"/>
        <w:rPr>
          <w:sz w:val="20"/>
          <w:szCs w:val="20"/>
          <w:color w:val="auto"/>
        </w:rPr>
      </w:pPr>
      <w:r>
        <w:rPr>
          <w:rFonts w:ascii="Times New Roman" w:cs="Times New Roman" w:eastAsia="Times New Roman" w:hAnsi="Times New Roman"/>
          <w:sz w:val="16"/>
          <w:szCs w:val="16"/>
          <w:color w:val="auto"/>
        </w:rPr>
        <w:t>Finally, in September 2020, an amount of $9.2 million of cash collateral was released, pursuant to an amendment to the Credit Support Annex entered into between GasLog Partners and GasLog in March 2020.</w:t>
      </w:r>
    </w:p>
    <w:p>
      <w:pPr>
        <w:spacing w:after="0" w:line="164" w:lineRule="exact"/>
        <w:rPr>
          <w:sz w:val="20"/>
          <w:szCs w:val="20"/>
          <w:color w:val="auto"/>
        </w:rPr>
      </w:pPr>
    </w:p>
    <w:p>
      <w:pPr>
        <w:ind w:right="120" w:firstLine="324"/>
        <w:spacing w:after="0" w:line="298" w:lineRule="auto"/>
        <w:rPr>
          <w:sz w:val="20"/>
          <w:szCs w:val="20"/>
          <w:color w:val="auto"/>
        </w:rPr>
      </w:pPr>
      <w:r>
        <w:rPr>
          <w:rFonts w:ascii="Times New Roman" w:cs="Times New Roman" w:eastAsia="Times New Roman" w:hAnsi="Times New Roman"/>
          <w:sz w:val="16"/>
          <w:szCs w:val="16"/>
          <w:color w:val="auto"/>
        </w:rPr>
        <w:t>As of September 30, 2020, we had $79.0 million of cash and cash equivalents. In addition, as of September 30, 2020, an aggregate amount of $7.6 million was held as cash collateral with respect to our derivative instruments with GasLog and bank counterparties.</w:t>
      </w:r>
    </w:p>
    <w:p>
      <w:pPr>
        <w:spacing w:after="0" w:line="164" w:lineRule="exact"/>
        <w:rPr>
          <w:sz w:val="20"/>
          <w:szCs w:val="20"/>
          <w:color w:val="auto"/>
        </w:rPr>
      </w:pPr>
    </w:p>
    <w:p>
      <w:pPr>
        <w:ind w:right="20" w:firstLine="324"/>
        <w:spacing w:after="0" w:line="298" w:lineRule="auto"/>
        <w:rPr>
          <w:sz w:val="20"/>
          <w:szCs w:val="20"/>
          <w:color w:val="auto"/>
        </w:rPr>
      </w:pPr>
      <w:r>
        <w:rPr>
          <w:rFonts w:ascii="Times New Roman" w:cs="Times New Roman" w:eastAsia="Times New Roman" w:hAnsi="Times New Roman"/>
          <w:sz w:val="16"/>
          <w:szCs w:val="16"/>
          <w:color w:val="auto"/>
        </w:rPr>
        <w:t>As of September 30, 2020, we had an aggregate of $1,303.6 million of borrowings outstanding under our credit facilities, of which $104.9 million was repayable within one year. In addition, as of September 30, 2020, we had unused availability under our revolving credit facility with GasLog of $30.0 million.</w:t>
      </w:r>
    </w:p>
    <w:p>
      <w:pPr>
        <w:spacing w:after="0" w:line="164" w:lineRule="exact"/>
        <w:rPr>
          <w:sz w:val="20"/>
          <w:szCs w:val="20"/>
          <w:color w:val="auto"/>
        </w:rPr>
      </w:pPr>
    </w:p>
    <w:p>
      <w:pPr>
        <w:jc w:val="both"/>
        <w:ind w:right="80" w:firstLine="324"/>
        <w:spacing w:after="0" w:line="281" w:lineRule="auto"/>
        <w:rPr>
          <w:sz w:val="20"/>
          <w:szCs w:val="20"/>
          <w:color w:val="auto"/>
        </w:rPr>
      </w:pPr>
      <w:r>
        <w:rPr>
          <w:rFonts w:ascii="Times New Roman" w:cs="Times New Roman" w:eastAsia="Times New Roman" w:hAnsi="Times New Roman"/>
          <w:sz w:val="16"/>
          <w:szCs w:val="16"/>
          <w:color w:val="auto"/>
        </w:rPr>
        <w:t>The Partnership has in place seven interest rate swap agreements at a notional value of $473.3 million in aggregate, maturing between 2021 and 2025. As a result of its hedging agreements, the Partnership has hedged 35.8% of its floating interest rate exposure on its outstanding debt as of September 30, 2020, at a weighted average interest rate of approximately 2.0% (excluding margin).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Working Capital Position</w:t>
      </w:r>
    </w:p>
    <w:p>
      <w:pPr>
        <w:spacing w:after="0" w:line="237" w:lineRule="exact"/>
        <w:rPr>
          <w:sz w:val="20"/>
          <w:szCs w:val="20"/>
          <w:color w:val="auto"/>
        </w:rPr>
      </w:pPr>
    </w:p>
    <w:p>
      <w:pPr>
        <w:ind w:right="320" w:firstLine="324"/>
        <w:spacing w:after="0" w:line="281" w:lineRule="auto"/>
        <w:rPr>
          <w:sz w:val="20"/>
          <w:szCs w:val="20"/>
          <w:color w:val="auto"/>
        </w:rPr>
      </w:pPr>
      <w:r>
        <w:rPr>
          <w:rFonts w:ascii="Times New Roman" w:cs="Times New Roman" w:eastAsia="Times New Roman" w:hAnsi="Times New Roman"/>
          <w:sz w:val="16"/>
          <w:szCs w:val="16"/>
          <w:color w:val="auto"/>
        </w:rPr>
        <w:t>As of September 30, 2020, our current assets totaled $106.8 million and current liabilities totaled $179.8 million, resulting in a negative working capital position of $73.0 million. Current liabilities include $25.1 million of unearned revenue in relation to hires received in advance (which represents a non-cash liability that will be recognized as revenues after September 30, 2020 as the services are rendered).</w:t>
      </w:r>
    </w:p>
    <w:p>
      <w:pPr>
        <w:spacing w:after="0" w:line="177"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6"/>
          <w:szCs w:val="16"/>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Taking into account current and expected volatile commercial and financial market conditions, we anticipate that our primary sources of funds over the next twelve months will be available cash, cash from operations and existing debt facilities. We believe that these anticipated sources of funds, as well as our decision to decrease the common unit distributions and preserve liquidity, will be sufficient to meet our liquidity needs and to comply with our banking covenants for at least twelve months from the end of the reporting period. Additionally, we may enter into new debt facilities in the future, as well as public equity or debt instruments, although there can be no assurance that we will be able to obtain additional debt or equity financing on terms acceptable to us, which will also depend on financial, commercial and other factors, as well as a significant recovery in capital market conditions and a sustainable improvement in the LNG charter market, that are beyond our control. Our long-term ability to repay our debts and maintain compliance with our debt covenants beyond the next twelve months without reliance on additional sources of finance is also</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2" w:name="page23"/>
    <w:bookmarkEnd w:id="22"/>
    <w:p>
      <w:pPr>
        <w:ind w:right="500"/>
        <w:spacing w:after="0" w:line="298" w:lineRule="auto"/>
        <w:rPr>
          <w:sz w:val="20"/>
          <w:szCs w:val="20"/>
          <w:color w:val="auto"/>
        </w:rPr>
      </w:pPr>
      <w:r>
        <w:rPr>
          <w:rFonts w:ascii="Times New Roman" w:cs="Times New Roman" w:eastAsia="Times New Roman" w:hAnsi="Times New Roman"/>
          <w:sz w:val="16"/>
          <w:szCs w:val="16"/>
          <w:color w:val="auto"/>
        </w:rPr>
        <w:t>dependent on a sustainable longer-term recovery in the LNG charter market from the market disruption observed in the first half of 2020 as a result of the COVID-19 outbreak.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23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6"/>
          <w:szCs w:val="16"/>
          <w:b w:val="1"/>
          <w:bCs w:val="1"/>
          <w:color w:val="auto"/>
        </w:rPr>
        <w:t>Nine-month period ended September 30, 2019 compared to the nine-month period ended September 30, 2020</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table summarizes our net cash flows from operating, investing and financing activities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 dollars)</w:t>
            </w:r>
          </w:p>
        </w:tc>
        <w:tc>
          <w:tcPr>
            <w:tcW w:w="3360" w:type="dxa"/>
            <w:vAlign w:val="bottom"/>
            <w:gridSpan w:val="4"/>
          </w:tcPr>
          <w:p>
            <w:pPr>
              <w:jc w:val="right"/>
              <w:ind w:right="11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2"/>
        </w:trPr>
        <w:tc>
          <w:tcPr>
            <w:tcW w:w="6320" w:type="dxa"/>
            <w:vAlign w:val="bottom"/>
          </w:tcPr>
          <w:p>
            <w:pPr>
              <w:spacing w:after="0"/>
              <w:rPr>
                <w:sz w:val="18"/>
                <w:szCs w:val="18"/>
                <w:color w:val="auto"/>
              </w:rPr>
            </w:pPr>
          </w:p>
        </w:tc>
        <w:tc>
          <w:tcPr>
            <w:tcW w:w="13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340" w:type="dxa"/>
            <w:vAlign w:val="bottom"/>
          </w:tcPr>
          <w:p>
            <w:pPr>
              <w:spacing w:after="0"/>
              <w:rPr>
                <w:sz w:val="18"/>
                <w:szCs w:val="18"/>
                <w:color w:val="auto"/>
              </w:rPr>
            </w:pPr>
          </w:p>
        </w:tc>
        <w:tc>
          <w:tcPr>
            <w:tcW w:w="14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2"/>
        </w:trPr>
        <w:tc>
          <w:tcPr>
            <w:tcW w:w="63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148,888</w:t>
            </w:r>
          </w:p>
        </w:tc>
        <w:tc>
          <w:tcPr>
            <w:tcW w:w="3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109,750</w:t>
            </w:r>
          </w:p>
        </w:tc>
        <w:tc>
          <w:tcPr>
            <w:tcW w:w="3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(39,138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by/(used in) investing activities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34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(18,686)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(20,122)</w:t>
            </w:r>
          </w:p>
        </w:tc>
        <w:tc>
          <w:tcPr>
            <w:tcW w:w="60" w:type="dxa"/>
            <w:vAlign w:val="bottom"/>
          </w:tcPr>
          <w:p>
            <w:pPr>
              <w:spacing w:after="0"/>
              <w:rPr>
                <w:sz w:val="18"/>
                <w:szCs w:val="18"/>
                <w:color w:val="auto"/>
              </w:rPr>
            </w:pPr>
          </w:p>
        </w:tc>
      </w:tr>
      <w:tr>
        <w:trPr>
          <w:trHeight w:val="222"/>
        </w:trPr>
        <w:tc>
          <w:tcPr>
            <w:tcW w:w="63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8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(217,871)</w:t>
            </w:r>
          </w:p>
        </w:tc>
        <w:tc>
          <w:tcPr>
            <w:tcW w:w="168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(108,987)</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108,884</w:t>
            </w:r>
          </w:p>
        </w:tc>
        <w:tc>
          <w:tcPr>
            <w:tcW w:w="60" w:type="dxa"/>
            <w:vAlign w:val="bottom"/>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 Operating Activities:</w:t>
      </w:r>
    </w:p>
    <w:p>
      <w:pPr>
        <w:spacing w:after="0" w:line="239" w:lineRule="exact"/>
        <w:rPr>
          <w:sz w:val="20"/>
          <w:szCs w:val="20"/>
          <w:color w:val="auto"/>
        </w:rPr>
      </w:pPr>
    </w:p>
    <w:p>
      <w:pPr>
        <w:ind w:right="80" w:firstLine="324"/>
        <w:spacing w:after="0" w:line="272" w:lineRule="auto"/>
        <w:rPr>
          <w:sz w:val="20"/>
          <w:szCs w:val="20"/>
          <w:color w:val="auto"/>
        </w:rPr>
      </w:pPr>
      <w:r>
        <w:rPr>
          <w:rFonts w:ascii="Times New Roman" w:cs="Times New Roman" w:eastAsia="Times New Roman" w:hAnsi="Times New Roman"/>
          <w:sz w:val="16"/>
          <w:szCs w:val="16"/>
          <w:color w:val="auto"/>
        </w:rPr>
        <w:t>Net cash provided by operating activities decreased by $39.1 million, from $148.9 million in the nine-month period ended September 30, 2019 to $109.8 million in the nine-month period ended September 30, 2020. The decrease of $39.1 million is attributable to a decrease of $33.6 million in revenues and a $9.2 million movement in working capital accounts (primarily driven by the $7.6 million of cash collateral posted against our marked-to-market derivative liabilities), a decrease of $5.6 million in realized loss on derivatives held for trading and a net increase of $3.6 million in vessel operating costs, voyage expenses and commissions and general and administrative expenses, partially offset by a decrease of $12.9 million in cash paid for interest.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provided by/(used in) Investing Activities:</w:t>
      </w:r>
    </w:p>
    <w:p>
      <w:pPr>
        <w:spacing w:after="0" w:line="239" w:lineRule="exact"/>
        <w:rPr>
          <w:sz w:val="20"/>
          <w:szCs w:val="20"/>
          <w:color w:val="auto"/>
        </w:rPr>
      </w:pPr>
    </w:p>
    <w:p>
      <w:pPr>
        <w:ind w:right="180" w:firstLine="324"/>
        <w:spacing w:after="0" w:line="275" w:lineRule="auto"/>
        <w:rPr>
          <w:sz w:val="20"/>
          <w:szCs w:val="20"/>
          <w:color w:val="auto"/>
        </w:rPr>
      </w:pPr>
      <w:r>
        <w:rPr>
          <w:rFonts w:ascii="Times New Roman" w:cs="Times New Roman" w:eastAsia="Times New Roman" w:hAnsi="Times New Roman"/>
          <w:sz w:val="16"/>
          <w:szCs w:val="16"/>
          <w:color w:val="auto"/>
        </w:rPr>
        <w:t>Net cash provided by investing activities decreased by $20.1 million, from $1.4 million in the nine-month period ended September 30, 2019 to net cash used in investing activities of $18.7 million in the nine-month period ended September 30, 2020. The decrease of $20.1 million is attributable to an increase of net cash used in payments for vessels of $17.8 million (mainly related to dry-dockings and BWTS), a decrease of $1.3 million in financial income received and a decrease in net cash from short-term investments of $1.0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Cash used in Financing Activities:</w:t>
      </w:r>
    </w:p>
    <w:p>
      <w:pPr>
        <w:spacing w:after="0" w:line="239"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6"/>
          <w:szCs w:val="16"/>
          <w:color w:val="auto"/>
        </w:rPr>
        <w:t>Net cash used in financing activities decreased by $108.9 million, from $217.9 million in the nine-month period ended September 30, 2019 to $109.0 million in the nine-month period ended September 30, 2020. The decrease of $108.9 million is mainly attributable to a decrease of $93.7 million in cash remittance to GasLog in exchange for contribution of net assets, an increase of $45.0 million in bank loan drawdowns, a decrease of $42.5 million in distributions paid and a decrease of $19.0 million in cash used for repurchases of common units and net proceeds of $2.9 million from entering into or termination of interest rate swap agreements, partially offset by an increase in bank loan repayments of $91.8 million and a decrease in proceeds from equity raisings and issuance of general partner units of $2.0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Contracted Charter Revenue</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table summarizes GasLog Partners’ contracted charter revenues and vessel utilization after September 30, 2020:</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After</w:t>
            </w: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5"/>
        </w:trPr>
        <w:tc>
          <w:tcPr>
            <w:tcW w:w="456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Sep. 30,</w:t>
            </w:r>
          </w:p>
        </w:tc>
        <w:tc>
          <w:tcPr>
            <w:tcW w:w="10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1220" w:type="dxa"/>
            <w:vAlign w:val="bottom"/>
            <w:tcBorders>
              <w:bottom w:val="single" w:sz="8" w:color="auto"/>
            </w:tcBorders>
          </w:tcPr>
          <w:p>
            <w:pPr>
              <w:spacing w:after="0"/>
              <w:rPr>
                <w:sz w:val="18"/>
                <w:szCs w:val="18"/>
                <w:color w:val="auto"/>
              </w:rPr>
            </w:pPr>
          </w:p>
        </w:tc>
      </w:tr>
      <w:tr>
        <w:trPr>
          <w:trHeight w:val="211"/>
        </w:trPr>
        <w:tc>
          <w:tcPr>
            <w:tcW w:w="456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2024-2026</w:t>
            </w:r>
          </w:p>
        </w:tc>
        <w:tc>
          <w:tcPr>
            <w:tcW w:w="12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4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i w:val="1"/>
                <w:iCs w:val="1"/>
                <w:color w:val="auto"/>
              </w:rPr>
              <w:t>(in millions of U.S. dollars, except days and percentages)</w:t>
            </w:r>
          </w:p>
        </w:tc>
        <w:tc>
          <w:tcPr>
            <w:tcW w:w="1220" w:type="dxa"/>
            <w:vAlign w:val="bottom"/>
          </w:tcPr>
          <w:p>
            <w:pPr>
              <w:spacing w:after="0"/>
              <w:rPr>
                <w:sz w:val="18"/>
                <w:szCs w:val="18"/>
                <w:color w:val="auto"/>
              </w:rPr>
            </w:pPr>
          </w:p>
        </w:tc>
      </w:tr>
      <w:tr>
        <w:trPr>
          <w:trHeight w:val="245"/>
        </w:trPr>
        <w:tc>
          <w:tcPr>
            <w:tcW w:w="4560" w:type="dxa"/>
            <w:vAlign w:val="bottom"/>
            <w:shd w:val="clear" w:color="auto" w:fill="E5FFFF"/>
          </w:tcPr>
          <w:p>
            <w:pPr>
              <w:spacing w:after="0" w:line="245" w:lineRule="exact"/>
              <w:rPr>
                <w:sz w:val="20"/>
                <w:szCs w:val="20"/>
                <w:color w:val="auto"/>
              </w:rPr>
            </w:pPr>
            <w:r>
              <w:rPr>
                <w:rFonts w:ascii="Times New Roman" w:cs="Times New Roman" w:eastAsia="Times New Roman" w:hAnsi="Times New Roman"/>
                <w:sz w:val="16"/>
                <w:szCs w:val="16"/>
                <w:color w:val="auto"/>
              </w:rPr>
              <w:t>Contracted time charter revenues</w:t>
            </w:r>
            <w:r>
              <w:rPr>
                <w:rFonts w:ascii="Times New Roman" w:cs="Times New Roman" w:eastAsia="Times New Roman" w:hAnsi="Times New Roman"/>
                <w:sz w:val="26"/>
                <w:szCs w:val="26"/>
                <w:color w:val="auto"/>
                <w:vertAlign w:val="superscript"/>
              </w:rPr>
              <w:t>(1)(2)(3)(4)(5)</w:t>
            </w:r>
          </w:p>
        </w:tc>
        <w:tc>
          <w:tcPr>
            <w:tcW w:w="7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80" w:type="dxa"/>
            <w:vAlign w:val="bottom"/>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$217.6</w:t>
            </w:r>
          </w:p>
        </w:tc>
        <w:tc>
          <w:tcPr>
            <w:tcW w:w="1000" w:type="dxa"/>
            <w:vAlign w:val="bottom"/>
            <w:shd w:val="clear" w:color="auto" w:fill="E5FFFF"/>
          </w:tcPr>
          <w:p>
            <w:pPr>
              <w:jc w:val="right"/>
              <w:ind w:right="119"/>
              <w:spacing w:after="0"/>
              <w:rPr>
                <w:sz w:val="20"/>
                <w:szCs w:val="20"/>
                <w:color w:val="auto"/>
              </w:rPr>
            </w:pPr>
            <w:r>
              <w:rPr>
                <w:rFonts w:ascii="Times New Roman" w:cs="Times New Roman" w:eastAsia="Times New Roman" w:hAnsi="Times New Roman"/>
                <w:sz w:val="16"/>
                <w:szCs w:val="16"/>
                <w:color w:val="auto"/>
              </w:rPr>
              <w:t>$177.4</w:t>
            </w:r>
          </w:p>
        </w:tc>
        <w:tc>
          <w:tcPr>
            <w:tcW w:w="86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$147.9</w:t>
            </w:r>
          </w:p>
        </w:tc>
        <w:tc>
          <w:tcPr>
            <w:tcW w:w="1060" w:type="dxa"/>
            <w:vAlign w:val="bottom"/>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$151.2</w:t>
            </w:r>
          </w:p>
        </w:tc>
        <w:tc>
          <w:tcPr>
            <w:tcW w:w="1220" w:type="dxa"/>
            <w:vAlign w:val="bottom"/>
            <w:shd w:val="clear" w:color="auto" w:fill="E5FFFF"/>
          </w:tcPr>
          <w:p>
            <w:pPr>
              <w:jc w:val="right"/>
              <w:ind w:right="439"/>
              <w:spacing w:after="0"/>
              <w:rPr>
                <w:sz w:val="20"/>
                <w:szCs w:val="20"/>
                <w:color w:val="auto"/>
              </w:rPr>
            </w:pPr>
            <w:r>
              <w:rPr>
                <w:rFonts w:ascii="Times New Roman" w:cs="Times New Roman" w:eastAsia="Times New Roman" w:hAnsi="Times New Roman"/>
                <w:sz w:val="16"/>
                <w:szCs w:val="16"/>
                <w:color w:val="auto"/>
              </w:rPr>
              <w:t>$766.6</w:t>
            </w:r>
          </w:p>
        </w:tc>
      </w:tr>
      <w:tr>
        <w:trPr>
          <w:trHeight w:val="243"/>
        </w:trPr>
        <w:tc>
          <w:tcPr>
            <w:tcW w:w="45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Total contracted days</w:t>
            </w:r>
            <w:r>
              <w:rPr>
                <w:rFonts w:ascii="Times New Roman" w:cs="Times New Roman" w:eastAsia="Times New Roman" w:hAnsi="Times New Roman"/>
                <w:sz w:val="26"/>
                <w:szCs w:val="26"/>
                <w:color w:val="auto"/>
                <w:vertAlign w:val="superscript"/>
              </w:rPr>
              <w:t>(1)(2)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3,592</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2,746</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1,955</w:t>
            </w: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1,763</w:t>
            </w: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11,295</w:t>
            </w:r>
          </w:p>
        </w:tc>
      </w:tr>
      <w:tr>
        <w:trPr>
          <w:trHeight w:val="243"/>
        </w:trPr>
        <w:tc>
          <w:tcPr>
            <w:tcW w:w="45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16"/>
                <w:szCs w:val="16"/>
                <w:color w:val="auto"/>
              </w:rPr>
              <w:t>Total available days</w:t>
            </w:r>
            <w:r>
              <w:rPr>
                <w:rFonts w:ascii="Times New Roman" w:cs="Times New Roman" w:eastAsia="Times New Roman" w:hAnsi="Times New Roman"/>
                <w:sz w:val="26"/>
                <w:szCs w:val="26"/>
                <w:color w:val="auto"/>
                <w:vertAlign w:val="superscript"/>
              </w:rPr>
              <w:t>(6)</w:t>
            </w:r>
          </w:p>
        </w:tc>
        <w:tc>
          <w:tcPr>
            <w:tcW w:w="7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80" w:type="dxa"/>
            <w:vAlign w:val="bottom"/>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5,325</w:t>
            </w:r>
          </w:p>
        </w:tc>
        <w:tc>
          <w:tcPr>
            <w:tcW w:w="1000" w:type="dxa"/>
            <w:vAlign w:val="bottom"/>
            <w:shd w:val="clear" w:color="auto" w:fill="E5FFFF"/>
          </w:tcPr>
          <w:p>
            <w:pPr>
              <w:jc w:val="right"/>
              <w:ind w:right="119"/>
              <w:spacing w:after="0"/>
              <w:rPr>
                <w:sz w:val="20"/>
                <w:szCs w:val="20"/>
                <w:color w:val="auto"/>
              </w:rPr>
            </w:pPr>
            <w:r>
              <w:rPr>
                <w:rFonts w:ascii="Times New Roman" w:cs="Times New Roman" w:eastAsia="Times New Roman" w:hAnsi="Times New Roman"/>
                <w:sz w:val="16"/>
                <w:szCs w:val="16"/>
                <w:color w:val="auto"/>
              </w:rPr>
              <w:t>5,475</w:t>
            </w:r>
          </w:p>
        </w:tc>
        <w:tc>
          <w:tcPr>
            <w:tcW w:w="86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5,355</w:t>
            </w:r>
          </w:p>
        </w:tc>
        <w:tc>
          <w:tcPr>
            <w:tcW w:w="1060" w:type="dxa"/>
            <w:vAlign w:val="bottom"/>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16,110</w:t>
            </w:r>
          </w:p>
        </w:tc>
        <w:tc>
          <w:tcPr>
            <w:tcW w:w="1220" w:type="dxa"/>
            <w:vAlign w:val="bottom"/>
            <w:shd w:val="clear" w:color="auto" w:fill="E5FFFF"/>
          </w:tcPr>
          <w:p>
            <w:pPr>
              <w:jc w:val="right"/>
              <w:ind w:right="439"/>
              <w:spacing w:after="0"/>
              <w:rPr>
                <w:sz w:val="20"/>
                <w:szCs w:val="20"/>
                <w:color w:val="auto"/>
              </w:rPr>
            </w:pPr>
            <w:r>
              <w:rPr>
                <w:rFonts w:ascii="Times New Roman" w:cs="Times New Roman" w:eastAsia="Times New Roman" w:hAnsi="Times New Roman"/>
                <w:sz w:val="16"/>
                <w:szCs w:val="16"/>
                <w:color w:val="auto"/>
              </w:rPr>
              <w:t>33,624</w:t>
            </w:r>
          </w:p>
        </w:tc>
      </w:tr>
      <w:tr>
        <w:trPr>
          <w:trHeight w:val="243"/>
        </w:trPr>
        <w:tc>
          <w:tcPr>
            <w:tcW w:w="45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Total unfixed days</w:t>
            </w:r>
            <w:r>
              <w:rPr>
                <w:rFonts w:ascii="Times New Roman" w:cs="Times New Roman" w:eastAsia="Times New Roman" w:hAnsi="Times New Roman"/>
                <w:sz w:val="26"/>
                <w:szCs w:val="26"/>
                <w:color w:val="auto"/>
                <w:vertAlign w:val="superscript"/>
              </w:rPr>
              <w:t>(7)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1,733</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2,729</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3,400</w:t>
            </w: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14,347</w:t>
            </w: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22,329</w:t>
            </w:r>
          </w:p>
        </w:tc>
      </w:tr>
      <w:tr>
        <w:trPr>
          <w:trHeight w:val="216"/>
        </w:trPr>
        <w:tc>
          <w:tcPr>
            <w:tcW w:w="45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Percentage of total contracted days/total available days</w:t>
            </w:r>
          </w:p>
        </w:tc>
        <w:tc>
          <w:tcPr>
            <w:tcW w:w="7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80" w:type="dxa"/>
            <w:vAlign w:val="bottom"/>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67.5%</w:t>
            </w:r>
          </w:p>
        </w:tc>
        <w:tc>
          <w:tcPr>
            <w:tcW w:w="1000" w:type="dxa"/>
            <w:vAlign w:val="bottom"/>
            <w:shd w:val="clear" w:color="auto" w:fill="E5FFFF"/>
          </w:tcPr>
          <w:p>
            <w:pPr>
              <w:jc w:val="right"/>
              <w:ind w:right="119"/>
              <w:spacing w:after="0"/>
              <w:rPr>
                <w:sz w:val="20"/>
                <w:szCs w:val="20"/>
                <w:color w:val="auto"/>
              </w:rPr>
            </w:pPr>
            <w:r>
              <w:rPr>
                <w:rFonts w:ascii="Times New Roman" w:cs="Times New Roman" w:eastAsia="Times New Roman" w:hAnsi="Times New Roman"/>
                <w:sz w:val="16"/>
                <w:szCs w:val="16"/>
                <w:color w:val="auto"/>
              </w:rPr>
              <w:t>50.2%</w:t>
            </w:r>
          </w:p>
        </w:tc>
        <w:tc>
          <w:tcPr>
            <w:tcW w:w="86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36.5%</w:t>
            </w:r>
          </w:p>
        </w:tc>
        <w:tc>
          <w:tcPr>
            <w:tcW w:w="1060" w:type="dxa"/>
            <w:vAlign w:val="bottom"/>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10.9%</w:t>
            </w:r>
          </w:p>
        </w:tc>
        <w:tc>
          <w:tcPr>
            <w:tcW w:w="1220" w:type="dxa"/>
            <w:vAlign w:val="bottom"/>
            <w:shd w:val="clear" w:color="auto" w:fill="E5FFFF"/>
          </w:tcPr>
          <w:p>
            <w:pPr>
              <w:jc w:val="right"/>
              <w:ind w:right="439"/>
              <w:spacing w:after="0"/>
              <w:rPr>
                <w:sz w:val="20"/>
                <w:szCs w:val="20"/>
                <w:color w:val="auto"/>
              </w:rPr>
            </w:pPr>
            <w:r>
              <w:rPr>
                <w:rFonts w:ascii="Times New Roman" w:cs="Times New Roman" w:eastAsia="Times New Roman" w:hAnsi="Times New Roman"/>
                <w:sz w:val="16"/>
                <w:szCs w:val="16"/>
                <w:color w:val="auto"/>
              </w:rPr>
              <w:t>33.6%</w:t>
            </w:r>
          </w:p>
        </w:tc>
      </w:tr>
    </w:tbl>
    <w:p>
      <w:pPr>
        <w:spacing w:after="0" w:line="202"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After giving effect to the charter parties signed from September 30, 2020 until November 10, 2020, the percentage of total contracted days to total available days for the fourth quarter of 2020 and the year 2021 increased to 98.9% and 71.2%, respectively.</w:t>
      </w:r>
    </w:p>
    <w:p>
      <w:pPr>
        <w:spacing w:after="0" w:line="169"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Reflects time charter revenues and contracted days for the 15 LNG carriers in our fleet as of September 30, 2020.</w:t>
      </w:r>
    </w:p>
    <w:p>
      <w:pPr>
        <w:spacing w:after="0" w:line="17" w:lineRule="exact"/>
        <w:rPr>
          <w:rFonts w:ascii="Times New Roman" w:cs="Times New Roman" w:eastAsia="Times New Roman" w:hAnsi="Times New Roman"/>
          <w:sz w:val="12"/>
          <w:szCs w:val="12"/>
          <w:color w:val="auto"/>
        </w:rPr>
      </w:pPr>
    </w:p>
    <w:p>
      <w:pPr>
        <w:ind w:left="340" w:right="100" w:hanging="332"/>
        <w:spacing w:after="0" w:line="221" w:lineRule="auto"/>
        <w:tabs>
          <w:tab w:leader="none" w:pos="3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Our ships are scheduled to undergo dry-docking once every five years. Revenue calculations assume 365 revenue days per ship per annum, with 30 off-hire days when each ship undergoes scheduled dry-docking.</w:t>
      </w:r>
    </w:p>
    <w:p>
      <w:pPr>
        <w:ind w:left="340" w:right="480" w:hanging="332"/>
        <w:spacing w:after="0" w:line="221" w:lineRule="auto"/>
        <w:tabs>
          <w:tab w:leader="none" w:pos="3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For time charters that include a fixed operating cost component, subject to annual escalation, revenue calculations include that fixed annual escalation. Revenue calculations for such charters include an estimate of the amount of the operating cost component and the management fee component.</w:t>
      </w:r>
    </w:p>
    <w:p>
      <w:pPr>
        <w:ind w:left="340" w:right="200" w:hanging="332"/>
        <w:spacing w:after="0" w:line="239" w:lineRule="auto"/>
        <w:tabs>
          <w:tab w:leader="none" w:pos="3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For time charters that include a variable rate of hire within an agreed range during the charter period, revenue calculations are based on the agreed minimum rate of hire for the respective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-687070</wp:posOffset>
            </wp:positionV>
            <wp:extent cx="7112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ind w:left="340" w:hanging="332"/>
        <w:spacing w:after="0"/>
        <w:tabs>
          <w:tab w:leader="none" w:pos="3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Revenue calculations assume no exercise of any option to extend the terms of the charters.</w:t>
      </w:r>
    </w:p>
    <w:p>
      <w:pPr>
        <w:spacing w:after="0" w:line="17"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Available days represent total calendar days after deducting 30 off-hire days when the ship undergoes scheduled dry-docking.</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Represents available days for the ships after the expiration of the existing charters (assuming charterers do not exercise any option to extend the terms of the charters).</w:t>
      </w:r>
    </w:p>
    <w:p>
      <w:pPr>
        <w:spacing w:after="0" w:line="21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6"/>
          <w:szCs w:val="16"/>
          <w:color w:val="auto"/>
        </w:rPr>
        <w:t>The table above provides information about our contracted charter revenues and ship utilization based on contracts in effect for the 15 LNG carriers in our fleet as of September 30, 2020. The table reflects only our contracted charter revenues for the ships in our owned fleet for which we have secured time charters, and it does not reflect the costs or expenses we will incur in fulfilling our obligations under the charters. In particular, the table does not reflect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non-performance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3, 2020.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GASLOG PARTNERS LP</w:t>
      </w: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INDEX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4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08"/>
        </w:trPr>
        <w:tc>
          <w:tcPr>
            <w:tcW w:w="10460" w:type="dxa"/>
            <w:vAlign w:val="bottom"/>
          </w:tcPr>
          <w:p>
            <w:pPr>
              <w:spacing w:after="0"/>
              <w:rPr>
                <w:sz w:val="20"/>
                <w:szCs w:val="20"/>
                <w:color w:val="auto"/>
              </w:rPr>
            </w:pPr>
            <w:r>
              <w:rPr>
                <w:rFonts w:ascii="Times New Roman" w:cs="Times New Roman" w:eastAsia="Times New Roman" w:hAnsi="Times New Roman"/>
                <w:sz w:val="16"/>
                <w:szCs w:val="16"/>
                <w:color w:val="auto"/>
              </w:rPr>
              <w:t>Unaudited condensed consolidated statements of financial position as of December 31, 2019 and September 30, 2020</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8"/>
              </w:rPr>
              <w:t>F-2</w:t>
            </w:r>
          </w:p>
        </w:tc>
      </w:tr>
      <w:tr>
        <w:trPr>
          <w:trHeight w:val="203"/>
        </w:trPr>
        <w:tc>
          <w:tcPr>
            <w:tcW w:w="10460" w:type="dxa"/>
            <w:vAlign w:val="bottom"/>
          </w:tcPr>
          <w:p>
            <w:pPr>
              <w:spacing w:after="0"/>
              <w:rPr>
                <w:sz w:val="20"/>
                <w:szCs w:val="20"/>
                <w:color w:val="auto"/>
              </w:rPr>
            </w:pPr>
            <w:r>
              <w:rPr>
                <w:rFonts w:ascii="Times New Roman" w:cs="Times New Roman" w:eastAsia="Times New Roman" w:hAnsi="Times New Roman"/>
                <w:sz w:val="16"/>
                <w:szCs w:val="16"/>
                <w:color w:val="auto"/>
              </w:rPr>
              <w:t>Unaudited condensed consolidated statements of profit or loss and total comprehensive income for the three and nine months ended September 30, 2019 and</w:t>
            </w:r>
          </w:p>
        </w:tc>
        <w:tc>
          <w:tcPr>
            <w:tcW w:w="680" w:type="dxa"/>
            <w:vAlign w:val="bottom"/>
          </w:tcPr>
          <w:p>
            <w:pPr>
              <w:spacing w:after="0"/>
              <w:rPr>
                <w:sz w:val="17"/>
                <w:szCs w:val="17"/>
                <w:color w:val="auto"/>
              </w:rPr>
            </w:pPr>
          </w:p>
        </w:tc>
      </w:tr>
      <w:tr>
        <w:trPr>
          <w:trHeight w:val="210"/>
        </w:trPr>
        <w:tc>
          <w:tcPr>
            <w:tcW w:w="10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2020</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8"/>
              </w:rPr>
              <w:t>F-3</w:t>
            </w: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6"/>
                <w:szCs w:val="16"/>
                <w:color w:val="auto"/>
              </w:rPr>
              <w:t>Unaudited condensed consolidated statements of changes in owners’/partners’ equity for the nine months ended September 30, 2019 and 2020</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8"/>
              </w:rPr>
              <w:t>F-4</w:t>
            </w: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6"/>
                <w:szCs w:val="16"/>
                <w:color w:val="auto"/>
              </w:rPr>
              <w:t>Unaudited condensed consolidated statements of cash flows for the nine months ended September 30, 2019 and 2020</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8"/>
              </w:rPr>
              <w:t>F-5</w:t>
            </w:r>
          </w:p>
        </w:tc>
      </w:tr>
      <w:tr>
        <w:trPr>
          <w:trHeight w:val="216"/>
        </w:trPr>
        <w:tc>
          <w:tcPr>
            <w:tcW w:w="10460" w:type="dxa"/>
            <w:vAlign w:val="bottom"/>
          </w:tcPr>
          <w:p>
            <w:pPr>
              <w:spacing w:after="0"/>
              <w:rPr>
                <w:sz w:val="20"/>
                <w:szCs w:val="20"/>
                <w:color w:val="auto"/>
              </w:rPr>
            </w:pPr>
            <w:r>
              <w:rPr>
                <w:rFonts w:ascii="Times New Roman" w:cs="Times New Roman" w:eastAsia="Times New Roman" w:hAnsi="Times New Roman"/>
                <w:sz w:val="16"/>
                <w:szCs w:val="16"/>
                <w:color w:val="auto"/>
              </w:rPr>
              <w:t>Notes to the unaudited condensed consolidated financial statements</w:t>
            </w: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w w:val="98"/>
              </w:rPr>
              <w:t>F-6</w:t>
            </w:r>
          </w:p>
        </w:tc>
      </w:tr>
    </w:tbl>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123" w:right="4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2019 and September 30, 2020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w:t>
            </w:r>
          </w:p>
        </w:tc>
        <w:tc>
          <w:tcPr>
            <w:tcW w:w="132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3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3"/>
        </w:trPr>
        <w:tc>
          <w:tcPr>
            <w:tcW w:w="7780" w:type="dxa"/>
            <w:vAlign w:val="bottom"/>
            <w:tcBorders>
              <w:top w:val="single" w:sz="8" w:color="E9FFFF"/>
            </w:tcBorders>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spacing w:after="0"/>
              <w:rPr>
                <w:sz w:val="18"/>
                <w:szCs w:val="18"/>
                <w:color w:val="auto"/>
              </w:rPr>
            </w:pPr>
          </w:p>
        </w:tc>
        <w:tc>
          <w:tcPr>
            <w:tcW w:w="14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4</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2,286,430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2,225,665</w:t>
            </w:r>
          </w:p>
        </w:tc>
        <w:tc>
          <w:tcPr>
            <w:tcW w:w="0" w:type="dxa"/>
            <w:vAlign w:val="bottom"/>
          </w:tcPr>
          <w:p>
            <w:pPr>
              <w:spacing w:after="0"/>
              <w:rPr>
                <w:sz w:val="1"/>
                <w:szCs w:val="1"/>
                <w:color w:val="auto"/>
              </w:rPr>
            </w:pP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2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shd w:val="clear" w:color="auto" w:fill="E5FFFF"/>
          </w:tcPr>
          <w:p>
            <w:pPr>
              <w:spacing w:after="0"/>
              <w:rPr>
                <w:sz w:val="19"/>
                <w:szCs w:val="19"/>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20" w:type="dxa"/>
            <w:vAlign w:val="bottom"/>
            <w:tcBorders>
              <w:bottom w:val="single" w:sz="8" w:color="E5FFFF"/>
            </w:tcBorders>
          </w:tcPr>
          <w:p>
            <w:pPr>
              <w:spacing w:after="0"/>
              <w:rPr>
                <w:sz w:val="17"/>
                <w:szCs w:val="17"/>
                <w:color w:val="auto"/>
              </w:rPr>
            </w:pPr>
          </w:p>
        </w:tc>
        <w:tc>
          <w:tcPr>
            <w:tcW w:w="320" w:type="dxa"/>
            <w:vAlign w:val="bottom"/>
            <w:tcBorders>
              <w:bottom w:val="single" w:sz="8" w:color="E5FFFF"/>
            </w:tcBorders>
          </w:tcPr>
          <w:p>
            <w:pPr>
              <w:spacing w:after="0"/>
              <w:rPr>
                <w:sz w:val="17"/>
                <w:szCs w:val="17"/>
                <w:color w:val="auto"/>
              </w:rPr>
            </w:pPr>
          </w:p>
        </w:tc>
        <w:tc>
          <w:tcPr>
            <w:tcW w:w="140" w:type="dxa"/>
            <w:vAlign w:val="bottom"/>
            <w:tcBorders>
              <w:bottom w:val="single" w:sz="8" w:color="E5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2,287,591</w:t>
            </w:r>
          </w:p>
        </w:tc>
        <w:tc>
          <w:tcPr>
            <w:tcW w:w="12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2,226,439</w:t>
            </w:r>
          </w:p>
        </w:tc>
        <w:tc>
          <w:tcPr>
            <w:tcW w:w="0" w:type="dxa"/>
            <w:vAlign w:val="bottom"/>
          </w:tcPr>
          <w:p>
            <w:pPr>
              <w:spacing w:after="0"/>
              <w:rPr>
                <w:sz w:val="1"/>
                <w:szCs w:val="1"/>
                <w:color w:val="auto"/>
              </w:rPr>
            </w:pPr>
          </w:p>
        </w:tc>
      </w:tr>
      <w:tr>
        <w:trPr>
          <w:trHeight w:val="209"/>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11,999</w:t>
            </w:r>
          </w:p>
        </w:tc>
        <w:tc>
          <w:tcPr>
            <w:tcW w:w="0" w:type="dxa"/>
            <w:vAlign w:val="bottom"/>
          </w:tcPr>
          <w:p>
            <w:pPr>
              <w:spacing w:after="0"/>
              <w:rPr>
                <w:sz w:val="1"/>
                <w:szCs w:val="1"/>
                <w:color w:val="auto"/>
              </w:rPr>
            </w:pPr>
          </w:p>
        </w:tc>
      </w:tr>
      <w:tr>
        <w:trPr>
          <w:trHeight w:val="222"/>
        </w:trPr>
        <w:tc>
          <w:tcPr>
            <w:tcW w:w="77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E5FFFF"/>
          </w:tcPr>
          <w:p>
            <w:pPr>
              <w:spacing w:after="0"/>
              <w:rPr>
                <w:sz w:val="19"/>
                <w:szCs w:val="19"/>
                <w:color w:val="auto"/>
              </w:rPr>
            </w:pPr>
          </w:p>
        </w:tc>
        <w:tc>
          <w:tcPr>
            <w:tcW w:w="3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Due from related parties</w:t>
            </w:r>
          </w:p>
        </w:tc>
        <w:tc>
          <w:tcPr>
            <w:tcW w:w="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0" w:type="dxa"/>
            <w:vAlign w:val="bottom"/>
          </w:tcPr>
          <w:p>
            <w:pPr>
              <w:spacing w:after="0"/>
              <w:rPr>
                <w:sz w:val="1"/>
                <w:szCs w:val="1"/>
                <w:color w:val="auto"/>
              </w:rPr>
            </w:pPr>
          </w:p>
        </w:tc>
      </w:tr>
      <w:tr>
        <w:trPr>
          <w:trHeight w:val="216"/>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440" w:type="dxa"/>
            <w:vAlign w:val="bottom"/>
            <w:gridSpan w:val="2"/>
            <w:shd w:val="clear" w:color="auto" w:fill="E9FFFF"/>
          </w:tcPr>
          <w:p>
            <w:pPr>
              <w:jc w:val="center"/>
              <w:ind w:left="39"/>
              <w:spacing w:after="0"/>
              <w:rPr>
                <w:sz w:val="20"/>
                <w:szCs w:val="20"/>
                <w:color w:val="auto"/>
              </w:rPr>
            </w:pPr>
            <w:r>
              <w:rPr>
                <w:rFonts w:ascii="Times New Roman" w:cs="Times New Roman" w:eastAsia="Times New Roman" w:hAnsi="Times New Roman"/>
                <w:sz w:val="16"/>
                <w:szCs w:val="16"/>
                <w:color w:val="auto"/>
                <w:w w:val="99"/>
              </w:rPr>
              <w:t>5</w:t>
            </w:r>
          </w:p>
        </w:tc>
        <w:tc>
          <w:tcPr>
            <w:tcW w:w="140" w:type="dxa"/>
            <w:vAlign w:val="bottom"/>
            <w:shd w:val="clear" w:color="auto" w:fill="E9FFFF"/>
          </w:tcPr>
          <w:p>
            <w:pPr>
              <w:spacing w:after="0"/>
              <w:rPr>
                <w:sz w:val="18"/>
                <w:szCs w:val="18"/>
                <w:color w:val="auto"/>
              </w:rPr>
            </w:pPr>
          </w:p>
        </w:tc>
        <w:tc>
          <w:tcPr>
            <w:tcW w:w="132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20" w:type="dxa"/>
            <w:vAlign w:val="bottom"/>
            <w:shd w:val="clear" w:color="auto" w:fill="E9FFFF"/>
          </w:tcPr>
          <w:p>
            <w:pPr>
              <w:spacing w:after="0"/>
              <w:rPr>
                <w:sz w:val="18"/>
                <w:szCs w:val="18"/>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9,551</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12</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2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E9FFFF"/>
          </w:tcPr>
          <w:p>
            <w:pPr>
              <w:spacing w:after="0"/>
              <w:rPr>
                <w:sz w:val="19"/>
                <w:szCs w:val="19"/>
                <w:color w:val="auto"/>
              </w:rPr>
            </w:pPr>
          </w:p>
        </w:tc>
        <w:tc>
          <w:tcPr>
            <w:tcW w:w="320" w:type="dxa"/>
            <w:vAlign w:val="bottom"/>
            <w:shd w:val="clear" w:color="auto" w:fill="E9FFFF"/>
          </w:tcPr>
          <w:p>
            <w:pPr>
              <w:spacing w:after="0"/>
              <w:rPr>
                <w:sz w:val="19"/>
                <w:szCs w:val="19"/>
                <w:color w:val="auto"/>
              </w:rPr>
            </w:pPr>
          </w:p>
        </w:tc>
        <w:tc>
          <w:tcPr>
            <w:tcW w:w="140" w:type="dxa"/>
            <w:vAlign w:val="bottom"/>
            <w:shd w:val="clear" w:color="auto" w:fill="E9FFFF"/>
          </w:tcPr>
          <w:p>
            <w:pPr>
              <w:spacing w:after="0"/>
              <w:rPr>
                <w:sz w:val="19"/>
                <w:szCs w:val="19"/>
                <w:color w:val="auto"/>
              </w:rPr>
            </w:pPr>
          </w:p>
        </w:tc>
        <w:tc>
          <w:tcPr>
            <w:tcW w:w="132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96,884</w:t>
            </w:r>
          </w:p>
        </w:tc>
        <w:tc>
          <w:tcPr>
            <w:tcW w:w="120" w:type="dxa"/>
            <w:vAlign w:val="bottom"/>
            <w:shd w:val="clear" w:color="auto" w:fill="E9FFFF"/>
          </w:tcPr>
          <w:p>
            <w:pPr>
              <w:spacing w:after="0"/>
              <w:rPr>
                <w:sz w:val="19"/>
                <w:szCs w:val="19"/>
                <w:color w:val="auto"/>
              </w:rPr>
            </w:pPr>
          </w:p>
        </w:tc>
        <w:tc>
          <w:tcPr>
            <w:tcW w:w="134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78,961</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E9FF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20" w:type="dxa"/>
            <w:vAlign w:val="bottom"/>
            <w:tcBorders>
              <w:bottom w:val="single" w:sz="8" w:color="E9FFFF"/>
            </w:tcBorders>
          </w:tcPr>
          <w:p>
            <w:pPr>
              <w:spacing w:after="0"/>
              <w:rPr>
                <w:sz w:val="17"/>
                <w:szCs w:val="17"/>
                <w:color w:val="auto"/>
              </w:rPr>
            </w:pPr>
          </w:p>
        </w:tc>
        <w:tc>
          <w:tcPr>
            <w:tcW w:w="320" w:type="dxa"/>
            <w:vAlign w:val="bottom"/>
            <w:tcBorders>
              <w:bottom w:val="single" w:sz="8" w:color="E9FFFF"/>
            </w:tcBorders>
          </w:tcPr>
          <w:p>
            <w:pPr>
              <w:spacing w:after="0"/>
              <w:rPr>
                <w:sz w:val="17"/>
                <w:szCs w:val="17"/>
                <w:color w:val="auto"/>
              </w:rPr>
            </w:pPr>
          </w:p>
        </w:tc>
        <w:tc>
          <w:tcPr>
            <w:tcW w:w="140" w:type="dxa"/>
            <w:vAlign w:val="bottom"/>
            <w:tcBorders>
              <w:bottom w:val="single" w:sz="8" w:color="E9FF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109,353</w:t>
            </w:r>
          </w:p>
        </w:tc>
        <w:tc>
          <w:tcPr>
            <w:tcW w:w="120" w:type="dxa"/>
            <w:vAlign w:val="bottom"/>
            <w:tcBorders>
              <w:bottom w:val="single" w:sz="8" w:color="E9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106,747</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E9FFFF"/>
            </w:tcBorders>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0" w:type="dxa"/>
            <w:vAlign w:val="bottom"/>
            <w:tcBorders>
              <w:bottom w:val="single" w:sz="8" w:color="E9FFFF"/>
            </w:tcBorders>
            <w:shd w:val="clear" w:color="auto" w:fill="E9FFFF"/>
          </w:tcPr>
          <w:p>
            <w:pPr>
              <w:spacing w:after="0"/>
              <w:rPr>
                <w:sz w:val="17"/>
                <w:szCs w:val="17"/>
                <w:color w:val="auto"/>
              </w:rPr>
            </w:pPr>
          </w:p>
        </w:tc>
        <w:tc>
          <w:tcPr>
            <w:tcW w:w="320" w:type="dxa"/>
            <w:vAlign w:val="bottom"/>
            <w:tcBorders>
              <w:bottom w:val="single" w:sz="8" w:color="E9FFFF"/>
            </w:tcBorders>
            <w:shd w:val="clear" w:color="auto" w:fill="E9FFFF"/>
          </w:tcPr>
          <w:p>
            <w:pPr>
              <w:spacing w:after="0"/>
              <w:rPr>
                <w:sz w:val="17"/>
                <w:szCs w:val="17"/>
                <w:color w:val="auto"/>
              </w:rPr>
            </w:pPr>
          </w:p>
        </w:tc>
        <w:tc>
          <w:tcPr>
            <w:tcW w:w="140" w:type="dxa"/>
            <w:vAlign w:val="bottom"/>
            <w:tcBorders>
              <w:bottom w:val="single" w:sz="8" w:color="E9FFFF"/>
            </w:tcBorders>
            <w:shd w:val="clear" w:color="auto" w:fill="E9FFFF"/>
          </w:tcPr>
          <w:p>
            <w:pPr>
              <w:spacing w:after="0"/>
              <w:rPr>
                <w:sz w:val="17"/>
                <w:szCs w:val="17"/>
                <w:color w:val="auto"/>
              </w:rPr>
            </w:pPr>
          </w:p>
        </w:tc>
        <w:tc>
          <w:tcPr>
            <w:tcW w:w="132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2,396,944</w:t>
            </w:r>
          </w:p>
        </w:tc>
        <w:tc>
          <w:tcPr>
            <w:tcW w:w="120" w:type="dxa"/>
            <w:vAlign w:val="bottom"/>
            <w:tcBorders>
              <w:bottom w:val="single" w:sz="8" w:color="E9FFFF"/>
            </w:tcBorders>
            <w:shd w:val="clear" w:color="auto" w:fill="E9FFFF"/>
          </w:tcPr>
          <w:p>
            <w:pPr>
              <w:spacing w:after="0"/>
              <w:rPr>
                <w:sz w:val="17"/>
                <w:szCs w:val="17"/>
                <w:color w:val="auto"/>
              </w:rPr>
            </w:pPr>
          </w:p>
        </w:tc>
        <w:tc>
          <w:tcPr>
            <w:tcW w:w="134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2,333,186</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Partners’ equity and liabilities</w:t>
            </w: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Partners’ equity</w:t>
            </w:r>
          </w:p>
        </w:tc>
        <w:tc>
          <w:tcPr>
            <w:tcW w:w="120" w:type="dxa"/>
            <w:vAlign w:val="bottom"/>
            <w:shd w:val="clear" w:color="auto" w:fill="E9FFFF"/>
          </w:tcPr>
          <w:p>
            <w:pPr>
              <w:spacing w:after="0"/>
              <w:rPr>
                <w:sz w:val="19"/>
                <w:szCs w:val="19"/>
                <w:color w:val="auto"/>
              </w:rPr>
            </w:pPr>
          </w:p>
        </w:tc>
        <w:tc>
          <w:tcPr>
            <w:tcW w:w="320" w:type="dxa"/>
            <w:vAlign w:val="bottom"/>
            <w:shd w:val="clear" w:color="auto" w:fill="E9FFFF"/>
          </w:tcPr>
          <w:p>
            <w:pPr>
              <w:spacing w:after="0"/>
              <w:rPr>
                <w:sz w:val="19"/>
                <w:szCs w:val="19"/>
                <w:color w:val="auto"/>
              </w:rPr>
            </w:pPr>
          </w:p>
        </w:tc>
        <w:tc>
          <w:tcPr>
            <w:tcW w:w="140" w:type="dxa"/>
            <w:vAlign w:val="bottom"/>
            <w:shd w:val="clear" w:color="auto" w:fill="E9FFFF"/>
          </w:tcPr>
          <w:p>
            <w:pPr>
              <w:spacing w:after="0"/>
              <w:rPr>
                <w:sz w:val="19"/>
                <w:szCs w:val="19"/>
                <w:color w:val="auto"/>
              </w:rPr>
            </w:pPr>
          </w:p>
        </w:tc>
        <w:tc>
          <w:tcPr>
            <w:tcW w:w="1320" w:type="dxa"/>
            <w:vAlign w:val="bottom"/>
            <w:shd w:val="clear" w:color="auto" w:fill="E9FFFF"/>
          </w:tcPr>
          <w:p>
            <w:pPr>
              <w:spacing w:after="0"/>
              <w:rPr>
                <w:sz w:val="19"/>
                <w:szCs w:val="19"/>
                <w:color w:val="auto"/>
              </w:rPr>
            </w:pPr>
          </w:p>
        </w:tc>
        <w:tc>
          <w:tcPr>
            <w:tcW w:w="120" w:type="dxa"/>
            <w:vAlign w:val="bottom"/>
            <w:shd w:val="clear" w:color="auto" w:fill="E9FFFF"/>
          </w:tcPr>
          <w:p>
            <w:pPr>
              <w:spacing w:after="0"/>
              <w:rPr>
                <w:sz w:val="19"/>
                <w:szCs w:val="19"/>
                <w:color w:val="auto"/>
              </w:rPr>
            </w:pPr>
          </w:p>
        </w:tc>
        <w:tc>
          <w:tcPr>
            <w:tcW w:w="1340" w:type="dxa"/>
            <w:vAlign w:val="bottom"/>
            <w:shd w:val="clear" w:color="auto" w:fill="E9FF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Common unitholders (46,860,182 units issued and outstanding as of December 31, 2019 and 47,517,824 units issued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outstanding as of September 30, 2020)</w:t>
            </w:r>
          </w:p>
        </w:tc>
        <w:tc>
          <w:tcPr>
            <w:tcW w:w="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6</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606,811</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580,580</w:t>
            </w:r>
          </w:p>
        </w:tc>
        <w:tc>
          <w:tcPr>
            <w:tcW w:w="0" w:type="dxa"/>
            <w:vAlign w:val="bottom"/>
          </w:tcPr>
          <w:p>
            <w:pPr>
              <w:spacing w:after="0"/>
              <w:rPr>
                <w:sz w:val="1"/>
                <w:szCs w:val="1"/>
                <w:color w:val="auto"/>
              </w:rPr>
            </w:pPr>
          </w:p>
        </w:tc>
      </w:tr>
      <w:tr>
        <w:trPr>
          <w:trHeight w:val="22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General partner (1,021,336 units issued and outstanding as of December 31, 2019 and September 30, 2020)</w:t>
            </w:r>
          </w:p>
        </w:tc>
        <w:tc>
          <w:tcPr>
            <w:tcW w:w="440" w:type="dxa"/>
            <w:vAlign w:val="bottom"/>
            <w:gridSpan w:val="2"/>
            <w:shd w:val="clear" w:color="auto" w:fill="E9FFFF"/>
          </w:tcPr>
          <w:p>
            <w:pPr>
              <w:jc w:val="center"/>
              <w:ind w:left="39"/>
              <w:spacing w:after="0"/>
              <w:rPr>
                <w:sz w:val="20"/>
                <w:szCs w:val="20"/>
                <w:color w:val="auto"/>
              </w:rPr>
            </w:pPr>
            <w:r>
              <w:rPr>
                <w:rFonts w:ascii="Times New Roman" w:cs="Times New Roman" w:eastAsia="Times New Roman" w:hAnsi="Times New Roman"/>
                <w:sz w:val="16"/>
                <w:szCs w:val="16"/>
                <w:color w:val="auto"/>
                <w:w w:val="99"/>
              </w:rPr>
              <w:t>6</w:t>
            </w:r>
          </w:p>
        </w:tc>
        <w:tc>
          <w:tcPr>
            <w:tcW w:w="140" w:type="dxa"/>
            <w:vAlign w:val="bottom"/>
            <w:shd w:val="clear" w:color="auto" w:fill="E9FFFF"/>
          </w:tcPr>
          <w:p>
            <w:pPr>
              <w:spacing w:after="0"/>
              <w:rPr>
                <w:sz w:val="19"/>
                <w:szCs w:val="19"/>
                <w:color w:val="auto"/>
              </w:rPr>
            </w:pPr>
          </w:p>
        </w:tc>
        <w:tc>
          <w:tcPr>
            <w:tcW w:w="1440" w:type="dxa"/>
            <w:vAlign w:val="bottom"/>
            <w:gridSpan w:val="2"/>
            <w:shd w:val="clear" w:color="auto" w:fill="E9FFFF"/>
          </w:tcPr>
          <w:p>
            <w:pPr>
              <w:jc w:val="right"/>
              <w:ind w:right="120"/>
              <w:spacing w:after="0"/>
              <w:rPr>
                <w:sz w:val="20"/>
                <w:szCs w:val="20"/>
                <w:color w:val="auto"/>
              </w:rPr>
            </w:pPr>
            <w:r>
              <w:rPr>
                <w:rFonts w:ascii="Times New Roman" w:cs="Times New Roman" w:eastAsia="Times New Roman" w:hAnsi="Times New Roman"/>
                <w:sz w:val="16"/>
                <w:szCs w:val="16"/>
                <w:color w:val="auto"/>
              </w:rPr>
              <w:t>11,271</w:t>
            </w: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10,722</w:t>
            </w:r>
          </w:p>
        </w:tc>
        <w:tc>
          <w:tcPr>
            <w:tcW w:w="0" w:type="dxa"/>
            <w:vAlign w:val="bottom"/>
          </w:tcPr>
          <w:p>
            <w:pPr>
              <w:spacing w:after="0"/>
              <w:rPr>
                <w:sz w:val="1"/>
                <w:szCs w:val="1"/>
                <w:color w:val="auto"/>
              </w:rPr>
            </w:pPr>
          </w:p>
        </w:tc>
      </w:tr>
      <w:tr>
        <w:trPr>
          <w:trHeight w:val="189"/>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Preference unitholders (5,750,000 Series A Preference Units, 4,600,000 Series B Preference Units and 4,000,000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E9FFFF"/>
            </w:tcBorders>
          </w:tcPr>
          <w:p>
            <w:pPr>
              <w:ind w:left="160"/>
              <w:spacing w:after="0"/>
              <w:rPr>
                <w:sz w:val="20"/>
                <w:szCs w:val="20"/>
                <w:color w:val="auto"/>
              </w:rPr>
            </w:pPr>
            <w:r>
              <w:rPr>
                <w:rFonts w:ascii="Times New Roman" w:cs="Times New Roman" w:eastAsia="Times New Roman" w:hAnsi="Times New Roman"/>
                <w:sz w:val="16"/>
                <w:szCs w:val="16"/>
                <w:color w:val="auto"/>
              </w:rPr>
              <w:t>Series C Preference Units issued and outstanding as of December 31, 2019 and September 30, 2020)</w:t>
            </w:r>
          </w:p>
        </w:tc>
        <w:tc>
          <w:tcPr>
            <w:tcW w:w="440" w:type="dxa"/>
            <w:vAlign w:val="bottom"/>
            <w:tcBorders>
              <w:bottom w:val="single" w:sz="8" w:color="E9FF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6</w:t>
            </w:r>
          </w:p>
        </w:tc>
        <w:tc>
          <w:tcPr>
            <w:tcW w:w="140" w:type="dxa"/>
            <w:vAlign w:val="bottom"/>
            <w:tcBorders>
              <w:bottom w:val="single" w:sz="8" w:color="E9FF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347,889</w:t>
            </w:r>
          </w:p>
        </w:tc>
        <w:tc>
          <w:tcPr>
            <w:tcW w:w="120" w:type="dxa"/>
            <w:vAlign w:val="bottom"/>
            <w:tcBorders>
              <w:bottom w:val="single" w:sz="8" w:color="E9FF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347,889</w:t>
            </w:r>
          </w:p>
        </w:tc>
        <w:tc>
          <w:tcPr>
            <w:tcW w:w="0" w:type="dxa"/>
            <w:vAlign w:val="bottom"/>
          </w:tcPr>
          <w:p>
            <w:pPr>
              <w:spacing w:after="0"/>
              <w:rPr>
                <w:sz w:val="1"/>
                <w:szCs w:val="1"/>
                <w:color w:val="auto"/>
              </w:rPr>
            </w:pPr>
          </w:p>
        </w:tc>
      </w:tr>
      <w:tr>
        <w:trPr>
          <w:trHeight w:val="20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Total partners’ equity</w:t>
            </w:r>
          </w:p>
        </w:tc>
        <w:tc>
          <w:tcPr>
            <w:tcW w:w="120" w:type="dxa"/>
            <w:vAlign w:val="bottom"/>
            <w:shd w:val="clear" w:color="auto" w:fill="E9FFFF"/>
          </w:tcPr>
          <w:p>
            <w:pPr>
              <w:spacing w:after="0"/>
              <w:rPr>
                <w:sz w:val="17"/>
                <w:szCs w:val="17"/>
                <w:color w:val="auto"/>
              </w:rPr>
            </w:pPr>
          </w:p>
        </w:tc>
        <w:tc>
          <w:tcPr>
            <w:tcW w:w="320" w:type="dxa"/>
            <w:vAlign w:val="bottom"/>
            <w:shd w:val="clear" w:color="auto" w:fill="E9FFFF"/>
          </w:tcPr>
          <w:p>
            <w:pPr>
              <w:spacing w:after="0"/>
              <w:rPr>
                <w:sz w:val="17"/>
                <w:szCs w:val="17"/>
                <w:color w:val="auto"/>
              </w:rPr>
            </w:pPr>
          </w:p>
        </w:tc>
        <w:tc>
          <w:tcPr>
            <w:tcW w:w="140" w:type="dxa"/>
            <w:vAlign w:val="bottom"/>
            <w:shd w:val="clear" w:color="auto" w:fill="E9FFFF"/>
          </w:tcPr>
          <w:p>
            <w:pPr>
              <w:spacing w:after="0"/>
              <w:rPr>
                <w:sz w:val="17"/>
                <w:szCs w:val="17"/>
                <w:color w:val="auto"/>
              </w:rPr>
            </w:pPr>
          </w:p>
        </w:tc>
        <w:tc>
          <w:tcPr>
            <w:tcW w:w="132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965,971</w:t>
            </w:r>
          </w:p>
        </w:tc>
        <w:tc>
          <w:tcPr>
            <w:tcW w:w="120" w:type="dxa"/>
            <w:vAlign w:val="bottom"/>
            <w:shd w:val="clear" w:color="auto" w:fill="E9FFFF"/>
          </w:tcPr>
          <w:p>
            <w:pPr>
              <w:spacing w:after="0"/>
              <w:rPr>
                <w:sz w:val="17"/>
                <w:szCs w:val="17"/>
                <w:color w:val="auto"/>
              </w:rPr>
            </w:pPr>
          </w:p>
        </w:tc>
        <w:tc>
          <w:tcPr>
            <w:tcW w:w="134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939,191</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120" w:type="dxa"/>
            <w:vAlign w:val="bottom"/>
            <w:shd w:val="clear" w:color="auto" w:fill="E9FFFF"/>
          </w:tcPr>
          <w:p>
            <w:pPr>
              <w:spacing w:after="0"/>
              <w:rPr>
                <w:sz w:val="19"/>
                <w:szCs w:val="19"/>
                <w:color w:val="auto"/>
              </w:rPr>
            </w:pPr>
          </w:p>
        </w:tc>
        <w:tc>
          <w:tcPr>
            <w:tcW w:w="320" w:type="dxa"/>
            <w:vAlign w:val="bottom"/>
            <w:shd w:val="clear" w:color="auto" w:fill="E9FFFF"/>
          </w:tcPr>
          <w:p>
            <w:pPr>
              <w:spacing w:after="0"/>
              <w:rPr>
                <w:sz w:val="19"/>
                <w:szCs w:val="19"/>
                <w:color w:val="auto"/>
              </w:rPr>
            </w:pPr>
          </w:p>
        </w:tc>
        <w:tc>
          <w:tcPr>
            <w:tcW w:w="140" w:type="dxa"/>
            <w:vAlign w:val="bottom"/>
            <w:shd w:val="clear" w:color="auto" w:fill="E9FFFF"/>
          </w:tcPr>
          <w:p>
            <w:pPr>
              <w:spacing w:after="0"/>
              <w:rPr>
                <w:sz w:val="19"/>
                <w:szCs w:val="19"/>
                <w:color w:val="auto"/>
              </w:rPr>
            </w:pPr>
          </w:p>
        </w:tc>
        <w:tc>
          <w:tcPr>
            <w:tcW w:w="132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16,630</w:t>
            </w:r>
          </w:p>
        </w:tc>
        <w:tc>
          <w:tcPr>
            <w:tcW w:w="120" w:type="dxa"/>
            <w:vAlign w:val="bottom"/>
            <w:shd w:val="clear" w:color="auto" w:fill="E9FFFF"/>
          </w:tcPr>
          <w:p>
            <w:pPr>
              <w:spacing w:after="0"/>
              <w:rPr>
                <w:sz w:val="19"/>
                <w:szCs w:val="19"/>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15,434</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Due to related parties</w:t>
            </w:r>
          </w:p>
        </w:tc>
        <w:tc>
          <w:tcPr>
            <w:tcW w:w="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2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440" w:type="dxa"/>
            <w:vAlign w:val="bottom"/>
            <w:gridSpan w:val="2"/>
            <w:shd w:val="clear" w:color="auto" w:fill="E9FFFF"/>
          </w:tcPr>
          <w:p>
            <w:pPr>
              <w:jc w:val="center"/>
              <w:ind w:left="39"/>
              <w:spacing w:after="0"/>
              <w:rPr>
                <w:sz w:val="20"/>
                <w:szCs w:val="20"/>
                <w:color w:val="auto"/>
              </w:rPr>
            </w:pPr>
            <w:r>
              <w:rPr>
                <w:rFonts w:ascii="Times New Roman" w:cs="Times New Roman" w:eastAsia="Times New Roman" w:hAnsi="Times New Roman"/>
                <w:sz w:val="16"/>
                <w:szCs w:val="16"/>
                <w:color w:val="auto"/>
                <w:w w:val="99"/>
              </w:rPr>
              <w:t>12</w:t>
            </w:r>
          </w:p>
        </w:tc>
        <w:tc>
          <w:tcPr>
            <w:tcW w:w="140" w:type="dxa"/>
            <w:vAlign w:val="bottom"/>
            <w:shd w:val="clear" w:color="auto" w:fill="E9FFFF"/>
          </w:tcPr>
          <w:p>
            <w:pPr>
              <w:spacing w:after="0"/>
              <w:rPr>
                <w:sz w:val="19"/>
                <w:szCs w:val="19"/>
                <w:color w:val="auto"/>
              </w:rPr>
            </w:pPr>
          </w:p>
        </w:tc>
        <w:tc>
          <w:tcPr>
            <w:tcW w:w="132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20" w:type="dxa"/>
            <w:vAlign w:val="bottom"/>
            <w:shd w:val="clear" w:color="auto" w:fill="E9FFFF"/>
          </w:tcPr>
          <w:p>
            <w:pPr>
              <w:spacing w:after="0"/>
              <w:rPr>
                <w:sz w:val="19"/>
                <w:szCs w:val="19"/>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8,312</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8</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50,565</w:t>
            </w:r>
          </w:p>
        </w:tc>
        <w:tc>
          <w:tcPr>
            <w:tcW w:w="0" w:type="dxa"/>
            <w:vAlign w:val="bottom"/>
          </w:tcPr>
          <w:p>
            <w:pPr>
              <w:spacing w:after="0"/>
              <w:rPr>
                <w:sz w:val="1"/>
                <w:szCs w:val="1"/>
                <w:color w:val="auto"/>
              </w:rPr>
            </w:pPr>
          </w:p>
        </w:tc>
      </w:tr>
      <w:tr>
        <w:trPr>
          <w:trHeight w:val="22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Borrowings—current portion</w:t>
            </w:r>
          </w:p>
        </w:tc>
        <w:tc>
          <w:tcPr>
            <w:tcW w:w="440" w:type="dxa"/>
            <w:vAlign w:val="bottom"/>
            <w:gridSpan w:val="2"/>
            <w:shd w:val="clear" w:color="auto" w:fill="E9FFFF"/>
          </w:tcPr>
          <w:p>
            <w:pPr>
              <w:jc w:val="center"/>
              <w:ind w:left="39"/>
              <w:spacing w:after="0"/>
              <w:rPr>
                <w:sz w:val="20"/>
                <w:szCs w:val="20"/>
                <w:color w:val="auto"/>
              </w:rPr>
            </w:pPr>
            <w:r>
              <w:rPr>
                <w:rFonts w:ascii="Times New Roman" w:cs="Times New Roman" w:eastAsia="Times New Roman" w:hAnsi="Times New Roman"/>
                <w:sz w:val="16"/>
                <w:szCs w:val="16"/>
                <w:color w:val="auto"/>
                <w:w w:val="99"/>
              </w:rPr>
              <w:t>7</w:t>
            </w:r>
          </w:p>
        </w:tc>
        <w:tc>
          <w:tcPr>
            <w:tcW w:w="140" w:type="dxa"/>
            <w:vAlign w:val="bottom"/>
            <w:shd w:val="clear" w:color="auto" w:fill="E9FFFF"/>
          </w:tcPr>
          <w:p>
            <w:pPr>
              <w:spacing w:after="0"/>
              <w:rPr>
                <w:sz w:val="19"/>
                <w:szCs w:val="19"/>
                <w:color w:val="auto"/>
              </w:rPr>
            </w:pPr>
          </w:p>
        </w:tc>
        <w:tc>
          <w:tcPr>
            <w:tcW w:w="132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109,822</w:t>
            </w:r>
          </w:p>
        </w:tc>
        <w:tc>
          <w:tcPr>
            <w:tcW w:w="120" w:type="dxa"/>
            <w:vAlign w:val="bottom"/>
            <w:shd w:val="clear" w:color="auto" w:fill="E9FFFF"/>
          </w:tcPr>
          <w:p>
            <w:pPr>
              <w:spacing w:after="0"/>
              <w:rPr>
                <w:sz w:val="19"/>
                <w:szCs w:val="19"/>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104,934</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E9FFFF"/>
            </w:tcBorders>
          </w:tcPr>
          <w:p>
            <w:pPr>
              <w:spacing w:after="0"/>
              <w:rPr>
                <w:sz w:val="20"/>
                <w:szCs w:val="20"/>
                <w:color w:val="auto"/>
              </w:rPr>
            </w:pPr>
            <w:r>
              <w:rPr>
                <w:rFonts w:ascii="Times New Roman" w:cs="Times New Roman" w:eastAsia="Times New Roman" w:hAnsi="Times New Roman"/>
                <w:sz w:val="16"/>
                <w:szCs w:val="16"/>
                <w:color w:val="auto"/>
              </w:rPr>
              <w:t>Lease liabilities—current portion</w:t>
            </w:r>
          </w:p>
        </w:tc>
        <w:tc>
          <w:tcPr>
            <w:tcW w:w="120" w:type="dxa"/>
            <w:vAlign w:val="bottom"/>
            <w:tcBorders>
              <w:bottom w:val="single" w:sz="8" w:color="E9FFFF"/>
            </w:tcBorders>
          </w:tcPr>
          <w:p>
            <w:pPr>
              <w:spacing w:after="0"/>
              <w:rPr>
                <w:sz w:val="18"/>
                <w:szCs w:val="18"/>
                <w:color w:val="auto"/>
              </w:rPr>
            </w:pPr>
          </w:p>
        </w:tc>
        <w:tc>
          <w:tcPr>
            <w:tcW w:w="320" w:type="dxa"/>
            <w:vAlign w:val="bottom"/>
            <w:tcBorders>
              <w:bottom w:val="single" w:sz="8" w:color="E9FFFF"/>
            </w:tcBorders>
          </w:tcPr>
          <w:p>
            <w:pPr>
              <w:spacing w:after="0"/>
              <w:rPr>
                <w:sz w:val="18"/>
                <w:szCs w:val="18"/>
                <w:color w:val="auto"/>
              </w:rPr>
            </w:pPr>
          </w:p>
        </w:tc>
        <w:tc>
          <w:tcPr>
            <w:tcW w:w="140" w:type="dxa"/>
            <w:vAlign w:val="bottom"/>
            <w:tcBorders>
              <w:bottom w:val="single" w:sz="8" w:color="E9FF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tcBorders>
              <w:bottom w:val="single" w:sz="8" w:color="E9FF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0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20" w:type="dxa"/>
            <w:vAlign w:val="bottom"/>
            <w:shd w:val="clear" w:color="auto" w:fill="E9FFFF"/>
          </w:tcPr>
          <w:p>
            <w:pPr>
              <w:spacing w:after="0"/>
              <w:rPr>
                <w:sz w:val="17"/>
                <w:szCs w:val="17"/>
                <w:color w:val="auto"/>
              </w:rPr>
            </w:pPr>
          </w:p>
        </w:tc>
        <w:tc>
          <w:tcPr>
            <w:tcW w:w="320" w:type="dxa"/>
            <w:vAlign w:val="bottom"/>
            <w:shd w:val="clear" w:color="auto" w:fill="E9FFFF"/>
          </w:tcPr>
          <w:p>
            <w:pPr>
              <w:spacing w:after="0"/>
              <w:rPr>
                <w:sz w:val="17"/>
                <w:szCs w:val="17"/>
                <w:color w:val="auto"/>
              </w:rPr>
            </w:pPr>
          </w:p>
        </w:tc>
        <w:tc>
          <w:tcPr>
            <w:tcW w:w="140" w:type="dxa"/>
            <w:vAlign w:val="bottom"/>
            <w:shd w:val="clear" w:color="auto" w:fill="E9FFFF"/>
          </w:tcPr>
          <w:p>
            <w:pPr>
              <w:spacing w:after="0"/>
              <w:rPr>
                <w:sz w:val="17"/>
                <w:szCs w:val="17"/>
                <w:color w:val="auto"/>
              </w:rPr>
            </w:pPr>
          </w:p>
        </w:tc>
        <w:tc>
          <w:tcPr>
            <w:tcW w:w="132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186,743</w:t>
            </w:r>
          </w:p>
        </w:tc>
        <w:tc>
          <w:tcPr>
            <w:tcW w:w="120" w:type="dxa"/>
            <w:vAlign w:val="bottom"/>
            <w:shd w:val="clear" w:color="auto" w:fill="E9FFFF"/>
          </w:tcPr>
          <w:p>
            <w:pPr>
              <w:spacing w:after="0"/>
              <w:rPr>
                <w:sz w:val="17"/>
                <w:szCs w:val="17"/>
                <w:color w:val="auto"/>
              </w:rPr>
            </w:pPr>
          </w:p>
        </w:tc>
        <w:tc>
          <w:tcPr>
            <w:tcW w:w="134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179,770</w:t>
            </w:r>
          </w:p>
        </w:tc>
        <w:tc>
          <w:tcPr>
            <w:tcW w:w="0" w:type="dxa"/>
            <w:vAlign w:val="bottom"/>
          </w:tcPr>
          <w:p>
            <w:pPr>
              <w:spacing w:after="0"/>
              <w:rPr>
                <w:sz w:val="1"/>
                <w:szCs w:val="1"/>
                <w:color w:val="auto"/>
              </w:rPr>
            </w:pPr>
          </w:p>
        </w:tc>
      </w:tr>
      <w:tr>
        <w:trPr>
          <w:trHeight w:val="203"/>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440" w:type="dxa"/>
            <w:vAlign w:val="bottom"/>
            <w:gridSpan w:val="2"/>
            <w:shd w:val="clear" w:color="auto" w:fill="E9FFFF"/>
          </w:tcPr>
          <w:p>
            <w:pPr>
              <w:jc w:val="center"/>
              <w:ind w:left="39"/>
              <w:spacing w:after="0"/>
              <w:rPr>
                <w:sz w:val="20"/>
                <w:szCs w:val="20"/>
                <w:color w:val="auto"/>
              </w:rPr>
            </w:pPr>
            <w:r>
              <w:rPr>
                <w:rFonts w:ascii="Times New Roman" w:cs="Times New Roman" w:eastAsia="Times New Roman" w:hAnsi="Times New Roman"/>
                <w:sz w:val="16"/>
                <w:szCs w:val="16"/>
                <w:color w:val="auto"/>
                <w:w w:val="99"/>
              </w:rPr>
              <w:t>12</w:t>
            </w:r>
          </w:p>
        </w:tc>
        <w:tc>
          <w:tcPr>
            <w:tcW w:w="140" w:type="dxa"/>
            <w:vAlign w:val="bottom"/>
            <w:shd w:val="clear" w:color="auto" w:fill="E9FFFF"/>
          </w:tcPr>
          <w:p>
            <w:pPr>
              <w:spacing w:after="0"/>
              <w:rPr>
                <w:sz w:val="19"/>
                <w:szCs w:val="19"/>
                <w:color w:val="auto"/>
              </w:rPr>
            </w:pPr>
          </w:p>
        </w:tc>
        <w:tc>
          <w:tcPr>
            <w:tcW w:w="132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6,688</w:t>
            </w:r>
          </w:p>
        </w:tc>
        <w:tc>
          <w:tcPr>
            <w:tcW w:w="120" w:type="dxa"/>
            <w:vAlign w:val="bottom"/>
            <w:shd w:val="clear" w:color="auto" w:fill="E9FFFF"/>
          </w:tcPr>
          <w:p>
            <w:pPr>
              <w:spacing w:after="0"/>
              <w:rPr>
                <w:sz w:val="19"/>
                <w:szCs w:val="19"/>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13,933</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Borrowings—non-current portion</w:t>
            </w:r>
          </w:p>
        </w:tc>
        <w:tc>
          <w:tcPr>
            <w:tcW w:w="4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7</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1,236,202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1,198,627</w:t>
            </w:r>
          </w:p>
        </w:tc>
        <w:tc>
          <w:tcPr>
            <w:tcW w:w="0" w:type="dxa"/>
            <w:vAlign w:val="bottom"/>
          </w:tcPr>
          <w:p>
            <w:pPr>
              <w:spacing w:after="0"/>
              <w:rPr>
                <w:sz w:val="1"/>
                <w:szCs w:val="1"/>
                <w:color w:val="auto"/>
              </w:rPr>
            </w:pPr>
          </w:p>
        </w:tc>
      </w:tr>
      <w:tr>
        <w:trPr>
          <w:trHeight w:val="22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color w:val="auto"/>
              </w:rPr>
              <w:t>Lease liabilities—non-current portion</w:t>
            </w:r>
          </w:p>
        </w:tc>
        <w:tc>
          <w:tcPr>
            <w:tcW w:w="120" w:type="dxa"/>
            <w:vAlign w:val="bottom"/>
            <w:shd w:val="clear" w:color="auto" w:fill="E9FFFF"/>
          </w:tcPr>
          <w:p>
            <w:pPr>
              <w:spacing w:after="0"/>
              <w:rPr>
                <w:sz w:val="19"/>
                <w:szCs w:val="19"/>
                <w:color w:val="auto"/>
              </w:rPr>
            </w:pPr>
          </w:p>
        </w:tc>
        <w:tc>
          <w:tcPr>
            <w:tcW w:w="320" w:type="dxa"/>
            <w:vAlign w:val="bottom"/>
            <w:shd w:val="clear" w:color="auto" w:fill="E9FFFF"/>
          </w:tcPr>
          <w:p>
            <w:pPr>
              <w:spacing w:after="0"/>
              <w:rPr>
                <w:sz w:val="19"/>
                <w:szCs w:val="19"/>
                <w:color w:val="auto"/>
              </w:rPr>
            </w:pPr>
          </w:p>
        </w:tc>
        <w:tc>
          <w:tcPr>
            <w:tcW w:w="140" w:type="dxa"/>
            <w:vAlign w:val="bottom"/>
            <w:shd w:val="clear" w:color="auto" w:fill="E9FFFF"/>
          </w:tcPr>
          <w:p>
            <w:pPr>
              <w:spacing w:after="0"/>
              <w:rPr>
                <w:sz w:val="19"/>
                <w:szCs w:val="19"/>
                <w:color w:val="auto"/>
              </w:rPr>
            </w:pPr>
          </w:p>
        </w:tc>
        <w:tc>
          <w:tcPr>
            <w:tcW w:w="132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shd w:val="clear" w:color="auto" w:fill="E9FFFF"/>
          </w:tcPr>
          <w:p>
            <w:pPr>
              <w:spacing w:after="0"/>
              <w:rPr>
                <w:sz w:val="19"/>
                <w:szCs w:val="19"/>
                <w:color w:val="auto"/>
              </w:rPr>
            </w:pPr>
          </w:p>
        </w:tc>
        <w:tc>
          <w:tcPr>
            <w:tcW w:w="134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E9FF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0" w:type="dxa"/>
            <w:vAlign w:val="bottom"/>
            <w:tcBorders>
              <w:bottom w:val="single" w:sz="8" w:color="E9FFFF"/>
            </w:tcBorders>
          </w:tcPr>
          <w:p>
            <w:pPr>
              <w:spacing w:after="0"/>
              <w:rPr>
                <w:sz w:val="18"/>
                <w:szCs w:val="18"/>
                <w:color w:val="auto"/>
              </w:rPr>
            </w:pPr>
          </w:p>
        </w:tc>
        <w:tc>
          <w:tcPr>
            <w:tcW w:w="320" w:type="dxa"/>
            <w:vAlign w:val="bottom"/>
            <w:tcBorders>
              <w:bottom w:val="single" w:sz="8" w:color="E9FFFF"/>
            </w:tcBorders>
          </w:tcPr>
          <w:p>
            <w:pPr>
              <w:spacing w:after="0"/>
              <w:rPr>
                <w:sz w:val="18"/>
                <w:szCs w:val="18"/>
                <w:color w:val="auto"/>
              </w:rPr>
            </w:pPr>
          </w:p>
        </w:tc>
        <w:tc>
          <w:tcPr>
            <w:tcW w:w="140" w:type="dxa"/>
            <w:vAlign w:val="bottom"/>
            <w:tcBorders>
              <w:bottom w:val="single" w:sz="8" w:color="E9FF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tcBorders>
              <w:bottom w:val="single" w:sz="8" w:color="E9FF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0" w:type="dxa"/>
            <w:vAlign w:val="bottom"/>
          </w:tcPr>
          <w:p>
            <w:pPr>
              <w:spacing w:after="0"/>
              <w:rPr>
                <w:sz w:val="1"/>
                <w:szCs w:val="1"/>
                <w:color w:val="auto"/>
              </w:rPr>
            </w:pPr>
          </w:p>
        </w:tc>
      </w:tr>
      <w:tr>
        <w:trPr>
          <w:trHeight w:val="202"/>
        </w:trPr>
        <w:tc>
          <w:tcPr>
            <w:tcW w:w="7780" w:type="dxa"/>
            <w:vAlign w:val="bottom"/>
            <w:shd w:val="clear" w:color="auto" w:fill="E9FF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20" w:type="dxa"/>
            <w:vAlign w:val="bottom"/>
            <w:shd w:val="clear" w:color="auto" w:fill="E9FFFF"/>
          </w:tcPr>
          <w:p>
            <w:pPr>
              <w:spacing w:after="0"/>
              <w:rPr>
                <w:sz w:val="17"/>
                <w:szCs w:val="17"/>
                <w:color w:val="auto"/>
              </w:rPr>
            </w:pPr>
          </w:p>
        </w:tc>
        <w:tc>
          <w:tcPr>
            <w:tcW w:w="320" w:type="dxa"/>
            <w:vAlign w:val="bottom"/>
            <w:shd w:val="clear" w:color="auto" w:fill="E9FFFF"/>
          </w:tcPr>
          <w:p>
            <w:pPr>
              <w:spacing w:after="0"/>
              <w:rPr>
                <w:sz w:val="17"/>
                <w:szCs w:val="17"/>
                <w:color w:val="auto"/>
              </w:rPr>
            </w:pPr>
          </w:p>
        </w:tc>
        <w:tc>
          <w:tcPr>
            <w:tcW w:w="140" w:type="dxa"/>
            <w:vAlign w:val="bottom"/>
            <w:shd w:val="clear" w:color="auto" w:fill="E9FFFF"/>
          </w:tcPr>
          <w:p>
            <w:pPr>
              <w:spacing w:after="0"/>
              <w:rPr>
                <w:sz w:val="17"/>
                <w:szCs w:val="17"/>
                <w:color w:val="auto"/>
              </w:rPr>
            </w:pPr>
          </w:p>
        </w:tc>
        <w:tc>
          <w:tcPr>
            <w:tcW w:w="132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1,244,230</w:t>
            </w:r>
          </w:p>
        </w:tc>
        <w:tc>
          <w:tcPr>
            <w:tcW w:w="120" w:type="dxa"/>
            <w:vAlign w:val="bottom"/>
            <w:shd w:val="clear" w:color="auto" w:fill="E9FFFF"/>
          </w:tcPr>
          <w:p>
            <w:pPr>
              <w:spacing w:after="0"/>
              <w:rPr>
                <w:sz w:val="17"/>
                <w:szCs w:val="17"/>
                <w:color w:val="auto"/>
              </w:rPr>
            </w:pPr>
          </w:p>
        </w:tc>
        <w:tc>
          <w:tcPr>
            <w:tcW w:w="1340" w:type="dxa"/>
            <w:vAlign w:val="bottom"/>
            <w:tcBorders>
              <w:bottom w:val="single" w:sz="8" w:color="auto"/>
            </w:tcBorders>
            <w:shd w:val="clear" w:color="auto" w:fill="E9FFFF"/>
          </w:tcPr>
          <w:p>
            <w:pPr>
              <w:jc w:val="right"/>
              <w:spacing w:after="0"/>
              <w:rPr>
                <w:sz w:val="20"/>
                <w:szCs w:val="20"/>
                <w:color w:val="auto"/>
              </w:rPr>
            </w:pPr>
            <w:r>
              <w:rPr>
                <w:rFonts w:ascii="Times New Roman" w:cs="Times New Roman" w:eastAsia="Times New Roman" w:hAnsi="Times New Roman"/>
                <w:sz w:val="16"/>
                <w:szCs w:val="16"/>
                <w:b w:val="1"/>
                <w:bCs w:val="1"/>
                <w:color w:val="auto"/>
              </w:rPr>
              <w:t>1,214,225</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partners’ equity and liabilities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2,396,944</w:t>
            </w: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2,333,186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7"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profit or loss and total comprehensive income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2019 and 2020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per unit data)</w:t>
      </w:r>
    </w:p>
    <w:p>
      <w:pPr>
        <w:sectPr>
          <w:pgSz w:w="11900" w:h="16838" w:orient="portrait"/>
          <w:cols w:equalWidth="0" w:num="1">
            <w:col w:w="11180"/>
          </w:cols>
          <w:pgMar w:left="320" w:top="89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pool allocation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Voyage expenses and commissions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Vessel operating costs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w:t>
      </w:r>
    </w:p>
    <w:p>
      <w:pPr>
        <w:spacing w:after="0" w:line="26" w:lineRule="exact"/>
        <w:rPr>
          <w:sz w:val="20"/>
          <w:szCs w:val="20"/>
          <w:color w:val="auto"/>
        </w:rPr>
      </w:pPr>
    </w:p>
    <w:p>
      <w:pPr>
        <w:ind w:right="1760"/>
        <w:spacing w:after="0" w:line="275" w:lineRule="auto"/>
        <w:rPr>
          <w:sz w:val="20"/>
          <w:szCs w:val="20"/>
          <w:color w:val="auto"/>
        </w:rPr>
      </w:pPr>
      <w:r>
        <w:rPr>
          <w:rFonts w:ascii="Times New Roman" w:cs="Times New Roman" w:eastAsia="Times New Roman" w:hAnsi="Times New Roman"/>
          <w:sz w:val="16"/>
          <w:szCs w:val="16"/>
          <w:color w:val="auto"/>
        </w:rPr>
        <w:t>General and administrative expenses Impairment loss on vessels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costs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on derivatives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Profit and total comprehensive income for the period</w:t>
      </w:r>
    </w:p>
    <w:p>
      <w:pPr>
        <w:spacing w:after="0" w:line="262" w:lineRule="exact"/>
        <w:rPr>
          <w:sz w:val="20"/>
          <w:szCs w:val="20"/>
          <w:color w:val="auto"/>
        </w:rPr>
      </w:pPr>
    </w:p>
    <w:p>
      <w:pPr>
        <w:ind w:left="160" w:hanging="157"/>
        <w:spacing w:after="0" w:line="270" w:lineRule="auto"/>
        <w:rPr>
          <w:sz w:val="20"/>
          <w:szCs w:val="20"/>
          <w:color w:val="auto"/>
        </w:rPr>
      </w:pPr>
      <w:r>
        <w:rPr>
          <w:rFonts w:ascii="Times New Roman" w:cs="Times New Roman" w:eastAsia="Times New Roman" w:hAnsi="Times New Roman"/>
          <w:sz w:val="16"/>
          <w:szCs w:val="16"/>
          <w:b w:val="1"/>
          <w:bCs w:val="1"/>
          <w:color w:val="auto"/>
        </w:rPr>
        <w:t>Earnings per unit attributable to the Partnership, basic and diluted: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 basic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 diluted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 unit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2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820" w:type="dxa"/>
            <w:vAlign w:val="bottom"/>
            <w:gridSpan w:val="5"/>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80" w:type="dxa"/>
            <w:vAlign w:val="bottom"/>
            <w:gridSpan w:val="3"/>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Note</w:t>
            </w:r>
          </w:p>
        </w:tc>
        <w:tc>
          <w:tcPr>
            <w:tcW w:w="240" w:type="dxa"/>
            <w:vAlign w:val="bottom"/>
          </w:tcPr>
          <w:p>
            <w:pPr>
              <w:spacing w:after="0"/>
              <w:rPr>
                <w:sz w:val="18"/>
                <w:szCs w:val="18"/>
                <w:color w:val="auto"/>
              </w:rPr>
            </w:pPr>
          </w:p>
        </w:tc>
        <w:tc>
          <w:tcPr>
            <w:tcW w:w="13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240" w:type="dxa"/>
            <w:vAlign w:val="bottom"/>
          </w:tcPr>
          <w:p>
            <w:pPr>
              <w:spacing w:after="0"/>
              <w:rPr>
                <w:sz w:val="24"/>
                <w:szCs w:val="24"/>
                <w:color w:val="auto"/>
              </w:rPr>
            </w:pP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96,485</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72,813</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282,175</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248,614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20" w:type="dxa"/>
            <w:vAlign w:val="bottom"/>
          </w:tcPr>
          <w:p>
            <w:pPr>
              <w:spacing w:after="0"/>
              <w:rPr>
                <w:sz w:val="18"/>
                <w:szCs w:val="18"/>
                <w:color w:val="auto"/>
              </w:rPr>
            </w:pPr>
          </w:p>
        </w:tc>
        <w:tc>
          <w:tcPr>
            <w:tcW w:w="1380" w:type="dxa"/>
            <w:vAlign w:val="bottom"/>
            <w:gridSpan w:val="3"/>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29"/>
        </w:trPr>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2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(5,547)</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(8,916)</w:t>
            </w: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(18,116)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(19,327)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(55,295)</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(55,315)</w:t>
            </w:r>
          </w:p>
        </w:tc>
        <w:tc>
          <w:tcPr>
            <w:tcW w:w="0" w:type="dxa"/>
            <w:vAlign w:val="bottom"/>
          </w:tcPr>
          <w:p>
            <w:pPr>
              <w:spacing w:after="0"/>
              <w:rPr>
                <w:sz w:val="1"/>
                <w:szCs w:val="1"/>
                <w:color w:val="auto"/>
              </w:rPr>
            </w:pPr>
          </w:p>
        </w:tc>
      </w:tr>
      <w:tr>
        <w:trPr>
          <w:trHeight w:val="21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(22,819)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(20,577)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(66,826)</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(61,850)</w:t>
            </w:r>
          </w:p>
        </w:tc>
        <w:tc>
          <w:tcPr>
            <w:tcW w:w="0" w:type="dxa"/>
            <w:vAlign w:val="bottom"/>
          </w:tcPr>
          <w:p>
            <w:pPr>
              <w:spacing w:after="0"/>
              <w:rPr>
                <w:sz w:val="1"/>
                <w:szCs w:val="1"/>
                <w:color w:val="auto"/>
              </w:rPr>
            </w:pPr>
          </w:p>
        </w:tc>
      </w:tr>
      <w:tr>
        <w:trPr>
          <w:trHeight w:val="204"/>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240" w:type="dxa"/>
            <w:vAlign w:val="bottom"/>
          </w:tcPr>
          <w:p>
            <w:pPr>
              <w:spacing w:after="0"/>
              <w:rPr>
                <w:sz w:val="17"/>
                <w:szCs w:val="17"/>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(5,379)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(14,352)</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(13,971)</w:t>
            </w:r>
          </w:p>
        </w:tc>
        <w:tc>
          <w:tcPr>
            <w:tcW w:w="0" w:type="dxa"/>
            <w:vAlign w:val="bottom"/>
          </w:tcPr>
          <w:p>
            <w:pPr>
              <w:spacing w:after="0"/>
              <w:rPr>
                <w:sz w:val="1"/>
                <w:szCs w:val="1"/>
                <w:color w:val="auto"/>
              </w:rPr>
            </w:pPr>
          </w:p>
        </w:tc>
      </w:tr>
      <w:tr>
        <w:trPr>
          <w:trHeight w:val="228"/>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40" w:type="dxa"/>
            <w:vAlign w:val="bottom"/>
          </w:tcPr>
          <w:p>
            <w:pPr>
              <w:spacing w:after="0"/>
              <w:rPr>
                <w:sz w:val="19"/>
                <w:szCs w:val="19"/>
                <w:color w:val="auto"/>
              </w:rPr>
            </w:pP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(18,841)</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48,960</w:t>
            </w:r>
          </w:p>
        </w:tc>
        <w:tc>
          <w:tcPr>
            <w:tcW w:w="1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25,284</w:t>
            </w:r>
          </w:p>
        </w:tc>
        <w:tc>
          <w:tcPr>
            <w:tcW w:w="12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141,213</w:t>
            </w:r>
          </w:p>
        </w:tc>
        <w:tc>
          <w:tcPr>
            <w:tcW w:w="1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89,721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(17,534)</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(12,437)</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(55,650)</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(41,017)</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393</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2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(15,528)</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(14,741)</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(19,526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(69,620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(55,473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29,434</w:t>
            </w:r>
          </w:p>
        </w:tc>
        <w:tc>
          <w:tcPr>
            <w:tcW w:w="1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11,866</w:t>
            </w:r>
          </w:p>
        </w:tc>
        <w:tc>
          <w:tcPr>
            <w:tcW w:w="12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71,593</w:t>
            </w:r>
          </w:p>
        </w:tc>
        <w:tc>
          <w:tcPr>
            <w:tcW w:w="1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34,248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0.45</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0.09</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0.43</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0.08</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0.45</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0.09</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-2593340</wp:posOffset>
            </wp:positionV>
            <wp:extent cx="706374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-2318385</wp:posOffset>
            </wp:positionV>
            <wp:extent cx="706374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-2044065</wp:posOffset>
            </wp:positionV>
            <wp:extent cx="706374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-1770380</wp:posOffset>
            </wp:positionV>
            <wp:extent cx="706374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-1495425</wp:posOffset>
            </wp:positionV>
            <wp:extent cx="706374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-1221740</wp:posOffset>
            </wp:positionV>
            <wp:extent cx="706374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-946785</wp:posOffset>
            </wp:positionV>
            <wp:extent cx="706374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-664210</wp:posOffset>
            </wp:positionV>
            <wp:extent cx="7063740" cy="2571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63740" cy="257175"/>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-269875</wp:posOffset>
            </wp:positionV>
            <wp:extent cx="706374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600"/>
            <w:col w:w="6440"/>
          </w:cols>
          <w:pgMar w:left="320" w:top="89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893" w:right="3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p>
      <w:pPr>
        <w:spacing w:after="0" w:line="235" w:lineRule="exact"/>
        <w:rPr>
          <w:sz w:val="20"/>
          <w:szCs w:val="20"/>
          <w:color w:val="auto"/>
        </w:rPr>
      </w:pPr>
    </w:p>
    <w:p>
      <w:pPr>
        <w:ind w:right="5360"/>
        <w:spacing w:after="0" w:line="270" w:lineRule="auto"/>
        <w:rPr>
          <w:sz w:val="20"/>
          <w:szCs w:val="20"/>
          <w:color w:val="auto"/>
        </w:rPr>
      </w:pPr>
      <w:r>
        <w:rPr>
          <w:rFonts w:ascii="Times New Roman" w:cs="Times New Roman" w:eastAsia="Times New Roman" w:hAnsi="Times New Roman"/>
          <w:sz w:val="16"/>
          <w:szCs w:val="16"/>
          <w:b w:val="1"/>
          <w:bCs w:val="1"/>
          <w:color w:val="auto"/>
        </w:rPr>
        <w:t>Unaudited condensed consolidated statements of changes in owners’/partners’ equity For the nine months ended September 30, 2019 and 2020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4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720" w:type="dxa"/>
            <w:vAlign w:val="bottom"/>
            <w:gridSpan w:val="2"/>
            <w:vMerge w:val="continue"/>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Owners’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General partner</w:t>
            </w:r>
          </w:p>
        </w:tc>
        <w:tc>
          <w:tcPr>
            <w:tcW w:w="120" w:type="dxa"/>
            <w:vAlign w:val="bottom"/>
            <w:vMerge w:val="restart"/>
          </w:tcPr>
          <w:p>
            <w:pPr>
              <w:spacing w:after="0"/>
              <w:rPr>
                <w:sz w:val="12"/>
                <w:szCs w:val="12"/>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100" w:type="dxa"/>
            <w:vAlign w:val="bottom"/>
            <w:vMerge w:val="restart"/>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440" w:type="dxa"/>
            <w:vAlign w:val="bottom"/>
            <w:gridSpan w:val="4"/>
            <w:vMerge w:val="continue"/>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680" w:type="dxa"/>
            <w:vAlign w:val="bottom"/>
            <w:gridSpan w:val="2"/>
            <w:vMerge w:val="continue"/>
          </w:tcPr>
          <w:p>
            <w:pPr>
              <w:spacing w:after="0"/>
              <w:rPr>
                <w:sz w:val="12"/>
                <w:szCs w:val="12"/>
                <w:color w:val="auto"/>
              </w:rPr>
            </w:pPr>
          </w:p>
        </w:tc>
        <w:tc>
          <w:tcPr>
            <w:tcW w:w="56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000" w:type="dxa"/>
            <w:vAlign w:val="bottom"/>
            <w:tcBorders>
              <w:bottom w:val="single" w:sz="8" w:color="auto"/>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(“IDRs”)</w:t>
            </w:r>
          </w:p>
        </w:tc>
        <w:tc>
          <w:tcPr>
            <w:tcW w:w="100" w:type="dxa"/>
            <w:vAlign w:val="bottom"/>
          </w:tcPr>
          <w:p>
            <w:pPr>
              <w:spacing w:after="0"/>
              <w:rPr>
                <w:sz w:val="15"/>
                <w:szCs w:val="15"/>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2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E5FF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2018</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927,532</w:t>
            </w:r>
          </w:p>
        </w:tc>
        <w:tc>
          <w:tcPr>
            <w:tcW w:w="4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89"/>
              </w:rPr>
              <w:t>13,289</w:t>
            </w:r>
          </w:p>
        </w:tc>
        <w:tc>
          <w:tcPr>
            <w:tcW w:w="7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45,448,993</w:t>
            </w:r>
          </w:p>
        </w:tc>
        <w:tc>
          <w:tcPr>
            <w:tcW w:w="6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812,863</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5,176</w:t>
            </w:r>
          </w:p>
        </w:tc>
        <w:tc>
          <w:tcPr>
            <w:tcW w:w="7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14,350,000</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348,331</w:t>
            </w:r>
          </w:p>
        </w:tc>
        <w:tc>
          <w:tcPr>
            <w:tcW w:w="7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1,179,659</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73,134</w:t>
            </w:r>
          </w:p>
        </w:tc>
        <w:tc>
          <w:tcPr>
            <w:tcW w:w="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3"/>
                <w:szCs w:val="13"/>
                <w:b w:val="1"/>
                <w:bCs w:val="1"/>
                <w:color w:val="auto"/>
              </w:rPr>
              <w:t>1,252,793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IFRS 16 adjustment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173</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177</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216"/>
        </w:trPr>
        <w:tc>
          <w:tcPr>
            <w:tcW w:w="350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13"/>
                <w:szCs w:val="13"/>
                <w:b w:val="1"/>
                <w:bCs w:val="1"/>
                <w:color w:val="auto"/>
              </w:rPr>
              <w:t>Balance as of January 1, 2019 (as restated</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927,532</w:t>
            </w:r>
          </w:p>
        </w:tc>
        <w:tc>
          <w:tcPr>
            <w:tcW w:w="4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89"/>
              </w:rPr>
              <w:t>13,293</w:t>
            </w:r>
          </w:p>
        </w:tc>
        <w:tc>
          <w:tcPr>
            <w:tcW w:w="7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45,448,993</w:t>
            </w:r>
          </w:p>
        </w:tc>
        <w:tc>
          <w:tcPr>
            <w:tcW w:w="6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813,036</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5,176</w:t>
            </w:r>
          </w:p>
        </w:tc>
        <w:tc>
          <w:tcPr>
            <w:tcW w:w="7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14,350,000</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348,331</w:t>
            </w:r>
          </w:p>
        </w:tc>
        <w:tc>
          <w:tcPr>
            <w:tcW w:w="7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1,179,836</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73,149</w:t>
            </w:r>
          </w:p>
        </w:tc>
        <w:tc>
          <w:tcPr>
            <w:tcW w:w="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3"/>
                <w:szCs w:val="13"/>
                <w:b w:val="1"/>
                <w:bCs w:val="1"/>
                <w:color w:val="auto"/>
              </w:rPr>
              <w:t>1,252,985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Profit and total comprehensive income attributable to GasLog’s</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operations (Note 14)</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2,650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2,650</w:t>
            </w:r>
          </w:p>
        </w:tc>
        <w:tc>
          <w:tcPr>
            <w:tcW w:w="0" w:type="dxa"/>
            <w:vAlign w:val="bottom"/>
          </w:tcPr>
          <w:p>
            <w:pPr>
              <w:spacing w:after="0"/>
              <w:rPr>
                <w:sz w:val="1"/>
                <w:szCs w:val="1"/>
                <w:color w:val="auto"/>
              </w:rPr>
            </w:pPr>
          </w:p>
        </w:tc>
      </w:tr>
      <w:tr>
        <w:trPr>
          <w:trHeight w:val="216"/>
        </w:trPr>
        <w:tc>
          <w:tcPr>
            <w:tcW w:w="3500" w:type="dxa"/>
            <w:vAlign w:val="bottom"/>
            <w:shd w:val="clear" w:color="auto" w:fill="E5FFFF"/>
          </w:tcPr>
          <w:p>
            <w:pPr>
              <w:spacing w:after="0"/>
              <w:rPr>
                <w:sz w:val="20"/>
                <w:szCs w:val="20"/>
                <w:color w:val="auto"/>
              </w:rPr>
            </w:pPr>
            <w:r>
              <w:rPr>
                <w:rFonts w:ascii="Times New Roman" w:cs="Times New Roman" w:eastAsia="Times New Roman" w:hAnsi="Times New Roman"/>
                <w:sz w:val="13"/>
                <w:szCs w:val="13"/>
                <w:color w:val="auto"/>
              </w:rPr>
              <w:t>Equity offering costs</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3"/>
                <w:szCs w:val="13"/>
                <w:color w:val="auto"/>
              </w:rPr>
              <w:t>(217)</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266</w:t>
            </w:r>
          </w:p>
        </w:tc>
        <w:tc>
          <w:tcPr>
            <w:tcW w:w="7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49</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Settlement of awards vested during the period</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49,850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E5FFFF"/>
          </w:tcPr>
          <w:p>
            <w:pPr>
              <w:spacing w:after="0"/>
              <w:rPr>
                <w:sz w:val="20"/>
                <w:szCs w:val="20"/>
                <w:color w:val="auto"/>
              </w:rPr>
            </w:pPr>
            <w:r>
              <w:rPr>
                <w:rFonts w:ascii="Times New Roman" w:cs="Times New Roman" w:eastAsia="Times New Roman" w:hAnsi="Times New Roman"/>
                <w:sz w:val="13"/>
                <w:szCs w:val="13"/>
                <w:color w:val="auto"/>
              </w:rPr>
              <w:t>Repurchases of common units</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3"/>
                <w:szCs w:val="13"/>
                <w:color w:val="auto"/>
              </w:rPr>
              <w:t>(985,259)</w:t>
            </w:r>
          </w:p>
        </w:tc>
        <w:tc>
          <w:tcPr>
            <w:tcW w:w="6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3"/>
                <w:szCs w:val="13"/>
                <w:color w:val="auto"/>
              </w:rPr>
              <w:t>(20,030)</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3"/>
                <w:szCs w:val="13"/>
                <w:color w:val="auto"/>
              </w:rPr>
              <w:t>(20,030)</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3"/>
                <w:szCs w:val="13"/>
                <w:color w:val="auto"/>
              </w:rPr>
              <w:t>(20,030)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Elimination of IDRs and issuance of common and Class B units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2,532,911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1,807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2,490,000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(2,391)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(584)</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(584)</w:t>
            </w:r>
          </w:p>
        </w:tc>
        <w:tc>
          <w:tcPr>
            <w:tcW w:w="0" w:type="dxa"/>
            <w:vAlign w:val="bottom"/>
          </w:tcPr>
          <w:p>
            <w:pPr>
              <w:spacing w:after="0"/>
              <w:rPr>
                <w:sz w:val="1"/>
                <w:szCs w:val="1"/>
                <w:color w:val="auto"/>
              </w:rPr>
            </w:pPr>
          </w:p>
        </w:tc>
      </w:tr>
      <w:tr>
        <w:trPr>
          <w:trHeight w:val="216"/>
        </w:trPr>
        <w:tc>
          <w:tcPr>
            <w:tcW w:w="3500" w:type="dxa"/>
            <w:vAlign w:val="bottom"/>
            <w:shd w:val="clear" w:color="auto" w:fill="E5FFFF"/>
          </w:tcPr>
          <w:p>
            <w:pPr>
              <w:spacing w:after="0"/>
              <w:rPr>
                <w:sz w:val="20"/>
                <w:szCs w:val="20"/>
                <w:color w:val="auto"/>
              </w:rPr>
            </w:pPr>
            <w:r>
              <w:rPr>
                <w:rFonts w:ascii="Times New Roman" w:cs="Times New Roman" w:eastAsia="Times New Roman" w:hAnsi="Times New Roman"/>
                <w:sz w:val="13"/>
                <w:szCs w:val="13"/>
                <w:color w:val="auto"/>
              </w:rPr>
              <w:t>Issuance of general partner units</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93,804</w:t>
            </w:r>
          </w:p>
        </w:tc>
        <w:tc>
          <w:tcPr>
            <w:tcW w:w="4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1,996</w:t>
            </w:r>
          </w:p>
        </w:tc>
        <w:tc>
          <w:tcPr>
            <w:tcW w:w="7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1,996</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Cash distribution to GasLog in exchange for net assets</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contribution to the Partnership</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(93,646)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(93,646)</w:t>
            </w:r>
          </w:p>
        </w:tc>
        <w:tc>
          <w:tcPr>
            <w:tcW w:w="0" w:type="dxa"/>
            <w:vAlign w:val="bottom"/>
          </w:tcPr>
          <w:p>
            <w:pPr>
              <w:spacing w:after="0"/>
              <w:rPr>
                <w:sz w:val="1"/>
                <w:szCs w:val="1"/>
                <w:color w:val="auto"/>
              </w:rPr>
            </w:pPr>
          </w:p>
        </w:tc>
      </w:tr>
      <w:tr>
        <w:trPr>
          <w:trHeight w:val="117"/>
        </w:trPr>
        <w:tc>
          <w:tcPr>
            <w:tcW w:w="3500" w:type="dxa"/>
            <w:vAlign w:val="bottom"/>
            <w:shd w:val="clear" w:color="auto" w:fill="E5FFFF"/>
          </w:tcPr>
          <w:p>
            <w:pPr>
              <w:spacing w:after="0" w:line="117" w:lineRule="exact"/>
              <w:rPr>
                <w:sz w:val="20"/>
                <w:szCs w:val="20"/>
                <w:color w:val="auto"/>
              </w:rPr>
            </w:pPr>
            <w:r>
              <w:rPr>
                <w:rFonts w:ascii="Times New Roman" w:cs="Times New Roman" w:eastAsia="Times New Roman" w:hAnsi="Times New Roman"/>
                <w:sz w:val="13"/>
                <w:szCs w:val="13"/>
                <w:color w:val="auto"/>
              </w:rPr>
              <w:t>Difference between net book values of acquired subsidiary and</w:t>
            </w:r>
          </w:p>
        </w:tc>
        <w:tc>
          <w:tcPr>
            <w:tcW w:w="5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7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78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540" w:type="dxa"/>
            <w:vAlign w:val="bottom"/>
            <w:shd w:val="clear" w:color="auto" w:fill="E5FFFF"/>
          </w:tcPr>
          <w:p>
            <w:pPr>
              <w:spacing w:after="0"/>
              <w:rPr>
                <w:sz w:val="10"/>
                <w:szCs w:val="10"/>
                <w:color w:val="auto"/>
              </w:rPr>
            </w:pPr>
          </w:p>
        </w:tc>
        <w:tc>
          <w:tcPr>
            <w:tcW w:w="120" w:type="dxa"/>
            <w:vAlign w:val="bottom"/>
            <w:shd w:val="clear" w:color="auto" w:fill="E5FFFF"/>
          </w:tcPr>
          <w:p>
            <w:pPr>
              <w:spacing w:after="0"/>
              <w:rPr>
                <w:sz w:val="10"/>
                <w:szCs w:val="10"/>
                <w:color w:val="auto"/>
              </w:rPr>
            </w:pPr>
          </w:p>
        </w:tc>
        <w:tc>
          <w:tcPr>
            <w:tcW w:w="62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560" w:type="dxa"/>
            <w:vAlign w:val="bottom"/>
            <w:shd w:val="clear" w:color="auto" w:fill="E5FFFF"/>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3"/>
                <w:szCs w:val="13"/>
                <w:color w:val="auto"/>
              </w:rPr>
              <w:t>consideration paid</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3"/>
                <w:szCs w:val="13"/>
                <w:color w:val="auto"/>
              </w:rPr>
              <w:t>(357)</w:t>
            </w:r>
          </w:p>
        </w:tc>
        <w:tc>
          <w:tcPr>
            <w:tcW w:w="7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3"/>
                <w:szCs w:val="13"/>
                <w:color w:val="auto"/>
              </w:rPr>
              <w:t>(17,490)</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3"/>
                <w:szCs w:val="13"/>
                <w:color w:val="auto"/>
              </w:rPr>
              <w:t>(17,847)</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17,847</w:t>
            </w:r>
          </w:p>
        </w:tc>
        <w:tc>
          <w:tcPr>
            <w:tcW w:w="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Distributions declared</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4"/>
              </w:rPr>
              <w:t>(1,639)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(76,056)</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(2,785)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(23,454)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(103,934)</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(103,934)</w:t>
            </w:r>
          </w:p>
        </w:tc>
        <w:tc>
          <w:tcPr>
            <w:tcW w:w="0" w:type="dxa"/>
            <w:vAlign w:val="bottom"/>
          </w:tcPr>
          <w:p>
            <w:pPr>
              <w:spacing w:after="0"/>
              <w:rPr>
                <w:sz w:val="1"/>
                <w:szCs w:val="1"/>
                <w:color w:val="auto"/>
              </w:rPr>
            </w:pPr>
          </w:p>
        </w:tc>
      </w:tr>
      <w:tr>
        <w:trPr>
          <w:trHeight w:val="216"/>
        </w:trPr>
        <w:tc>
          <w:tcPr>
            <w:tcW w:w="3500" w:type="dxa"/>
            <w:vAlign w:val="bottom"/>
            <w:shd w:val="clear" w:color="auto" w:fill="E5FFFF"/>
          </w:tcPr>
          <w:p>
            <w:pPr>
              <w:spacing w:after="0"/>
              <w:rPr>
                <w:sz w:val="20"/>
                <w:szCs w:val="20"/>
                <w:color w:val="auto"/>
              </w:rPr>
            </w:pPr>
            <w:r>
              <w:rPr>
                <w:rFonts w:ascii="Times New Roman" w:cs="Times New Roman" w:eastAsia="Times New Roman" w:hAnsi="Times New Roman"/>
                <w:sz w:val="13"/>
                <w:szCs w:val="13"/>
                <w:color w:val="auto"/>
              </w:rPr>
              <w:t>Share-based compensation, net of accrued distribution</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11</w:t>
            </w:r>
          </w:p>
        </w:tc>
        <w:tc>
          <w:tcPr>
            <w:tcW w:w="7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527</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538</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Partnership’s profit and total comprehensive income (Note 14)</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951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45,246</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22,746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68,943</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68,943</w:t>
            </w:r>
          </w:p>
        </w:tc>
        <w:tc>
          <w:tcPr>
            <w:tcW w:w="0" w:type="dxa"/>
            <w:vAlign w:val="bottom"/>
          </w:tcPr>
          <w:p>
            <w:pPr>
              <w:spacing w:after="0"/>
              <w:rPr>
                <w:sz w:val="1"/>
                <w:szCs w:val="1"/>
                <w:color w:val="auto"/>
              </w:rPr>
            </w:pPr>
          </w:p>
        </w:tc>
      </w:tr>
      <w:tr>
        <w:trPr>
          <w:trHeight w:val="20"/>
        </w:trPr>
        <w:tc>
          <w:tcPr>
            <w:tcW w:w="3500" w:type="dxa"/>
            <w:vAlign w:val="bottom"/>
            <w:shd w:val="clear" w:color="auto" w:fill="E5FF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shd w:val="clear" w:color="auto" w:fill="E5FF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2019</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1,021,336</w:t>
            </w:r>
          </w:p>
        </w:tc>
        <w:tc>
          <w:tcPr>
            <w:tcW w:w="4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89"/>
              </w:rPr>
              <w:t>14,255</w:t>
            </w:r>
          </w:p>
        </w:tc>
        <w:tc>
          <w:tcPr>
            <w:tcW w:w="7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47,046,495</w:t>
            </w:r>
          </w:p>
        </w:tc>
        <w:tc>
          <w:tcPr>
            <w:tcW w:w="6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746,823</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2,490,000</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14,350,000</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347,889</w:t>
            </w:r>
          </w:p>
        </w:tc>
        <w:tc>
          <w:tcPr>
            <w:tcW w:w="7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1,108,967</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3"/>
                <w:szCs w:val="13"/>
                <w:b w:val="1"/>
                <w:bCs w:val="1"/>
                <w:color w:val="auto"/>
              </w:rPr>
              <w:t>1,108,967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E5FF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E5FFFF"/>
          </w:tcPr>
          <w:p>
            <w:pPr>
              <w:spacing w:after="0"/>
              <w:rPr>
                <w:sz w:val="20"/>
                <w:szCs w:val="20"/>
                <w:color w:val="auto"/>
              </w:rPr>
            </w:pPr>
            <w:r>
              <w:rPr>
                <w:rFonts w:ascii="Times New Roman" w:cs="Times New Roman" w:eastAsia="Times New Roman" w:hAnsi="Times New Roman"/>
                <w:sz w:val="13"/>
                <w:szCs w:val="13"/>
                <w:b w:val="1"/>
                <w:bCs w:val="1"/>
                <w:color w:val="auto"/>
              </w:rPr>
              <w:t>Balance at January 1, 2020</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1,021,336</w:t>
            </w:r>
          </w:p>
        </w:tc>
        <w:tc>
          <w:tcPr>
            <w:tcW w:w="4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89"/>
              </w:rPr>
              <w:t>11,271</w:t>
            </w:r>
          </w:p>
        </w:tc>
        <w:tc>
          <w:tcPr>
            <w:tcW w:w="7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46,860,182</w:t>
            </w:r>
          </w:p>
        </w:tc>
        <w:tc>
          <w:tcPr>
            <w:tcW w:w="6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606,811</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2,490,000</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14,350,000</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347,889</w:t>
            </w:r>
          </w:p>
        </w:tc>
        <w:tc>
          <w:tcPr>
            <w:tcW w:w="7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965,971</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3"/>
                <w:szCs w:val="13"/>
                <w:b w:val="1"/>
                <w:bCs w:val="1"/>
                <w:color w:val="auto"/>
              </w:rPr>
              <w:t>965,971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Equity offering costs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(142)</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216"/>
        </w:trPr>
        <w:tc>
          <w:tcPr>
            <w:tcW w:w="3500" w:type="dxa"/>
            <w:vAlign w:val="bottom"/>
            <w:shd w:val="clear" w:color="auto" w:fill="E5FFFF"/>
          </w:tcPr>
          <w:p>
            <w:pPr>
              <w:spacing w:after="0"/>
              <w:rPr>
                <w:sz w:val="20"/>
                <w:szCs w:val="20"/>
                <w:color w:val="auto"/>
              </w:rPr>
            </w:pPr>
            <w:r>
              <w:rPr>
                <w:rFonts w:ascii="Times New Roman" w:cs="Times New Roman" w:eastAsia="Times New Roman" w:hAnsi="Times New Roman"/>
                <w:sz w:val="13"/>
                <w:szCs w:val="13"/>
                <w:color w:val="auto"/>
              </w:rPr>
              <w:t>Settlement of awards vested during the period</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434,132</w:t>
            </w:r>
          </w:p>
        </w:tc>
        <w:tc>
          <w:tcPr>
            <w:tcW w:w="6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Repurchases of common units (Note 6)</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(191,490)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(996)</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(996)</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(996)</w:t>
            </w:r>
          </w:p>
        </w:tc>
        <w:tc>
          <w:tcPr>
            <w:tcW w:w="0" w:type="dxa"/>
            <w:vAlign w:val="bottom"/>
          </w:tcPr>
          <w:p>
            <w:pPr>
              <w:spacing w:after="0"/>
              <w:rPr>
                <w:sz w:val="1"/>
                <w:szCs w:val="1"/>
                <w:color w:val="auto"/>
              </w:rPr>
            </w:pPr>
          </w:p>
        </w:tc>
      </w:tr>
      <w:tr>
        <w:trPr>
          <w:trHeight w:val="216"/>
        </w:trPr>
        <w:tc>
          <w:tcPr>
            <w:tcW w:w="3500" w:type="dxa"/>
            <w:vAlign w:val="bottom"/>
            <w:shd w:val="clear" w:color="auto" w:fill="E5FFFF"/>
          </w:tcPr>
          <w:p>
            <w:pPr>
              <w:spacing w:after="0"/>
              <w:rPr>
                <w:sz w:val="20"/>
                <w:szCs w:val="20"/>
                <w:color w:val="auto"/>
              </w:rPr>
            </w:pPr>
            <w:r>
              <w:rPr>
                <w:rFonts w:ascii="Times New Roman" w:cs="Times New Roman" w:eastAsia="Times New Roman" w:hAnsi="Times New Roman"/>
                <w:sz w:val="13"/>
                <w:szCs w:val="13"/>
                <w:color w:val="auto"/>
              </w:rPr>
              <w:t>Conversion of Class B units to common units</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415,000</w:t>
            </w:r>
          </w:p>
        </w:tc>
        <w:tc>
          <w:tcPr>
            <w:tcW w:w="6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3"/>
                <w:szCs w:val="13"/>
                <w:color w:val="auto"/>
              </w:rPr>
              <w:t>(415,000)</w:t>
            </w:r>
          </w:p>
        </w:tc>
        <w:tc>
          <w:tcPr>
            <w:tcW w:w="8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Distributions declared (Note 6)</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(829)</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(37,914)</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(22,746)</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(61,489)</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(61,489)</w:t>
            </w:r>
          </w:p>
        </w:tc>
        <w:tc>
          <w:tcPr>
            <w:tcW w:w="0" w:type="dxa"/>
            <w:vAlign w:val="bottom"/>
          </w:tcPr>
          <w:p>
            <w:pPr>
              <w:spacing w:after="0"/>
              <w:rPr>
                <w:sz w:val="1"/>
                <w:szCs w:val="1"/>
                <w:color w:val="auto"/>
              </w:rPr>
            </w:pPr>
          </w:p>
        </w:tc>
      </w:tr>
      <w:tr>
        <w:trPr>
          <w:trHeight w:val="216"/>
        </w:trPr>
        <w:tc>
          <w:tcPr>
            <w:tcW w:w="3500" w:type="dxa"/>
            <w:vAlign w:val="bottom"/>
            <w:shd w:val="clear" w:color="auto" w:fill="E9FFFF"/>
          </w:tcPr>
          <w:p>
            <w:pPr>
              <w:spacing w:after="0"/>
              <w:rPr>
                <w:sz w:val="20"/>
                <w:szCs w:val="20"/>
                <w:color w:val="auto"/>
              </w:rPr>
            </w:pPr>
            <w:r>
              <w:rPr>
                <w:rFonts w:ascii="Times New Roman" w:cs="Times New Roman" w:eastAsia="Times New Roman" w:hAnsi="Times New Roman"/>
                <w:sz w:val="13"/>
                <w:szCs w:val="13"/>
                <w:color w:val="auto"/>
              </w:rPr>
              <w:t>Share-based compensation, net of accrued distribution</w:t>
            </w:r>
          </w:p>
        </w:tc>
        <w:tc>
          <w:tcPr>
            <w:tcW w:w="660" w:type="dxa"/>
            <w:vAlign w:val="bottom"/>
            <w:gridSpan w:val="2"/>
            <w:shd w:val="clear" w:color="auto" w:fill="E9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E9FFFF"/>
          </w:tcPr>
          <w:p>
            <w:pPr>
              <w:jc w:val="right"/>
              <w:ind w:right="120"/>
              <w:spacing w:after="0"/>
              <w:rPr>
                <w:sz w:val="20"/>
                <w:szCs w:val="20"/>
                <w:color w:val="auto"/>
              </w:rPr>
            </w:pPr>
            <w:r>
              <w:rPr>
                <w:rFonts w:ascii="Times New Roman" w:cs="Times New Roman" w:eastAsia="Times New Roman" w:hAnsi="Times New Roman"/>
                <w:sz w:val="13"/>
                <w:szCs w:val="13"/>
                <w:color w:val="auto"/>
              </w:rPr>
              <w:t>34</w:t>
            </w:r>
          </w:p>
        </w:tc>
        <w:tc>
          <w:tcPr>
            <w:tcW w:w="760" w:type="dxa"/>
            <w:vAlign w:val="bottom"/>
            <w:gridSpan w:val="2"/>
            <w:shd w:val="clear" w:color="auto" w:fill="E9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9FFFF"/>
          </w:tcPr>
          <w:p>
            <w:pPr>
              <w:jc w:val="right"/>
              <w:ind w:right="100"/>
              <w:spacing w:after="0"/>
              <w:rPr>
                <w:sz w:val="20"/>
                <w:szCs w:val="20"/>
                <w:color w:val="auto"/>
              </w:rPr>
            </w:pPr>
            <w:r>
              <w:rPr>
                <w:rFonts w:ascii="Times New Roman" w:cs="Times New Roman" w:eastAsia="Times New Roman" w:hAnsi="Times New Roman"/>
                <w:sz w:val="13"/>
                <w:szCs w:val="13"/>
                <w:color w:val="auto"/>
              </w:rPr>
              <w:t>1,565</w:t>
            </w:r>
          </w:p>
        </w:tc>
        <w:tc>
          <w:tcPr>
            <w:tcW w:w="820" w:type="dxa"/>
            <w:vAlign w:val="bottom"/>
            <w:gridSpan w:val="2"/>
            <w:shd w:val="clear" w:color="auto" w:fill="E9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E9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E9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E9FF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E9FFFF"/>
          </w:tcPr>
          <w:p>
            <w:pPr>
              <w:jc w:val="right"/>
              <w:ind w:right="100"/>
              <w:spacing w:after="0"/>
              <w:rPr>
                <w:sz w:val="20"/>
                <w:szCs w:val="20"/>
                <w:color w:val="auto"/>
              </w:rPr>
            </w:pPr>
            <w:r>
              <w:rPr>
                <w:rFonts w:ascii="Times New Roman" w:cs="Times New Roman" w:eastAsia="Times New Roman" w:hAnsi="Times New Roman"/>
                <w:sz w:val="13"/>
                <w:szCs w:val="13"/>
                <w:color w:val="auto"/>
              </w:rPr>
              <w:t>1,599</w:t>
            </w:r>
          </w:p>
        </w:tc>
        <w:tc>
          <w:tcPr>
            <w:tcW w:w="680" w:type="dxa"/>
            <w:vAlign w:val="bottom"/>
            <w:gridSpan w:val="2"/>
            <w:shd w:val="clear" w:color="auto" w:fill="E9FF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3"/>
                <w:szCs w:val="13"/>
                <w:color w:val="auto"/>
              </w:rPr>
              <w:t>1,599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Partnership’s profit and total comprehensive income (Note 14)</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11,256</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22,746</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34,248</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34,248</w:t>
            </w:r>
          </w:p>
        </w:tc>
        <w:tc>
          <w:tcPr>
            <w:tcW w:w="0" w:type="dxa"/>
            <w:vAlign w:val="bottom"/>
          </w:tcPr>
          <w:p>
            <w:pPr>
              <w:spacing w:after="0"/>
              <w:rPr>
                <w:sz w:val="1"/>
                <w:szCs w:val="1"/>
                <w:color w:val="auto"/>
              </w:rPr>
            </w:pPr>
          </w:p>
        </w:tc>
      </w:tr>
      <w:tr>
        <w:trPr>
          <w:trHeight w:val="20"/>
        </w:trPr>
        <w:tc>
          <w:tcPr>
            <w:tcW w:w="3500" w:type="dxa"/>
            <w:vAlign w:val="bottom"/>
            <w:shd w:val="clear" w:color="auto" w:fill="E9FF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E9FF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E9FF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E9FF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E9FF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E9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E9FF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E9FF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E9FF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E9FF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E9FF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shd w:val="clear" w:color="auto" w:fill="E9FF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 2020</w:t>
            </w:r>
          </w:p>
        </w:tc>
        <w:tc>
          <w:tcPr>
            <w:tcW w:w="660" w:type="dxa"/>
            <w:vAlign w:val="bottom"/>
            <w:gridSpan w:val="2"/>
            <w:shd w:val="clear" w:color="auto" w:fill="E9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1,021,336</w:t>
            </w:r>
          </w:p>
        </w:tc>
        <w:tc>
          <w:tcPr>
            <w:tcW w:w="460" w:type="dxa"/>
            <w:vAlign w:val="bottom"/>
            <w:gridSpan w:val="2"/>
            <w:shd w:val="clear" w:color="auto" w:fill="E9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89"/>
              </w:rPr>
              <w:t>10,722</w:t>
            </w:r>
          </w:p>
        </w:tc>
        <w:tc>
          <w:tcPr>
            <w:tcW w:w="760" w:type="dxa"/>
            <w:vAlign w:val="bottom"/>
            <w:gridSpan w:val="2"/>
            <w:shd w:val="clear" w:color="auto" w:fill="E9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47,517,824</w:t>
            </w:r>
          </w:p>
        </w:tc>
        <w:tc>
          <w:tcPr>
            <w:tcW w:w="660" w:type="dxa"/>
            <w:vAlign w:val="bottom"/>
            <w:gridSpan w:val="2"/>
            <w:shd w:val="clear" w:color="auto" w:fill="E9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580,580</w:t>
            </w:r>
          </w:p>
        </w:tc>
        <w:tc>
          <w:tcPr>
            <w:tcW w:w="820" w:type="dxa"/>
            <w:vAlign w:val="bottom"/>
            <w:gridSpan w:val="2"/>
            <w:shd w:val="clear" w:color="auto" w:fill="E9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2,075,000</w:t>
            </w:r>
          </w:p>
        </w:tc>
        <w:tc>
          <w:tcPr>
            <w:tcW w:w="880" w:type="dxa"/>
            <w:vAlign w:val="bottom"/>
            <w:gridSpan w:val="2"/>
            <w:shd w:val="clear" w:color="auto" w:fill="E9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shd w:val="clear" w:color="auto" w:fill="E9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14,350,000</w:t>
            </w:r>
          </w:p>
        </w:tc>
        <w:tc>
          <w:tcPr>
            <w:tcW w:w="660" w:type="dxa"/>
            <w:vAlign w:val="bottom"/>
            <w:gridSpan w:val="2"/>
            <w:shd w:val="clear" w:color="auto" w:fill="E9FF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347,889</w:t>
            </w:r>
          </w:p>
        </w:tc>
        <w:tc>
          <w:tcPr>
            <w:tcW w:w="720" w:type="dxa"/>
            <w:vAlign w:val="bottom"/>
            <w:gridSpan w:val="2"/>
            <w:shd w:val="clear" w:color="auto" w:fill="E9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939,191</w:t>
            </w:r>
          </w:p>
        </w:tc>
        <w:tc>
          <w:tcPr>
            <w:tcW w:w="680" w:type="dxa"/>
            <w:vAlign w:val="bottom"/>
            <w:gridSpan w:val="2"/>
            <w:shd w:val="clear" w:color="auto" w:fill="E9FF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E9FFFF"/>
          </w:tcPr>
          <w:p>
            <w:pPr>
              <w:jc w:val="right"/>
              <w:spacing w:after="0"/>
              <w:rPr>
                <w:sz w:val="20"/>
                <w:szCs w:val="20"/>
                <w:color w:val="auto"/>
              </w:rPr>
            </w:pPr>
            <w:r>
              <w:rPr>
                <w:rFonts w:ascii="Times New Roman" w:cs="Times New Roman" w:eastAsia="Times New Roman" w:hAnsi="Times New Roman"/>
                <w:sz w:val="13"/>
                <w:szCs w:val="13"/>
                <w:b w:val="1"/>
                <w:bCs w:val="1"/>
                <w:color w:val="auto"/>
              </w:rPr>
              <w:t>939,191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E9FFFF"/>
              <w:bottom w:val="single" w:sz="8" w:color="E9FF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________________</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9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9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FF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9FF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9FF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FF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9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Restated so as to reflect an adjustment introduced due to the adoption of International Financial Reporting Standard (“IFRS”) 16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on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p>
      <w:pPr>
        <w:spacing w:after="0" w:line="235" w:lineRule="exact"/>
        <w:rPr>
          <w:sz w:val="20"/>
          <w:szCs w:val="20"/>
          <w:color w:val="auto"/>
        </w:rPr>
      </w:pPr>
    </w:p>
    <w:p>
      <w:pPr>
        <w:ind w:right="3680"/>
        <w:spacing w:after="0" w:line="282" w:lineRule="auto"/>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 For the nine months ended September 30, 2019 and 2020 (All amounts expressed in thousands of U.S. Dollars)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Note</w:t>
            </w:r>
          </w:p>
        </w:tc>
      </w:tr>
      <w:tr>
        <w:trPr>
          <w:trHeight w:val="426"/>
        </w:trPr>
        <w:tc>
          <w:tcPr>
            <w:tcW w:w="7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580" w:type="dxa"/>
            <w:vAlign w:val="bottom"/>
          </w:tcPr>
          <w:p>
            <w:pPr>
              <w:spacing w:after="0"/>
              <w:rPr>
                <w:sz w:val="24"/>
                <w:szCs w:val="24"/>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58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58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58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derivatives held for trading</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Realized foreign exchange losses</w:t>
            </w:r>
          </w:p>
        </w:tc>
        <w:tc>
          <w:tcPr>
            <w:tcW w:w="580" w:type="dxa"/>
            <w:vAlign w:val="bottom"/>
          </w:tcPr>
          <w:p>
            <w:pPr>
              <w:spacing w:after="0"/>
              <w:rPr>
                <w:sz w:val="18"/>
                <w:szCs w:val="18"/>
                <w:color w:val="auto"/>
              </w:rPr>
            </w:pPr>
          </w:p>
        </w:tc>
      </w:tr>
      <w:tr>
        <w:trPr>
          <w:trHeight w:val="432"/>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Movements in working capital</w:t>
            </w:r>
          </w:p>
        </w:tc>
        <w:tc>
          <w:tcPr>
            <w:tcW w:w="580" w:type="dxa"/>
            <w:vAlign w:val="bottom"/>
          </w:tcPr>
          <w:p>
            <w:pPr>
              <w:spacing w:after="0"/>
              <w:rPr>
                <w:sz w:val="24"/>
                <w:szCs w:val="24"/>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provided by operations</w:t>
            </w:r>
          </w:p>
        </w:tc>
        <w:tc>
          <w:tcPr>
            <w:tcW w:w="58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58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580" w:type="dxa"/>
            <w:vAlign w:val="bottom"/>
          </w:tcPr>
          <w:p>
            <w:pPr>
              <w:spacing w:after="0"/>
              <w:rPr>
                <w:sz w:val="18"/>
                <w:szCs w:val="18"/>
                <w:color w:val="auto"/>
              </w:rPr>
            </w:pPr>
          </w:p>
        </w:tc>
      </w:tr>
      <w:tr>
        <w:trPr>
          <w:trHeight w:val="229"/>
        </w:trPr>
        <w:tc>
          <w:tcPr>
            <w:tcW w:w="7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580" w:type="dxa"/>
            <w:vAlign w:val="bottom"/>
          </w:tcPr>
          <w:p>
            <w:pPr>
              <w:spacing w:after="0"/>
              <w:rPr>
                <w:sz w:val="19"/>
                <w:szCs w:val="19"/>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tangible fixed assets</w:t>
            </w:r>
          </w:p>
        </w:tc>
        <w:tc>
          <w:tcPr>
            <w:tcW w:w="58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Return of capital expenditures</w:t>
            </w:r>
          </w:p>
        </w:tc>
        <w:tc>
          <w:tcPr>
            <w:tcW w:w="58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 received</w:t>
            </w:r>
          </w:p>
        </w:tc>
        <w:tc>
          <w:tcPr>
            <w:tcW w:w="58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Maturity of short-term investments</w:t>
            </w:r>
          </w:p>
        </w:tc>
        <w:tc>
          <w:tcPr>
            <w:tcW w:w="58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58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by/(used in) investing activities</w:t>
            </w:r>
          </w:p>
        </w:tc>
        <w:tc>
          <w:tcPr>
            <w:tcW w:w="580" w:type="dxa"/>
            <w:vAlign w:val="bottom"/>
          </w:tcPr>
          <w:p>
            <w:pPr>
              <w:spacing w:after="0"/>
              <w:rPr>
                <w:sz w:val="18"/>
                <w:szCs w:val="18"/>
                <w:color w:val="auto"/>
              </w:rPr>
            </w:pPr>
          </w:p>
        </w:tc>
      </w:tr>
      <w:tr>
        <w:trPr>
          <w:trHeight w:val="230"/>
        </w:trPr>
        <w:tc>
          <w:tcPr>
            <w:tcW w:w="7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580" w:type="dxa"/>
            <w:vAlign w:val="bottom"/>
          </w:tcPr>
          <w:p>
            <w:pPr>
              <w:spacing w:after="0"/>
              <w:rPr>
                <w:sz w:val="19"/>
                <w:szCs w:val="19"/>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Borrowings drawdowns</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Borrowings repayments</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Payment of loan issuance costs</w:t>
            </w:r>
          </w:p>
        </w:tc>
        <w:tc>
          <w:tcPr>
            <w:tcW w:w="58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entering into interest rate swaps</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interest rate swaps termination</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issuances of general partner units</w:t>
            </w:r>
          </w:p>
        </w:tc>
        <w:tc>
          <w:tcPr>
            <w:tcW w:w="58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common units</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Payment of offering costs</w:t>
            </w:r>
          </w:p>
        </w:tc>
        <w:tc>
          <w:tcPr>
            <w:tcW w:w="58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Cash distribution to GasLog in exchange for contribution of net assets</w:t>
            </w:r>
          </w:p>
        </w:tc>
        <w:tc>
          <w:tcPr>
            <w:tcW w:w="580" w:type="dxa"/>
            <w:vAlign w:val="bottom"/>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paid</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-4684395</wp:posOffset>
            </wp:positionV>
            <wp:extent cx="706374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6374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-4401820</wp:posOffset>
            </wp:positionV>
            <wp:extent cx="706374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-4127500</wp:posOffset>
            </wp:positionV>
            <wp:extent cx="706374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-3853180</wp:posOffset>
            </wp:positionV>
            <wp:extent cx="706374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-3578860</wp:posOffset>
            </wp:positionV>
            <wp:extent cx="706374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-3304540</wp:posOffset>
            </wp:positionV>
            <wp:extent cx="706374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-3030220</wp:posOffset>
            </wp:positionV>
            <wp:extent cx="706374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-2755900</wp:posOffset>
            </wp:positionV>
            <wp:extent cx="706374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-2481580</wp:posOffset>
            </wp:positionV>
            <wp:extent cx="706374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6374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-2198370</wp:posOffset>
            </wp:positionV>
            <wp:extent cx="706374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-1924050</wp:posOffset>
            </wp:positionV>
            <wp:extent cx="706374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-1649730</wp:posOffset>
            </wp:positionV>
            <wp:extent cx="706374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-1367155</wp:posOffset>
            </wp:positionV>
            <wp:extent cx="706374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-1092835</wp:posOffset>
            </wp:positionV>
            <wp:extent cx="706374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-818515</wp:posOffset>
            </wp:positionV>
            <wp:extent cx="706374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706374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-269875</wp:posOffset>
            </wp:positionV>
            <wp:extent cx="706374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Payments for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6374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06374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06374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63740" cy="14605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the period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06374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Capital expenditures included in liabilities at the end of the period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Financing costs included in liabilities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6374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Offering costs included in liabilities at the end of the period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Liabilities related to leases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06374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0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Pr>
          <w:p>
            <w:pPr>
              <w:spacing w:after="0"/>
              <w:rPr>
                <w:sz w:val="18"/>
                <w:szCs w:val="18"/>
                <w:color w:val="auto"/>
              </w:rPr>
            </w:pPr>
          </w:p>
        </w:tc>
        <w:tc>
          <w:tcPr>
            <w:tcW w:w="13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5"/>
        </w:trPr>
        <w:tc>
          <w:tcPr>
            <w:tcW w:w="17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71,593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66,826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0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55,650</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(1,558)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6"/>
        </w:trPr>
        <w:tc>
          <w:tcPr>
            <w:tcW w:w="17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16,698</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759</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542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210,510</w:t>
            </w:r>
          </w:p>
        </w:tc>
        <w:tc>
          <w:tcPr>
            <w:tcW w:w="340" w:type="dxa"/>
            <w:vAlign w:val="bottom"/>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167,839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(7,425)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(16,674)</w:t>
            </w:r>
          </w:p>
        </w:tc>
        <w:tc>
          <w:tcPr>
            <w:tcW w:w="0" w:type="dxa"/>
            <w:vAlign w:val="bottom"/>
          </w:tcPr>
          <w:p>
            <w:pPr>
              <w:spacing w:after="0"/>
              <w:rPr>
                <w:sz w:val="1"/>
                <w:szCs w:val="1"/>
                <w:color w:val="auto"/>
              </w:rPr>
            </w:pPr>
          </w:p>
        </w:tc>
      </w:tr>
      <w:tr>
        <w:trPr>
          <w:trHeight w:val="203"/>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203,085</w:t>
            </w:r>
          </w:p>
        </w:tc>
        <w:tc>
          <w:tcPr>
            <w:tcW w:w="3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151,165</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(54,197</w:t>
            </w:r>
          </w:p>
        </w:tc>
        <w:tc>
          <w:tcPr>
            <w:tcW w:w="34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(41,415</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148,888</w:t>
            </w:r>
          </w:p>
        </w:tc>
        <w:tc>
          <w:tcPr>
            <w:tcW w:w="34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109,750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1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(8,637)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(19,002)</w:t>
            </w:r>
          </w:p>
        </w:tc>
        <w:tc>
          <w:tcPr>
            <w:tcW w:w="0" w:type="dxa"/>
            <w:vAlign w:val="bottom"/>
          </w:tcPr>
          <w:p>
            <w:pPr>
              <w:spacing w:after="0"/>
              <w:rPr>
                <w:sz w:val="1"/>
                <w:szCs w:val="1"/>
                <w:color w:val="auto"/>
              </w:rPr>
            </w:pPr>
          </w:p>
        </w:tc>
      </w:tr>
      <w:tr>
        <w:trPr>
          <w:trHeight w:val="216"/>
        </w:trPr>
        <w:tc>
          <w:tcPr>
            <w:tcW w:w="17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7,465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17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1,608</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34,000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1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(33,000)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1,436</w:t>
            </w:r>
          </w:p>
        </w:tc>
        <w:tc>
          <w:tcPr>
            <w:tcW w:w="34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(18,686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419"/>
        </w:trPr>
        <w:tc>
          <w:tcPr>
            <w:tcW w:w="17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435,000</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479,984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(430,085)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(521,880)</w:t>
            </w:r>
          </w:p>
        </w:tc>
        <w:tc>
          <w:tcPr>
            <w:tcW w:w="0" w:type="dxa"/>
            <w:vAlign w:val="bottom"/>
          </w:tcPr>
          <w:p>
            <w:pPr>
              <w:spacing w:after="0"/>
              <w:rPr>
                <w:sz w:val="1"/>
                <w:szCs w:val="1"/>
                <w:color w:val="auto"/>
              </w:rPr>
            </w:pPr>
          </w:p>
        </w:tc>
      </w:tr>
      <w:tr>
        <w:trPr>
          <w:trHeight w:val="216"/>
        </w:trPr>
        <w:tc>
          <w:tcPr>
            <w:tcW w:w="17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(5,185)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(6,914)</w:t>
            </w:r>
          </w:p>
        </w:tc>
        <w:tc>
          <w:tcPr>
            <w:tcW w:w="0" w:type="dxa"/>
            <w:vAlign w:val="bottom"/>
          </w:tcPr>
          <w:p>
            <w:pPr>
              <w:spacing w:after="0"/>
              <w:rPr>
                <w:sz w:val="1"/>
                <w:szCs w:val="1"/>
                <w:color w:val="auto"/>
              </w:rPr>
            </w:pPr>
          </w:p>
        </w:tc>
      </w:tr>
    </w:tbl>
    <w:p>
      <w:pPr>
        <w:ind w:left="1220"/>
        <w:spacing w:after="0"/>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6"/>
          <w:szCs w:val="16"/>
          <w:color w:val="auto"/>
        </w:rPr>
        <w:t>16,056</w:t>
      </w:r>
    </w:p>
    <w:p>
      <w:pPr>
        <w:ind w:left="1220"/>
        <w:spacing w:after="0"/>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5"/>
          <w:szCs w:val="15"/>
          <w:color w:val="auto"/>
        </w:rPr>
        <w:t>(13,210)</w:t>
      </w:r>
    </w:p>
    <w:p>
      <w:pPr>
        <w:ind w:left="1000"/>
        <w:spacing w:after="0" w:line="187" w:lineRule="auto"/>
        <w:rPr>
          <w:sz w:val="20"/>
          <w:szCs w:val="20"/>
          <w:color w:val="auto"/>
        </w:rPr>
      </w:pPr>
      <w:r>
        <w:rPr>
          <w:rFonts w:ascii="Times New Roman" w:cs="Times New Roman" w:eastAsia="Times New Roman" w:hAnsi="Times New Roman"/>
          <w:sz w:val="16"/>
          <w:szCs w:val="16"/>
          <w:color w:val="auto"/>
        </w:rPr>
        <w:t>1,996</w:t>
      </w:r>
      <w:r>
        <w:rPr>
          <w:rFonts w:ascii="Times New Roman" w:cs="Times New Roman" w:eastAsia="Times New Roman" w:hAnsi="Times New Roman"/>
          <w:sz w:val="24"/>
          <w:szCs w:val="24"/>
          <w:color w:val="auto"/>
          <w:vertAlign w:val="subscript"/>
        </w:rPr>
        <w:t>—</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99"/>
        </w:trPr>
        <w:tc>
          <w:tcPr>
            <w:tcW w:w="12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(20,030)</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r>
      <w:tr>
        <w:trPr>
          <w:trHeight w:val="210"/>
        </w:trPr>
        <w:tc>
          <w:tcPr>
            <w:tcW w:w="12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(1,584)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22"/>
        </w:trPr>
        <w:tc>
          <w:tcPr>
            <w:tcW w:w="12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(93,646)</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12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8"/>
              </w:rPr>
              <w:t>(103,934)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(61,489)</w:t>
            </w:r>
          </w:p>
        </w:tc>
      </w:tr>
    </w:tbl>
    <w:p>
      <w:pPr>
        <w:spacing w:after="0" w:line="6" w:lineRule="exact"/>
        <w:rPr>
          <w:sz w:val="20"/>
          <w:szCs w:val="20"/>
          <w:color w:val="auto"/>
        </w:rPr>
      </w:pPr>
    </w:p>
    <w:p>
      <w:pPr>
        <w:ind w:left="2740" w:hanging="1679"/>
        <w:spacing w:after="0"/>
        <w:tabs>
          <w:tab w:leader="none" w:pos="27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(419)</w:t>
      </w:r>
    </w:p>
    <w:p>
      <w:pPr>
        <w:spacing w:after="0" w:line="37" w:lineRule="exact"/>
        <w:rPr>
          <w:rFonts w:ascii="Times New Roman" w:cs="Times New Roman" w:eastAsia="Times New Roman" w:hAnsi="Times New Roman"/>
          <w:sz w:val="15"/>
          <w:szCs w:val="15"/>
          <w:color w:val="auto"/>
        </w:rPr>
      </w:pPr>
    </w:p>
    <w:p>
      <w:pPr>
        <w:ind w:left="7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b w:val="1"/>
          <w:bCs w:val="1"/>
          <w:color w:val="auto"/>
        </w:rPr>
        <w:t>(217,871)</w:t>
      </w:r>
      <w:r>
        <w:rPr>
          <w:rFonts w:ascii="Times New Roman" w:cs="Times New Roman" w:eastAsia="Times New Roman" w:hAnsi="Times New Roman"/>
          <w:sz w:val="15"/>
          <w:szCs w:val="15"/>
          <w:b w:val="1"/>
          <w:bCs w:val="1"/>
          <w:color w:val="auto"/>
        </w:rPr>
        <w:t>(108,987)</w:t>
      </w:r>
    </w:p>
    <w:p>
      <w:pPr>
        <w:spacing w:after="0" w:line="32" w:lineRule="exact"/>
        <w:rPr>
          <w:rFonts w:ascii="Times New Roman" w:cs="Times New Roman" w:eastAsia="Times New Roman" w:hAnsi="Times New Roman"/>
          <w:sz w:val="15"/>
          <w:szCs w:val="15"/>
          <w:color w:val="auto"/>
        </w:rPr>
      </w:pPr>
    </w:p>
    <w:p>
      <w:pPr>
        <w:ind w:left="8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b w:val="1"/>
          <w:bCs w:val="1"/>
          <w:color w:val="auto"/>
        </w:rPr>
        <w:t>(67,547)</w:t>
      </w:r>
      <w:r>
        <w:rPr>
          <w:rFonts w:ascii="Times New Roman" w:cs="Times New Roman" w:eastAsia="Times New Roman" w:hAnsi="Times New Roman"/>
          <w:sz w:val="15"/>
          <w:szCs w:val="15"/>
          <w:b w:val="1"/>
          <w:bCs w:val="1"/>
          <w:color w:val="auto"/>
        </w:rPr>
        <w:t>(17,923)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19202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133,370</w:t>
            </w:r>
          </w:p>
        </w:tc>
        <w:tc>
          <w:tcPr>
            <w:tcW w:w="34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96,884</w:t>
            </w:r>
          </w:p>
        </w:tc>
      </w:tr>
      <w:tr>
        <w:trPr>
          <w:trHeight w:val="196"/>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65,823</w:t>
            </w:r>
          </w:p>
        </w:tc>
        <w:tc>
          <w:tcPr>
            <w:tcW w:w="34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78,961</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09"/>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8,256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w:t>
            </w:r>
          </w:p>
        </w:tc>
      </w:tr>
      <w:tr>
        <w:trPr>
          <w:trHeight w:val="216"/>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6"/>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18</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6"/>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33</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ectPr>
          <w:pgSz w:w="11900" w:h="16838" w:orient="portrait"/>
          <w:cols w:equalWidth="0" w:num="2">
            <w:col w:w="7780" w:space="320"/>
            <w:col w:w="3080"/>
          </w:cols>
          <w:pgMar w:left="320" w:top="69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691" w:right="3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GasLog Partners LP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2019 and 2020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 except unit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Organization and Operations</w:t>
      </w:r>
    </w:p>
    <w:p>
      <w:pPr>
        <w:spacing w:after="0" w:line="237" w:lineRule="exact"/>
        <w:rPr>
          <w:sz w:val="20"/>
          <w:szCs w:val="20"/>
          <w:color w:val="auto"/>
        </w:rPr>
      </w:pPr>
    </w:p>
    <w:p>
      <w:pPr>
        <w:ind w:right="320" w:firstLine="324"/>
        <w:spacing w:after="0" w:line="281" w:lineRule="auto"/>
        <w:rPr>
          <w:sz w:val="20"/>
          <w:szCs w:val="20"/>
          <w:color w:val="auto"/>
        </w:rPr>
      </w:pPr>
      <w:r>
        <w:rPr>
          <w:rFonts w:ascii="Times New Roman" w:cs="Times New Roman" w:eastAsia="Times New Roman" w:hAnsi="Times New Roman"/>
          <w:sz w:val="16"/>
          <w:szCs w:val="16"/>
          <w:color w:val="auto"/>
        </w:rPr>
        <w:t>GasLog Partners LP (“GasLog Partners” or the “Partnership”) was formed as a limited partnership under the laws of the Marshall Islands on January 23, 2014, as a wholly owned subsidiary of GasLog for the purpose of initially acquiring the interests in three liquefied natural gas (“LNG”) carriers (or the “Initial Fleet”) that were contributed to the Partnership by GasLog in connection with the initial public offering of its common units (the “IPO”).</w:t>
      </w:r>
    </w:p>
    <w:p>
      <w:pPr>
        <w:spacing w:after="0" w:line="177"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 xml:space="preserve">On April 1, 2019, GasLog Partners acquired 100% of the ownership interests in GAS-twelve Ltd., the entity that owns a 174,000 cubic meters (“cbm”) LNG carrier, the </w:t>
      </w:r>
      <w:r>
        <w:rPr>
          <w:rFonts w:ascii="Times New Roman" w:cs="Times New Roman" w:eastAsia="Times New Roman" w:hAnsi="Times New Roman"/>
          <w:sz w:val="16"/>
          <w:szCs w:val="16"/>
          <w:i w:val="1"/>
          <w:iCs w:val="1"/>
          <w:color w:val="auto"/>
        </w:rPr>
        <w:t>GasLog Glasgow</w:t>
      </w:r>
      <w:r>
        <w:rPr>
          <w:rFonts w:ascii="Times New Roman" w:cs="Times New Roman" w:eastAsia="Times New Roman" w:hAnsi="Times New Roman"/>
          <w:sz w:val="16"/>
          <w:szCs w:val="16"/>
          <w:color w:val="auto"/>
        </w:rPr>
        <w:t>, for an aggregate purchase price of $214,000.</w:t>
      </w:r>
    </w:p>
    <w:p>
      <w:pPr>
        <w:spacing w:after="0" w:line="164" w:lineRule="exact"/>
        <w:rPr>
          <w:sz w:val="20"/>
          <w:szCs w:val="20"/>
          <w:color w:val="auto"/>
        </w:rPr>
      </w:pPr>
    </w:p>
    <w:p>
      <w:pPr>
        <w:jc w:val="both"/>
        <w:ind w:right="100" w:firstLine="324"/>
        <w:spacing w:after="0" w:line="281" w:lineRule="auto"/>
        <w:rPr>
          <w:sz w:val="20"/>
          <w:szCs w:val="20"/>
          <w:color w:val="auto"/>
        </w:rPr>
      </w:pPr>
      <w:r>
        <w:rPr>
          <w:rFonts w:ascii="Times New Roman" w:cs="Times New Roman" w:eastAsia="Times New Roman" w:hAnsi="Times New Roman"/>
          <w:sz w:val="16"/>
          <w:szCs w:val="16"/>
          <w:color w:val="auto"/>
        </w:rPr>
        <w:t>The above acquisition was accounted for as a reorganization of companies under common control. The Partnership’s historical results and net assets were retroactively restated to reflect the historical results of the acquired entity from its date of incorporation by GasLog. The carrying amounts of assets and liabilities included are based on the historical carrying amounts of such assets and liabilities recognized by the subsidiary.</w:t>
      </w:r>
    </w:p>
    <w:p>
      <w:pPr>
        <w:spacing w:after="0" w:line="177" w:lineRule="exact"/>
        <w:rPr>
          <w:sz w:val="20"/>
          <w:szCs w:val="20"/>
          <w:color w:val="auto"/>
        </w:rPr>
      </w:pPr>
    </w:p>
    <w:p>
      <w:pPr>
        <w:ind w:right="260" w:firstLine="324"/>
        <w:spacing w:after="0" w:line="281" w:lineRule="auto"/>
        <w:rPr>
          <w:sz w:val="20"/>
          <w:szCs w:val="20"/>
          <w:color w:val="auto"/>
        </w:rPr>
      </w:pPr>
      <w:r>
        <w:rPr>
          <w:rFonts w:ascii="Times New Roman" w:cs="Times New Roman" w:eastAsia="Times New Roman" w:hAnsi="Times New Roman"/>
          <w:sz w:val="16"/>
          <w:szCs w:val="16"/>
          <w:color w:val="auto"/>
        </w:rPr>
        <w:t>As of September 30, 2020, GasLog holds a 35.3% ownership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177"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6"/>
          <w:szCs w:val="16"/>
          <w:color w:val="auto"/>
        </w:rPr>
        <w:t>The Partnership’s principal business is the acquisition and operation of its 15 vessels in the LNG market, providing LNG transportation services on a worldwide basis primarily under multi-year charters. GasLog LNG Services Ltd. (“GasLog LNG Services” or the “Manager”), a related party and a wholly owned subsidiary of GasLog, incorporated under the laws of the Bermuda, provides technical services to the Partnership.</w:t>
      </w:r>
    </w:p>
    <w:p>
      <w:pPr>
        <w:spacing w:after="0" w:line="177" w:lineRule="exact"/>
        <w:rPr>
          <w:sz w:val="20"/>
          <w:szCs w:val="20"/>
          <w:color w:val="auto"/>
        </w:rPr>
      </w:pPr>
    </w:p>
    <w:p>
      <w:pPr>
        <w:ind w:right="280" w:firstLine="324"/>
        <w:spacing w:after="0" w:line="298"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include the financial statements of GasLog Partners and its subsidiaries, which are 100% owned by the Partnership. No new subsidiaries were established or acquired in the nine months ended September 30,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w:t>
      </w:r>
    </w:p>
    <w:p>
      <w:pPr>
        <w:spacing w:after="0" w:line="235" w:lineRule="exact"/>
        <w:rPr>
          <w:sz w:val="20"/>
          <w:szCs w:val="20"/>
          <w:color w:val="auto"/>
        </w:rPr>
      </w:pPr>
    </w:p>
    <w:p>
      <w:pPr>
        <w:ind w:right="100" w:firstLine="324"/>
        <w:spacing w:after="0" w:line="273" w:lineRule="auto"/>
        <w:rPr>
          <w:sz w:val="20"/>
          <w:szCs w:val="20"/>
          <w:color w:val="auto"/>
        </w:rPr>
      </w:pPr>
      <w:r>
        <w:rPr>
          <w:rFonts w:ascii="Times New Roman" w:cs="Times New Roman" w:eastAsia="Times New Roman" w:hAnsi="Times New Roman"/>
          <w:sz w:val="16"/>
          <w:szCs w:val="16"/>
          <w:color w:val="auto"/>
        </w:rPr>
        <w:t xml:space="preserve">These unaudited condensed consolidated financial statements have been prepared in accordance with International Accounting Standard (“IAS”) 34 </w:t>
      </w:r>
      <w:r>
        <w:rPr>
          <w:rFonts w:ascii="Times New Roman" w:cs="Times New Roman" w:eastAsia="Times New Roman" w:hAnsi="Times New Roman"/>
          <w:sz w:val="16"/>
          <w:szCs w:val="16"/>
          <w:i w:val="1"/>
          <w:iCs w:val="1"/>
          <w:color w:val="auto"/>
        </w:rPr>
        <w:t>Interim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Reporting </w:t>
      </w:r>
      <w:r>
        <w:rPr>
          <w:rFonts w:ascii="Times New Roman" w:cs="Times New Roman" w:eastAsia="Times New Roman" w:hAnsi="Times New Roman"/>
          <w:sz w:val="16"/>
          <w:szCs w:val="16"/>
          <w:color w:val="auto"/>
        </w:rPr>
        <w:t>as issued by the International Accounting Standards Board (“IASB”). Certain information and footnote disclosures required by IFRS for a complete set of annual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statements have been omitted, and, therefore, these unaudited condensed consolidated financial statements should be read in conjunction with the Partnership’s annual consolidated financial statements for the year ended December 31, 2019, filed on an Annual Report on Form 20-F with the Securities Exchange Commission on March 3, 2020.</w:t>
      </w:r>
    </w:p>
    <w:p>
      <w:pPr>
        <w:spacing w:after="0" w:line="184" w:lineRule="exact"/>
        <w:rPr>
          <w:sz w:val="20"/>
          <w:szCs w:val="20"/>
          <w:color w:val="auto"/>
        </w:rPr>
      </w:pPr>
    </w:p>
    <w:p>
      <w:pPr>
        <w:ind w:right="760" w:firstLine="324"/>
        <w:spacing w:after="0" w:line="298"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include the accounts of the Partnership and its subsidiaries assuming that they are consolidated for all periods presented, as they were under the common control of GasLog.</w:t>
      </w:r>
    </w:p>
    <w:p>
      <w:pPr>
        <w:spacing w:after="0" w:line="164" w:lineRule="exact"/>
        <w:rPr>
          <w:sz w:val="20"/>
          <w:szCs w:val="20"/>
          <w:color w:val="auto"/>
        </w:rPr>
      </w:pPr>
    </w:p>
    <w:p>
      <w:pPr>
        <w:ind w:right="120" w:firstLine="324"/>
        <w:spacing w:after="0" w:line="275" w:lineRule="auto"/>
        <w:rPr>
          <w:sz w:val="20"/>
          <w:szCs w:val="20"/>
          <w:color w:val="auto"/>
        </w:rPr>
      </w:pPr>
      <w:r>
        <w:rPr>
          <w:rFonts w:ascii="Times New Roman" w:cs="Times New Roman" w:eastAsia="Times New Roman" w:hAnsi="Times New Roman"/>
          <w:sz w:val="16"/>
          <w:szCs w:val="16"/>
          <w:color w:val="auto"/>
        </w:rPr>
        <w:t>The unaudited condensed consolidated financial statements have been prepared on the historical cost basis. The same accounting policies and methods of computation have been followed in these unaudited condensed consolidated financial statements as applied in the preparation of the Partnership’s consolidated financial statements for the year ended December 31, 2019. On November 10, 2020, the Partnership’s board of directors authorized the unaudited condensed consolidated financial statements for issuance.</w:t>
      </w:r>
    </w:p>
    <w:p>
      <w:pPr>
        <w:spacing w:after="0" w:line="183" w:lineRule="exact"/>
        <w:rPr>
          <w:sz w:val="20"/>
          <w:szCs w:val="20"/>
          <w:color w:val="auto"/>
        </w:rPr>
      </w:pPr>
    </w:p>
    <w:p>
      <w:pPr>
        <w:ind w:right="220" w:firstLine="324"/>
        <w:spacing w:after="0" w:line="298" w:lineRule="auto"/>
        <w:rPr>
          <w:sz w:val="20"/>
          <w:szCs w:val="20"/>
          <w:color w:val="auto"/>
        </w:rPr>
      </w:pPr>
      <w:r>
        <w:rPr>
          <w:rFonts w:ascii="Times New Roman" w:cs="Times New Roman" w:eastAsia="Times New Roman" w:hAnsi="Times New Roman"/>
          <w:sz w:val="16"/>
          <w:szCs w:val="16"/>
          <w:color w:val="auto"/>
        </w:rPr>
        <w:t>The critical accounting judgments and key sources of estimation uncertainty were disclosed in the Partnership’s annual consolidated financial statements for the year ended December 31, 2019 and remain unchanged.</w:t>
      </w:r>
    </w:p>
    <w:p>
      <w:pPr>
        <w:spacing w:after="0" w:line="164"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are expressed in thousands of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77"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6"/>
          <w:szCs w:val="16"/>
          <w:color w:val="auto"/>
        </w:rPr>
        <w:t>As of September 30, 2020, the Partnership’s current assets totaled $106,747 while current liabilities totaled $179,770, resulting in a negative working capital position of $73,023. Current liabilities include an amount of $25,103 of unearned revenue in relation to vessel hires received in advance (which represents a non-cash liability that will be recognized as revenues after September 30, 2020 as the services are rendered). In considering going concern, management has reviewed the Partnership’s future cash requirements, covenant compliance and earnings projections, incorporating the negative impact of the COVID-19 pandemic on near-term market rates.</w:t>
      </w:r>
    </w:p>
    <w:p>
      <w:pPr>
        <w:spacing w:after="0" w:line="183"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6"/>
          <w:szCs w:val="16"/>
          <w:color w:val="auto"/>
        </w:rPr>
        <w:t>Management monitors the Partnership’s liquidity position throughout the year to ensure that it has access to sufficient funds to meet its forecast cash requirements, including debt service commitments, and to monitor compliance with the financial covenants within its loan facilities. Taking into account current and expected volatile commercial and financial market conditions, management anticipates that the Partnership’s primary sources of funds over the next twelve months will be available cash, cash from operations and existing debt facilities. Management believes that these anticipated sources of funds, as well as its decision to decrease the common unit distributions and preserve liquidity, will be sufficient for the Partnership to meet its liquidity needs and to comply with its banking covenants for at least twelve months from the end of the reporting period and therefore it is appropriate to prepare the financial statements on a going concern basis. Additionally, the Partnership may enter into new debt facilities in the future, as well as public equity or debt instruments, although there can be no assurance that the Partnership will be able to obtain additional debt or equity financing on terms acceptable to the Partnership, which will also depend on financial, commercial and other factors, as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30" w:name="page31"/>
    <w:bookmarkEnd w:id="30"/>
    <w:p>
      <w:pPr>
        <w:ind w:right="240"/>
        <w:spacing w:after="0" w:line="275" w:lineRule="auto"/>
        <w:rPr>
          <w:sz w:val="20"/>
          <w:szCs w:val="20"/>
          <w:color w:val="auto"/>
        </w:rPr>
      </w:pPr>
      <w:r>
        <w:rPr>
          <w:rFonts w:ascii="Times New Roman" w:cs="Times New Roman" w:eastAsia="Times New Roman" w:hAnsi="Times New Roman"/>
          <w:sz w:val="16"/>
          <w:szCs w:val="16"/>
          <w:color w:val="auto"/>
        </w:rPr>
        <w:t>well as a significant recovery in capital market conditions and a sustainable improvement in the LNG charter market, that are beyond our control. The Partnership’s long-term ability to repay its debts and maintain compliance with its debt covenants beyond the next twelve months without reliance on additional sources of finance is also dependent on a sustainable longer-term recovery in the LNG charter market from the market disruption observed in the first half of 2020 as a result of the COVID-19 outbreak.</w:t>
      </w:r>
    </w:p>
    <w:p>
      <w:pPr>
        <w:spacing w:after="0" w:line="183"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6"/>
          <w:szCs w:val="16"/>
          <w:color w:val="auto"/>
        </w:rPr>
        <w:t>The Partnership keeps under constant review the possible implications of the COVID-19 outbreak and the associated effects on the LNG shipping market to allow current assessments of the impact of the virus to be incorporated into the latest full-year estimates in order to identify risks to future liquidity and covenant compliance and to enable management to pursue corrective actions, if required.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Adoption of new and revised IFRS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Standards and interpretations adopted in the current period</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standards and amendments relevant to the Partnership were effective in the current period:</w:t>
      </w:r>
    </w:p>
    <w:p>
      <w:pPr>
        <w:spacing w:after="0" w:line="233"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6"/>
          <w:szCs w:val="16"/>
          <w:color w:val="auto"/>
        </w:rPr>
        <w:t xml:space="preserve">In October 2018, the IASB issued amendments to IFRS 3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with respect to the definition of a business. The amendments are intended to assist entities to determine whether a transaction should be accounted for as a business combination or as an asset acquisition. The amendments clarify the minimum requirements for a business, remove the assessment of whether market participants are capable of replacing any missing elements, add guidance to help entities assess whether an acquired process is substantive, narrow the definitions of a business and of outputs and introduce an optional fair value concentration test. The adoption of this standard on January 1, 2020 did not have a material impact on the Partnership’s financial statements, since the acquisitions of vessel-owning entities from GasLog continue to be assessed as business acquisitions under the revised definition as well.</w:t>
      </w:r>
    </w:p>
    <w:p>
      <w:pPr>
        <w:spacing w:after="0" w:line="186" w:lineRule="exact"/>
        <w:rPr>
          <w:sz w:val="20"/>
          <w:szCs w:val="20"/>
          <w:color w:val="auto"/>
        </w:rPr>
      </w:pPr>
    </w:p>
    <w:p>
      <w:pPr>
        <w:ind w:right="680" w:firstLine="324"/>
        <w:spacing w:after="0" w:line="298" w:lineRule="auto"/>
        <w:rPr>
          <w:sz w:val="20"/>
          <w:szCs w:val="20"/>
          <w:color w:val="auto"/>
        </w:rPr>
      </w:pPr>
      <w:r>
        <w:rPr>
          <w:rFonts w:ascii="Times New Roman" w:cs="Times New Roman" w:eastAsia="Times New Roman" w:hAnsi="Times New Roman"/>
          <w:sz w:val="16"/>
          <w:szCs w:val="16"/>
          <w:color w:val="auto"/>
        </w:rPr>
        <w:t>All other IFRS standards and amendments that became effective in the current period are not relevant to the Partnership or are not material with respect to the Partnership’s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Standards and amendments in issue not yet adopted</w:t>
      </w:r>
    </w:p>
    <w:p>
      <w:pPr>
        <w:spacing w:after="0" w:line="235" w:lineRule="exact"/>
        <w:rPr>
          <w:sz w:val="20"/>
          <w:szCs w:val="20"/>
          <w:color w:val="auto"/>
        </w:rPr>
      </w:pPr>
    </w:p>
    <w:p>
      <w:pPr>
        <w:ind w:right="100" w:firstLine="324"/>
        <w:spacing w:after="0" w:line="271" w:lineRule="auto"/>
        <w:rPr>
          <w:sz w:val="20"/>
          <w:szCs w:val="20"/>
          <w:color w:val="auto"/>
        </w:rPr>
      </w:pPr>
      <w:r>
        <w:rPr>
          <w:rFonts w:ascii="Times New Roman" w:cs="Times New Roman" w:eastAsia="Times New Roman" w:hAnsi="Times New Roman"/>
          <w:sz w:val="16"/>
          <w:szCs w:val="16"/>
          <w:color w:val="auto"/>
        </w:rPr>
        <w:t xml:space="preserve">In January 2020, the IASB issued a narrow-scope amendment to IAS 1 </w:t>
      </w:r>
      <w:r>
        <w:rPr>
          <w:rFonts w:ascii="Times New Roman" w:cs="Times New Roman" w:eastAsia="Times New Roman" w:hAnsi="Times New Roman"/>
          <w:sz w:val="16"/>
          <w:szCs w:val="16"/>
          <w:i w:val="1"/>
          <w:iCs w:val="1"/>
          <w:color w:val="auto"/>
        </w:rPr>
        <w:t>Presentation of Financial Statements</w:t>
      </w:r>
      <w:r>
        <w:rPr>
          <w:rFonts w:ascii="Times New Roman" w:cs="Times New Roman" w:eastAsia="Times New Roman" w:hAnsi="Times New Roman"/>
          <w:sz w:val="16"/>
          <w:szCs w:val="16"/>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defines the “settlement” of a liability as the extinguishment of a liability with cash, other economic resources or an entity’s own equity instruments. The amendment will be effective for annual periods beginning on or after January 1, 2022 and should be applied retrospectively in accordance with IAS 8 </w:t>
      </w:r>
      <w:r>
        <w:rPr>
          <w:rFonts w:ascii="Times New Roman" w:cs="Times New Roman" w:eastAsia="Times New Roman" w:hAnsi="Times New Roman"/>
          <w:sz w:val="16"/>
          <w:szCs w:val="16"/>
          <w:i w:val="1"/>
          <w:iCs w:val="1"/>
          <w:color w:val="auto"/>
        </w:rPr>
        <w:t>Accounting Policies, Changes in Accounting Estimates and Errors</w:t>
      </w:r>
      <w:r>
        <w:rPr>
          <w:rFonts w:ascii="Times New Roman" w:cs="Times New Roman" w:eastAsia="Times New Roman" w:hAnsi="Times New Roman"/>
          <w:sz w:val="16"/>
          <w:szCs w:val="16"/>
          <w:color w:val="auto"/>
        </w:rPr>
        <w:t>. Earlier application is permitted. Management anticipates that this amendment will not have a material impact on the Partnership’s financial statements.</w:t>
      </w:r>
    </w:p>
    <w:p>
      <w:pPr>
        <w:spacing w:after="0" w:line="186" w:lineRule="exact"/>
        <w:rPr>
          <w:sz w:val="20"/>
          <w:szCs w:val="20"/>
          <w:color w:val="auto"/>
        </w:rPr>
      </w:pPr>
    </w:p>
    <w:p>
      <w:pPr>
        <w:ind w:right="120" w:firstLine="324"/>
        <w:spacing w:after="0" w:line="298" w:lineRule="auto"/>
        <w:rPr>
          <w:sz w:val="20"/>
          <w:szCs w:val="20"/>
          <w:color w:val="auto"/>
        </w:rPr>
      </w:pPr>
      <w:r>
        <w:rPr>
          <w:rFonts w:ascii="Times New Roman" w:cs="Times New Roman" w:eastAsia="Times New Roman" w:hAnsi="Times New Roman"/>
          <w:sz w:val="16"/>
          <w:szCs w:val="16"/>
          <w:color w:val="auto"/>
        </w:rPr>
        <w:t>At the date of authorization of these unaudited condensed consolidated financial statements, there were no IFRS standards and amendments issued but not yet adopted with an expected material effect on the Partnership’s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Related party transactions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Partnership has the following balances with related parties, which have been included in the unaudited condensed consolidated statements of financial position: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2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Amounts due from related parties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8020" w:type="dxa"/>
            <w:vAlign w:val="bottom"/>
            <w:tcBorders>
              <w:bottom w:val="single" w:sz="8" w:color="E5FFFF"/>
            </w:tcBorders>
          </w:tcPr>
          <w:p>
            <w:pPr>
              <w:spacing w:after="0"/>
              <w:rPr>
                <w:sz w:val="19"/>
                <w:szCs w:val="19"/>
                <w:color w:val="auto"/>
              </w:rPr>
            </w:pPr>
          </w:p>
        </w:tc>
        <w:tc>
          <w:tcPr>
            <w:tcW w:w="1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2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0" w:type="dxa"/>
            <w:vAlign w:val="bottom"/>
          </w:tcPr>
          <w:p>
            <w:pPr>
              <w:spacing w:after="0"/>
              <w:rPr>
                <w:sz w:val="19"/>
                <w:szCs w:val="19"/>
                <w:color w:val="auto"/>
              </w:rPr>
            </w:pPr>
          </w:p>
        </w:tc>
      </w:tr>
      <w:tr>
        <w:trPr>
          <w:trHeight w:val="226"/>
        </w:trPr>
        <w:tc>
          <w:tcPr>
            <w:tcW w:w="8020" w:type="dxa"/>
            <w:vAlign w:val="bottom"/>
            <w:shd w:val="clear" w:color="auto" w:fill="E5FFFF"/>
          </w:tcPr>
          <w:p>
            <w:pPr>
              <w:spacing w:after="0" w:line="226" w:lineRule="exact"/>
              <w:rPr>
                <w:sz w:val="20"/>
                <w:szCs w:val="20"/>
                <w:color w:val="auto"/>
              </w:rPr>
            </w:pPr>
            <w:r>
              <w:rPr>
                <w:rFonts w:ascii="Times New Roman" w:cs="Times New Roman" w:eastAsia="Times New Roman" w:hAnsi="Times New Roman"/>
                <w:sz w:val="16"/>
                <w:szCs w:val="16"/>
                <w:color w:val="auto"/>
              </w:rPr>
              <w:t xml:space="preserve">Due from GasLog LNG Services </w:t>
            </w:r>
            <w:r>
              <w:rPr>
                <w:rFonts w:ascii="Times New Roman" w:cs="Times New Roman" w:eastAsia="Times New Roman" w:hAnsi="Times New Roman"/>
                <w:sz w:val="26"/>
                <w:szCs w:val="26"/>
                <w:color w:val="auto"/>
                <w:vertAlign w:val="superscript"/>
              </w:rPr>
              <w:t>(a)</w:t>
            </w:r>
          </w:p>
        </w:tc>
        <w:tc>
          <w:tcPr>
            <w:tcW w:w="1780" w:type="dxa"/>
            <w:vAlign w:val="bottom"/>
            <w:gridSpan w:val="2"/>
            <w:shd w:val="clear" w:color="auto" w:fill="E5FF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20" w:type="dxa"/>
            <w:vAlign w:val="bottom"/>
          </w:tcPr>
          <w:p>
            <w:pPr>
              <w:spacing w:after="0"/>
              <w:rPr>
                <w:sz w:val="19"/>
                <w:szCs w:val="19"/>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60" w:type="dxa"/>
            <w:vAlign w:val="bottom"/>
            <w:tcBorders>
              <w:top w:val="single" w:sz="8" w:color="auto"/>
              <w:bottom w:val="single" w:sz="8" w:color="auto"/>
            </w:tcBorders>
          </w:tcPr>
          <w:p>
            <w:pPr>
              <w:ind w:left="140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1,873</w:t>
            </w:r>
          </w:p>
        </w:tc>
        <w:tc>
          <w:tcPr>
            <w:tcW w:w="20" w:type="dxa"/>
            <w:vAlign w:val="bottom"/>
            <w:tcBorders>
              <w:bottom w:val="single" w:sz="8" w:color="auto"/>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balance represents mainly net amounts advanced to GasLog LNG Services to cover future operating expenses of the Partnership.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20" w:type="dxa"/>
            <w:vAlign w:val="bottom"/>
          </w:tcPr>
          <w:p>
            <w:pPr>
              <w:ind w:left="80"/>
              <w:spacing w:after="0"/>
              <w:rPr>
                <w:sz w:val="20"/>
                <w:szCs w:val="20"/>
                <w:color w:val="auto"/>
              </w:rPr>
            </w:pPr>
            <w:r>
              <w:rPr>
                <w:rFonts w:ascii="Times New Roman" w:cs="Times New Roman" w:eastAsia="Times New Roman" w:hAnsi="Times New Roman"/>
                <w:sz w:val="16"/>
                <w:szCs w:val="16"/>
                <w:b w:val="1"/>
                <w:bCs w:val="1"/>
                <w:i w:val="1"/>
                <w:iCs w:val="1"/>
                <w:color w:val="auto"/>
              </w:rPr>
              <w:t>Amounts due to related parties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8020" w:type="dxa"/>
            <w:vAlign w:val="bottom"/>
          </w:tcPr>
          <w:p>
            <w:pPr>
              <w:spacing w:after="0"/>
              <w:rPr>
                <w:sz w:val="19"/>
                <w:szCs w:val="19"/>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26"/>
        </w:trPr>
        <w:tc>
          <w:tcPr>
            <w:tcW w:w="8020" w:type="dxa"/>
            <w:vAlign w:val="bottom"/>
            <w:tcBorders>
              <w:top w:val="single" w:sz="8" w:color="E5FFFF"/>
            </w:tcBorders>
            <w:shd w:val="clear" w:color="auto" w:fill="E5FFFF"/>
          </w:tcPr>
          <w:p>
            <w:pPr>
              <w:spacing w:after="0" w:line="226" w:lineRule="exact"/>
              <w:rPr>
                <w:sz w:val="20"/>
                <w:szCs w:val="20"/>
                <w:color w:val="auto"/>
              </w:rPr>
            </w:pPr>
            <w:r>
              <w:rPr>
                <w:rFonts w:ascii="Times New Roman" w:cs="Times New Roman" w:eastAsia="Times New Roman" w:hAnsi="Times New Roman"/>
                <w:sz w:val="16"/>
                <w:szCs w:val="16"/>
                <w:color w:val="auto"/>
              </w:rPr>
              <w:t xml:space="preserve">Due to GasLog LNG Services </w:t>
            </w:r>
            <w:r>
              <w:rPr>
                <w:rFonts w:ascii="Times New Roman" w:cs="Times New Roman" w:eastAsia="Times New Roman" w:hAnsi="Times New Roman"/>
                <w:sz w:val="26"/>
                <w:szCs w:val="26"/>
                <w:color w:val="auto"/>
                <w:vertAlign w:val="superscript"/>
              </w:rPr>
              <w:t>(b)</w:t>
            </w:r>
          </w:p>
        </w:tc>
        <w:tc>
          <w:tcPr>
            <w:tcW w:w="15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4,908</w:t>
            </w:r>
          </w:p>
        </w:tc>
        <w:tc>
          <w:tcPr>
            <w:tcW w:w="220" w:type="dxa"/>
            <w:vAlign w:val="bottom"/>
            <w:tcBorders>
              <w:top w:val="single" w:sz="8" w:color="E5FFFF"/>
            </w:tcBorders>
            <w:shd w:val="clear" w:color="auto" w:fill="E5FFFF"/>
          </w:tcPr>
          <w:p>
            <w:pPr>
              <w:spacing w:after="0"/>
              <w:rPr>
                <w:sz w:val="19"/>
                <w:szCs w:val="19"/>
                <w:color w:val="auto"/>
              </w:rPr>
            </w:pPr>
          </w:p>
        </w:tc>
        <w:tc>
          <w:tcPr>
            <w:tcW w:w="14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8020" w:type="dxa"/>
            <w:vAlign w:val="bottom"/>
            <w:tcBorders>
              <w:bottom w:val="single" w:sz="8" w:color="E5FFFF"/>
            </w:tcBorders>
          </w:tcPr>
          <w:p>
            <w:pPr>
              <w:spacing w:after="0" w:line="243" w:lineRule="exact"/>
              <w:rPr>
                <w:sz w:val="20"/>
                <w:szCs w:val="20"/>
                <w:color w:val="auto"/>
              </w:rPr>
            </w:pPr>
            <w:r>
              <w:rPr>
                <w:rFonts w:ascii="Times New Roman" w:cs="Times New Roman" w:eastAsia="Times New Roman" w:hAnsi="Times New Roman"/>
                <w:sz w:val="16"/>
                <w:szCs w:val="16"/>
                <w:color w:val="auto"/>
              </w:rPr>
              <w:t xml:space="preserve">Due to GasLog </w:t>
            </w:r>
            <w:r>
              <w:rPr>
                <w:rFonts w:ascii="Times New Roman" w:cs="Times New Roman" w:eastAsia="Times New Roman" w:hAnsi="Times New Roman"/>
                <w:sz w:val="26"/>
                <w:szCs w:val="26"/>
                <w:color w:val="auto"/>
                <w:vertAlign w:val="superscript"/>
              </w:rPr>
              <w:t>(c)</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20" w:type="dxa"/>
            <w:vAlign w:val="bottom"/>
            <w:tcBorders>
              <w:bottom w:val="single" w:sz="8" w:color="E5FF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9"/>
        </w:trPr>
        <w:tc>
          <w:tcPr>
            <w:tcW w:w="802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5,642</w:t>
            </w:r>
          </w:p>
        </w:tc>
        <w:tc>
          <w:tcPr>
            <w:tcW w:w="220" w:type="dxa"/>
            <w:vAlign w:val="bottom"/>
            <w:tcBorders>
              <w:bottom w:val="single" w:sz="8" w:color="E5FFFF"/>
            </w:tcBorders>
            <w:shd w:val="clear" w:color="auto" w:fill="E5FFFF"/>
          </w:tcPr>
          <w:p>
            <w:pPr>
              <w:spacing w:after="0"/>
              <w:rPr>
                <w:sz w:val="18"/>
                <w:szCs w:val="18"/>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balance represented mainly payments made by GasLog LNG Services on behalf of the Partnership.</w:t>
      </w:r>
    </w:p>
    <w:p>
      <w:pPr>
        <w:spacing w:after="0" w:line="17" w:lineRule="exact"/>
        <w:rPr>
          <w:rFonts w:ascii="Times New Roman" w:cs="Times New Roman" w:eastAsia="Times New Roman" w:hAnsi="Times New Roman"/>
          <w:sz w:val="12"/>
          <w:szCs w:val="12"/>
          <w:color w:val="auto"/>
        </w:rPr>
      </w:pPr>
    </w:p>
    <w:p>
      <w:pPr>
        <w:ind w:left="660" w:hanging="328"/>
        <w:spacing w:after="0"/>
        <w:tabs>
          <w:tab w:leader="none" w:pos="66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balances represent mainly payments made by GasLog on behalf of the Partnership.</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i w:val="1"/>
          <w:iCs w:val="1"/>
          <w:color w:val="auto"/>
        </w:rPr>
        <w:t>Loans due to related parties</w:t>
      </w:r>
    </w:p>
    <w:p>
      <w:pPr>
        <w:spacing w:after="0" w:line="239" w:lineRule="exact"/>
        <w:rPr>
          <w:sz w:val="20"/>
          <w:szCs w:val="20"/>
          <w:color w:val="auto"/>
        </w:rPr>
      </w:pPr>
    </w:p>
    <w:p>
      <w:pPr>
        <w:ind w:right="500" w:firstLine="324"/>
        <w:spacing w:after="0" w:line="298" w:lineRule="auto"/>
        <w:rPr>
          <w:sz w:val="20"/>
          <w:szCs w:val="20"/>
          <w:color w:val="auto"/>
        </w:rPr>
      </w:pPr>
      <w:r>
        <w:rPr>
          <w:rFonts w:ascii="Times New Roman" w:cs="Times New Roman" w:eastAsia="Times New Roman" w:hAnsi="Times New Roman"/>
          <w:sz w:val="16"/>
          <w:szCs w:val="16"/>
          <w:color w:val="auto"/>
        </w:rPr>
        <w:t>The main terms of the revolving credit facility of $30,000 with GasLog (the “Sponsor Credit Facility”) have been disclosed in the annual consolidated financial statements for the year ended December 31, 2019. Refer to Note 7 “Borrowings”.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December 31, 2019, and September 30, 2020, the amount outstanding under the Sponsor Credit Facility was nil.</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collateral held with related parties</w:t>
      </w:r>
    </w:p>
    <w:p>
      <w:pPr>
        <w:spacing w:after="0" w:line="239"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6"/>
          <w:szCs w:val="16"/>
          <w:color w:val="auto"/>
        </w:rPr>
        <w:t>As of September 30, 2020, the Partnership had deposited an amount of $5,830 with GasLog (Note 5) as collateral for the interest rate swaps and forward foreign exchange contracts in effect held with GasLog, pursuant to a Credit Support Annex entered into between GasLog Partners and GasLog on March 16, 2020, as amended on September 22, 2020. The agreement is appended to the International Swaps and Derivatives Association, Inc. (“ISDA”) Master Agreement between GasLog Partners and GasLog signed in November 2016. The amount required to be deposited will be recalculated on a weekly basis until December 31, 2020. It is based on the aggregate valuation of such derivative instruments on each date and cannot exceed $15,000.</w:t>
      </w:r>
    </w:p>
    <w:p>
      <w:pPr>
        <w:spacing w:after="0" w:line="186" w:lineRule="exact"/>
        <w:rPr>
          <w:sz w:val="20"/>
          <w:szCs w:val="20"/>
          <w:color w:val="auto"/>
        </w:rPr>
      </w:pPr>
    </w:p>
    <w:p>
      <w:pPr>
        <w:ind w:right="360" w:firstLine="324"/>
        <w:spacing w:after="0" w:line="298" w:lineRule="auto"/>
        <w:rPr>
          <w:sz w:val="20"/>
          <w:szCs w:val="20"/>
          <w:color w:val="auto"/>
        </w:rPr>
      </w:pPr>
      <w:r>
        <w:rPr>
          <w:rFonts w:ascii="Times New Roman" w:cs="Times New Roman" w:eastAsia="Times New Roman" w:hAnsi="Times New Roman"/>
          <w:sz w:val="16"/>
          <w:szCs w:val="16"/>
          <w:color w:val="auto"/>
        </w:rPr>
        <w:t>The main terms of the commercial management agreements, administrative services agreement and ship management agreements with GasLog and GasLog LNG Services have been disclosed in the annual consolidated financial statements for the year ended December 31, 2019. Refer to Note 14 “Related Party Transactions”.</w:t>
      </w:r>
    </w:p>
    <w:p>
      <w:pPr>
        <w:spacing w:after="0" w:line="164"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The Partnership had the following transactions with such related parties, which have been included in the unaudited condensed consolidated statements of profit or loss for the three and nine months ended September 30, 2019 and 2020:</w:t>
      </w:r>
    </w:p>
    <w:p>
      <w:pPr>
        <w:sectPr>
          <w:pgSz w:w="11900" w:h="16838" w:orient="portrait"/>
          <w:cols w:equalWidth="0" w:num="1">
            <w:col w:w="11180"/>
          </w:cols>
          <w:pgMar w:left="320" w:top="905" w:right="399" w:bottom="1440" w:gutter="0" w:footer="0" w:header="0"/>
        </w:sect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38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Details</w:t>
            </w:r>
          </w:p>
        </w:tc>
        <w:tc>
          <w:tcPr>
            <w:tcW w:w="292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0" w:type="dxa"/>
            <w:vAlign w:val="bottom"/>
          </w:tcPr>
          <w:p>
            <w:pPr>
              <w:spacing w:after="0"/>
              <w:rPr>
                <w:sz w:val="1"/>
                <w:szCs w:val="1"/>
                <w:color w:val="auto"/>
              </w:rPr>
            </w:pPr>
          </w:p>
        </w:tc>
      </w:tr>
      <w:tr>
        <w:trPr>
          <w:trHeight w:val="131"/>
        </w:trPr>
        <w:tc>
          <w:tcPr>
            <w:tcW w:w="1480" w:type="dxa"/>
            <w:vAlign w:val="bottom"/>
            <w:tcBorders>
              <w:top w:val="single" w:sz="8" w:color="auto"/>
            </w:tcBorders>
          </w:tcPr>
          <w:p>
            <w:pPr>
              <w:spacing w:after="0" w:line="131" w:lineRule="exact"/>
              <w:rPr>
                <w:sz w:val="20"/>
                <w:szCs w:val="20"/>
                <w:color w:val="auto"/>
              </w:rPr>
            </w:pPr>
            <w:r>
              <w:rPr>
                <w:rFonts w:ascii="Times New Roman" w:cs="Times New Roman" w:eastAsia="Times New Roman" w:hAnsi="Times New Roman"/>
                <w:sz w:val="14"/>
                <w:szCs w:val="14"/>
                <w:color w:val="auto"/>
              </w:rPr>
              <w:t>GasLog/ GasLog LNG</w:t>
            </w:r>
          </w:p>
        </w:tc>
        <w:tc>
          <w:tcPr>
            <w:tcW w:w="120" w:type="dxa"/>
            <w:vAlign w:val="bottom"/>
          </w:tcPr>
          <w:p>
            <w:pPr>
              <w:spacing w:after="0"/>
              <w:rPr>
                <w:sz w:val="11"/>
                <w:szCs w:val="11"/>
                <w:color w:val="auto"/>
              </w:rPr>
            </w:pPr>
          </w:p>
        </w:tc>
        <w:tc>
          <w:tcPr>
            <w:tcW w:w="2260" w:type="dxa"/>
            <w:vAlign w:val="bottom"/>
            <w:tcBorders>
              <w:top w:val="single" w:sz="8" w:color="auto"/>
            </w:tcBorders>
          </w:tcPr>
          <w:p>
            <w:pPr>
              <w:spacing w:after="0" w:line="131" w:lineRule="exact"/>
              <w:rPr>
                <w:sz w:val="20"/>
                <w:szCs w:val="20"/>
                <w:color w:val="auto"/>
              </w:rPr>
            </w:pPr>
            <w:r>
              <w:rPr>
                <w:rFonts w:ascii="Times New Roman" w:cs="Times New Roman" w:eastAsia="Times New Roman" w:hAnsi="Times New Roman"/>
                <w:sz w:val="14"/>
                <w:szCs w:val="14"/>
                <w:color w:val="auto"/>
              </w:rPr>
              <w:t>Commercial management fee</w:t>
            </w:r>
          </w:p>
        </w:tc>
        <w:tc>
          <w:tcPr>
            <w:tcW w:w="120" w:type="dxa"/>
            <w:vAlign w:val="bottom"/>
          </w:tcPr>
          <w:p>
            <w:pPr>
              <w:spacing w:after="0"/>
              <w:rPr>
                <w:sz w:val="11"/>
                <w:szCs w:val="11"/>
                <w:color w:val="auto"/>
              </w:rPr>
            </w:pPr>
          </w:p>
        </w:tc>
        <w:tc>
          <w:tcPr>
            <w:tcW w:w="2920" w:type="dxa"/>
            <w:vAlign w:val="bottom"/>
            <w:tcBorders>
              <w:top w:val="single" w:sz="8" w:color="auto"/>
            </w:tcBorders>
          </w:tcPr>
          <w:p>
            <w:pPr>
              <w:spacing w:after="0" w:line="131"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0" w:type="dxa"/>
            <w:vAlign w:val="bottom"/>
          </w:tcPr>
          <w:p>
            <w:pPr>
              <w:spacing w:after="0"/>
              <w:rPr>
                <w:sz w:val="1"/>
                <w:szCs w:val="1"/>
                <w:color w:val="auto"/>
              </w:rPr>
            </w:pPr>
          </w:p>
        </w:tc>
      </w:tr>
      <w:tr>
        <w:trPr>
          <w:trHeight w:val="177"/>
        </w:trPr>
        <w:tc>
          <w:tcPr>
            <w:tcW w:w="1600" w:type="dxa"/>
            <w:vAlign w:val="bottom"/>
            <w:gridSpan w:val="2"/>
          </w:tcPr>
          <w:p>
            <w:pPr>
              <w:ind w:left="160"/>
              <w:spacing w:after="0" w:line="177" w:lineRule="exact"/>
              <w:rPr>
                <w:sz w:val="20"/>
                <w:szCs w:val="20"/>
                <w:color w:val="auto"/>
              </w:rPr>
            </w:pPr>
            <w:r>
              <w:rPr>
                <w:rFonts w:ascii="Times New Roman" w:cs="Times New Roman" w:eastAsia="Times New Roman" w:hAnsi="Times New Roman"/>
                <w:sz w:val="13"/>
                <w:szCs w:val="13"/>
                <w:color w:val="auto"/>
              </w:rPr>
              <w:t>Services</w:t>
            </w:r>
            <w:r>
              <w:rPr>
                <w:rFonts w:ascii="Times New Roman" w:cs="Times New Roman" w:eastAsia="Times New Roman" w:hAnsi="Times New Roman"/>
                <w:sz w:val="20"/>
                <w:szCs w:val="20"/>
                <w:color w:val="auto"/>
                <w:vertAlign w:val="superscript"/>
              </w:rPr>
              <w:t>(i)</w:t>
            </w:r>
          </w:p>
        </w:tc>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Administrative services fee</w:t>
            </w:r>
          </w:p>
        </w:tc>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0" w:type="dxa"/>
            <w:vAlign w:val="bottom"/>
          </w:tcPr>
          <w:p>
            <w:pPr>
              <w:spacing w:after="0"/>
              <w:rPr>
                <w:sz w:val="1"/>
                <w:szCs w:val="1"/>
                <w:color w:val="auto"/>
              </w:rPr>
            </w:pPr>
          </w:p>
        </w:tc>
      </w:tr>
      <w:tr>
        <w:trPr>
          <w:trHeight w:val="188"/>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GasLog</w:t>
            </w:r>
          </w:p>
        </w:tc>
        <w:tc>
          <w:tcPr>
            <w:tcW w:w="2380" w:type="dxa"/>
            <w:vAlign w:val="bottom"/>
            <w:gridSpan w:val="2"/>
            <w:vMerge w:val="continue"/>
          </w:tcPr>
          <w:p>
            <w:pPr>
              <w:spacing w:after="0"/>
              <w:rPr>
                <w:sz w:val="16"/>
                <w:szCs w:val="16"/>
                <w:color w:val="auto"/>
              </w:rPr>
            </w:pPr>
          </w:p>
        </w:tc>
        <w:tc>
          <w:tcPr>
            <w:tcW w:w="2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GasLog LNG Services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Management fees</w:t>
            </w: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Vessel operating costs</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GasLog LNG Services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vessel operating costs</w:t>
            </w: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Vessel operating costs</w:t>
            </w:r>
          </w:p>
        </w:tc>
        <w:tc>
          <w:tcPr>
            <w:tcW w:w="0" w:type="dxa"/>
            <w:vAlign w:val="bottom"/>
          </w:tcPr>
          <w:p>
            <w:pPr>
              <w:spacing w:after="0"/>
              <w:rPr>
                <w:sz w:val="1"/>
                <w:szCs w:val="1"/>
                <w:color w:val="auto"/>
              </w:rPr>
            </w:pPr>
          </w:p>
        </w:tc>
      </w:tr>
      <w:tr>
        <w:trPr>
          <w:trHeight w:val="176"/>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GasLog</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Commitment fee under Sponsor Credit</w:t>
            </w: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Financial costs</w:t>
            </w:r>
          </w:p>
        </w:tc>
        <w:tc>
          <w:tcPr>
            <w:tcW w:w="0" w:type="dxa"/>
            <w:vAlign w:val="bottom"/>
          </w:tcPr>
          <w:p>
            <w:pPr>
              <w:spacing w:after="0"/>
              <w:rPr>
                <w:sz w:val="1"/>
                <w:szCs w:val="1"/>
                <w:color w:val="auto"/>
              </w:rPr>
            </w:pPr>
          </w:p>
        </w:tc>
      </w:tr>
      <w:tr>
        <w:trPr>
          <w:trHeight w:val="148"/>
        </w:trPr>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GasLog</w:t>
            </w:r>
          </w:p>
        </w:tc>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Facility</w:t>
            </w:r>
          </w:p>
        </w:tc>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Loss on derivatives</w:t>
            </w:r>
          </w:p>
        </w:tc>
        <w:tc>
          <w:tcPr>
            <w:tcW w:w="0" w:type="dxa"/>
            <w:vAlign w:val="bottom"/>
          </w:tcPr>
          <w:p>
            <w:pPr>
              <w:spacing w:after="0"/>
              <w:rPr>
                <w:sz w:val="1"/>
                <w:szCs w:val="1"/>
                <w:color w:val="auto"/>
              </w:rPr>
            </w:pPr>
          </w:p>
        </w:tc>
      </w:tr>
      <w:tr>
        <w:trPr>
          <w:trHeight w:val="149"/>
        </w:trPr>
        <w:tc>
          <w:tcPr>
            <w:tcW w:w="1600" w:type="dxa"/>
            <w:vAlign w:val="bottom"/>
            <w:gridSpan w:val="2"/>
            <w:vMerge w:val="continue"/>
          </w:tcPr>
          <w:p>
            <w:pPr>
              <w:spacing w:after="0"/>
              <w:rPr>
                <w:sz w:val="12"/>
                <w:szCs w:val="12"/>
                <w:color w:val="auto"/>
              </w:rPr>
            </w:pPr>
          </w:p>
        </w:tc>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Realized (gain)/loss on interest rate</w:t>
            </w:r>
          </w:p>
        </w:tc>
        <w:tc>
          <w:tcPr>
            <w:tcW w:w="2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GasLog</w:t>
            </w:r>
          </w:p>
        </w:tc>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swaps (Note 13)</w:t>
            </w:r>
          </w:p>
        </w:tc>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Loss on derivatives</w:t>
            </w:r>
          </w:p>
        </w:tc>
        <w:tc>
          <w:tcPr>
            <w:tcW w:w="0" w:type="dxa"/>
            <w:vAlign w:val="bottom"/>
          </w:tcPr>
          <w:p>
            <w:pPr>
              <w:spacing w:after="0"/>
              <w:rPr>
                <w:sz w:val="1"/>
                <w:szCs w:val="1"/>
                <w:color w:val="auto"/>
              </w:rPr>
            </w:pPr>
          </w:p>
        </w:tc>
      </w:tr>
      <w:tr>
        <w:trPr>
          <w:trHeight w:val="148"/>
        </w:trPr>
        <w:tc>
          <w:tcPr>
            <w:tcW w:w="1600" w:type="dxa"/>
            <w:vAlign w:val="bottom"/>
            <w:gridSpan w:val="2"/>
            <w:vMerge w:val="continue"/>
          </w:tcPr>
          <w:p>
            <w:pPr>
              <w:spacing w:after="0"/>
              <w:rPr>
                <w:sz w:val="12"/>
                <w:szCs w:val="12"/>
                <w:color w:val="auto"/>
              </w:rPr>
            </w:pPr>
          </w:p>
        </w:tc>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Realized loss/(gain) on forward</w:t>
            </w:r>
          </w:p>
        </w:tc>
        <w:tc>
          <w:tcPr>
            <w:tcW w:w="2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foreign exchange contracts held for</w:t>
            </w: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trading (Note 13)</w:t>
            </w: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7"/>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Cool Pool</w:t>
            </w:r>
            <w:r>
              <w:rPr>
                <w:rFonts w:ascii="Times New Roman" w:cs="Times New Roman" w:eastAsia="Times New Roman" w:hAnsi="Times New Roman"/>
                <w:sz w:val="23"/>
                <w:szCs w:val="23"/>
                <w:color w:val="auto"/>
                <w:vertAlign w:val="superscript"/>
              </w:rPr>
              <w:t>(ii)</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Adjustment for net pool allocation</w:t>
            </w: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Net pool allocation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-1487170</wp:posOffset>
            </wp:positionV>
            <wp:extent cx="7063740" cy="222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6374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-1127125</wp:posOffset>
            </wp:positionV>
            <wp:extent cx="706374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-852805</wp:posOffset>
            </wp:positionV>
            <wp:extent cx="706374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6374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-475615</wp:posOffset>
            </wp:positionV>
            <wp:extent cx="7063740" cy="2825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6374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9340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1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6"/>
        </w:trPr>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48"/>
        </w:trPr>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1,350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1,350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4,050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2,278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1,960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6,684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5,879</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1,932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1,932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5,796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5,796</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97"/>
        </w:trPr>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228</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97"/>
        </w:trPr>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2,029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(2,334)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3,154</w:t>
            </w:r>
          </w:p>
        </w:tc>
        <w:tc>
          <w:tcPr>
            <w:tcW w:w="0" w:type="dxa"/>
            <w:vAlign w:val="bottom"/>
          </w:tcPr>
          <w:p>
            <w:pPr>
              <w:spacing w:after="0"/>
              <w:rPr>
                <w:sz w:val="1"/>
                <w:szCs w:val="1"/>
                <w:color w:val="auto"/>
              </w:rPr>
            </w:pPr>
          </w:p>
        </w:tc>
      </w:tr>
      <w:tr>
        <w:trPr>
          <w:trHeight w:val="446"/>
        </w:trPr>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1,164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(1,058)</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sectPr>
          <w:pgSz w:w="11900" w:h="16838" w:orient="portrait"/>
          <w:cols w:equalWidth="0" w:num="2">
            <w:col w:w="6900" w:space="120"/>
            <w:col w:w="4160"/>
          </w:cols>
          <w:pgMar w:left="320" w:top="905" w:right="399" w:bottom="1440" w:gutter="0" w:footer="0" w:header="0"/>
          <w:type w:val="continuous"/>
        </w:sectPr>
      </w:pPr>
    </w:p>
    <w:p>
      <w:pPr>
        <w:spacing w:after="0" w:line="135" w:lineRule="exact"/>
        <w:rPr>
          <w:sz w:val="20"/>
          <w:szCs w:val="20"/>
          <w:color w:val="auto"/>
        </w:rPr>
      </w:pPr>
    </w:p>
    <w:p>
      <w:pPr>
        <w:ind w:left="340" w:right="420" w:hanging="332"/>
        <w:spacing w:after="0" w:line="261" w:lineRule="auto"/>
        <w:tabs>
          <w:tab w:leader="none" w:pos="3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Effective July 21, 2020 and October 1, 2020, the commercial management agreements between the vessel-owning entities and GasLog were novated to GasLog LNG Services as the provider of commercial management services.</w:t>
      </w:r>
    </w:p>
    <w:p>
      <w:pPr>
        <w:spacing w:after="0" w:line="160" w:lineRule="exact"/>
        <w:rPr>
          <w:rFonts w:ascii="Times New Roman" w:cs="Times New Roman" w:eastAsia="Times New Roman" w:hAnsi="Times New Roman"/>
          <w:sz w:val="12"/>
          <w:szCs w:val="12"/>
          <w:color w:val="auto"/>
        </w:rPr>
      </w:pPr>
    </w:p>
    <w:p>
      <w:pPr>
        <w:ind w:left="340" w:right="160" w:hanging="332"/>
        <w:spacing w:after="0" w:line="264" w:lineRule="auto"/>
        <w:tabs>
          <w:tab w:leader="none" w:pos="3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In the period from May 2018 until June 2019, the Partnership, through the </w:t>
      </w:r>
      <w:r>
        <w:rPr>
          <w:rFonts w:ascii="Times New Roman" w:cs="Times New Roman" w:eastAsia="Times New Roman" w:hAnsi="Times New Roman"/>
          <w:sz w:val="14"/>
          <w:szCs w:val="14"/>
          <w:i w:val="1"/>
          <w:iCs w:val="1"/>
          <w:color w:val="auto"/>
        </w:rPr>
        <w:t>GasLog Shanghai</w:t>
      </w:r>
      <w:r>
        <w:rPr>
          <w:rFonts w:ascii="Times New Roman" w:cs="Times New Roman" w:eastAsia="Times New Roman" w:hAnsi="Times New Roman"/>
          <w:sz w:val="14"/>
          <w:szCs w:val="14"/>
          <w:color w:val="auto"/>
        </w:rPr>
        <w:t>, participated in the Cool Pool, an LNG carrier pooling arrangement operated by GasLog and Golar LNG Ltd. (the “Cool Pool”) to market their vessels operating in the LNG shipping spot market.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4. Tangible Fixed Assets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9"/>
        </w:trPr>
        <w:tc>
          <w:tcPr>
            <w:tcW w:w="320" w:type="dxa"/>
            <w:vAlign w:val="bottom"/>
          </w:tcPr>
          <w:p>
            <w:pPr>
              <w:spacing w:after="0"/>
              <w:rPr>
                <w:sz w:val="24"/>
                <w:szCs w:val="24"/>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movement in tangible fixed assets is reported in the following table:</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9"/>
        </w:trPr>
        <w:tc>
          <w:tcPr>
            <w:tcW w:w="3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Other tangible</w:t>
            </w:r>
          </w:p>
        </w:tc>
        <w:tc>
          <w:tcPr>
            <w:tcW w:w="16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Total tangible fixed</w:t>
            </w:r>
          </w:p>
        </w:tc>
      </w:tr>
      <w:tr>
        <w:trPr>
          <w:trHeight w:val="215"/>
        </w:trPr>
        <w:tc>
          <w:tcPr>
            <w:tcW w:w="3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Vessels</w:t>
            </w:r>
          </w:p>
        </w:tc>
        <w:tc>
          <w:tcPr>
            <w:tcW w:w="178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assets</w:t>
            </w:r>
          </w:p>
        </w:tc>
      </w:tr>
      <w:tr>
        <w:trPr>
          <w:trHeight w:val="172"/>
        </w:trPr>
        <w:tc>
          <w:tcPr>
            <w:tcW w:w="5800" w:type="dxa"/>
            <w:vAlign w:val="bottom"/>
            <w:tcBorders>
              <w:top w:val="single" w:sz="8" w:color="E5FFFF"/>
            </w:tcBorders>
            <w:gridSpan w:val="2"/>
            <w:shd w:val="clear" w:color="auto" w:fill="E5FF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Cost</w:t>
            </w:r>
          </w:p>
        </w:tc>
        <w:tc>
          <w:tcPr>
            <w:tcW w:w="1560" w:type="dxa"/>
            <w:vAlign w:val="bottom"/>
            <w:tcBorders>
              <w:top w:val="single" w:sz="8" w:color="auto"/>
            </w:tcBorders>
            <w:shd w:val="clear" w:color="auto" w:fill="E5FFFF"/>
          </w:tcPr>
          <w:p>
            <w:pPr>
              <w:spacing w:after="0"/>
              <w:rPr>
                <w:sz w:val="14"/>
                <w:szCs w:val="14"/>
                <w:color w:val="auto"/>
              </w:rPr>
            </w:pPr>
          </w:p>
        </w:tc>
        <w:tc>
          <w:tcPr>
            <w:tcW w:w="220" w:type="dxa"/>
            <w:vAlign w:val="bottom"/>
            <w:tcBorders>
              <w:top w:val="single" w:sz="8" w:color="E5FFFF"/>
            </w:tcBorders>
            <w:shd w:val="clear" w:color="auto" w:fill="E5FFFF"/>
          </w:tcPr>
          <w:p>
            <w:pPr>
              <w:spacing w:after="0"/>
              <w:rPr>
                <w:sz w:val="14"/>
                <w:szCs w:val="14"/>
                <w:color w:val="auto"/>
              </w:rPr>
            </w:pPr>
          </w:p>
        </w:tc>
        <w:tc>
          <w:tcPr>
            <w:tcW w:w="1560" w:type="dxa"/>
            <w:vAlign w:val="bottom"/>
            <w:tcBorders>
              <w:top w:val="single" w:sz="8" w:color="auto"/>
            </w:tcBorders>
            <w:shd w:val="clear" w:color="auto" w:fill="E5FFFF"/>
          </w:tcPr>
          <w:p>
            <w:pPr>
              <w:spacing w:after="0"/>
              <w:rPr>
                <w:sz w:val="14"/>
                <w:szCs w:val="14"/>
                <w:color w:val="auto"/>
              </w:rPr>
            </w:pPr>
          </w:p>
        </w:tc>
        <w:tc>
          <w:tcPr>
            <w:tcW w:w="220" w:type="dxa"/>
            <w:vAlign w:val="bottom"/>
            <w:tcBorders>
              <w:top w:val="single" w:sz="8" w:color="E5FFFF"/>
            </w:tcBorders>
            <w:shd w:val="clear" w:color="auto" w:fill="E5FFFF"/>
          </w:tcPr>
          <w:p>
            <w:pPr>
              <w:spacing w:after="0"/>
              <w:rPr>
                <w:sz w:val="14"/>
                <w:szCs w:val="14"/>
                <w:color w:val="auto"/>
              </w:rPr>
            </w:pPr>
          </w:p>
        </w:tc>
        <w:tc>
          <w:tcPr>
            <w:tcW w:w="1560" w:type="dxa"/>
            <w:vAlign w:val="bottom"/>
            <w:tcBorders>
              <w:top w:val="single" w:sz="8" w:color="auto"/>
            </w:tcBorders>
            <w:shd w:val="clear" w:color="auto" w:fill="E5FFFF"/>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320" w:type="dxa"/>
            <w:vAlign w:val="bottom"/>
            <w:tcBorders>
              <w:top w:val="single" w:sz="8" w:color="auto"/>
            </w:tcBorders>
            <w:shd w:val="clear" w:color="auto" w:fill="E5FFFF"/>
          </w:tcPr>
          <w:p>
            <w:pPr>
              <w:spacing w:after="0" w:line="20" w:lineRule="exact"/>
              <w:rPr>
                <w:sz w:val="1"/>
                <w:szCs w:val="1"/>
                <w:color w:val="auto"/>
              </w:rPr>
            </w:pPr>
          </w:p>
        </w:tc>
        <w:tc>
          <w:tcPr>
            <w:tcW w:w="5480" w:type="dxa"/>
            <w:vAlign w:val="bottom"/>
            <w:tcBorders>
              <w:top w:val="single" w:sz="8" w:color="E5FFFF"/>
            </w:tcBorders>
            <w:shd w:val="clear" w:color="auto" w:fill="E5FFFF"/>
          </w:tcPr>
          <w:p>
            <w:pPr>
              <w:spacing w:after="0" w:line="20" w:lineRule="exact"/>
              <w:rPr>
                <w:sz w:val="1"/>
                <w:szCs w:val="1"/>
                <w:color w:val="auto"/>
              </w:rPr>
            </w:pPr>
          </w:p>
        </w:tc>
        <w:tc>
          <w:tcPr>
            <w:tcW w:w="1560" w:type="dxa"/>
            <w:vAlign w:val="bottom"/>
            <w:tcBorders>
              <w:top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E5FFFF"/>
            </w:tcBorders>
            <w:shd w:val="clear" w:color="auto" w:fill="E5FFFF"/>
          </w:tcPr>
          <w:p>
            <w:pPr>
              <w:spacing w:after="0" w:line="20" w:lineRule="exact"/>
              <w:rPr>
                <w:sz w:val="1"/>
                <w:szCs w:val="1"/>
                <w:color w:val="auto"/>
              </w:rPr>
            </w:pPr>
          </w:p>
        </w:tc>
        <w:tc>
          <w:tcPr>
            <w:tcW w:w="1560" w:type="dxa"/>
            <w:vAlign w:val="bottom"/>
            <w:tcBorders>
              <w:top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E5FFFF"/>
            </w:tcBorders>
            <w:shd w:val="clear" w:color="auto" w:fill="E5FFFF"/>
          </w:tcPr>
          <w:p>
            <w:pPr>
              <w:spacing w:after="0" w:line="20" w:lineRule="exact"/>
              <w:rPr>
                <w:sz w:val="1"/>
                <w:szCs w:val="1"/>
                <w:color w:val="auto"/>
              </w:rPr>
            </w:pPr>
          </w:p>
        </w:tc>
        <w:tc>
          <w:tcPr>
            <w:tcW w:w="1560" w:type="dxa"/>
            <w:vAlign w:val="bottom"/>
            <w:tcBorders>
              <w:top w:val="single" w:sz="8" w:color="E5FFFF"/>
            </w:tcBorders>
            <w:shd w:val="clear" w:color="auto" w:fill="E5FF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 of January 1, 2020</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2,859,172</w:t>
            </w:r>
          </w:p>
        </w:tc>
        <w:tc>
          <w:tcPr>
            <w:tcW w:w="220" w:type="dxa"/>
            <w:vAlign w:val="bottom"/>
          </w:tcPr>
          <w:p>
            <w:pPr>
              <w:spacing w:after="0"/>
              <w:rPr>
                <w:sz w:val="18"/>
                <w:szCs w:val="18"/>
                <w:color w:val="auto"/>
              </w:rPr>
            </w:pP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2,859,172</w:t>
            </w:r>
          </w:p>
        </w:tc>
        <w:tc>
          <w:tcPr>
            <w:tcW w:w="60" w:type="dxa"/>
            <w:vAlign w:val="bottom"/>
          </w:tcPr>
          <w:p>
            <w:pPr>
              <w:spacing w:after="0"/>
              <w:rPr>
                <w:sz w:val="18"/>
                <w:szCs w:val="18"/>
                <w:color w:val="auto"/>
              </w:rPr>
            </w:pPr>
          </w:p>
        </w:tc>
      </w:tr>
      <w:tr>
        <w:trPr>
          <w:trHeight w:val="219"/>
        </w:trPr>
        <w:tc>
          <w:tcPr>
            <w:tcW w:w="58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Additions</w:t>
            </w:r>
          </w:p>
        </w:tc>
        <w:tc>
          <w:tcPr>
            <w:tcW w:w="1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16,794</w:t>
            </w:r>
          </w:p>
        </w:tc>
        <w:tc>
          <w:tcPr>
            <w:tcW w:w="220" w:type="dxa"/>
            <w:vAlign w:val="bottom"/>
            <w:shd w:val="clear" w:color="auto" w:fill="E5FFFF"/>
          </w:tcPr>
          <w:p>
            <w:pPr>
              <w:spacing w:after="0"/>
              <w:rPr>
                <w:sz w:val="19"/>
                <w:szCs w:val="19"/>
                <w:color w:val="auto"/>
              </w:rPr>
            </w:pPr>
          </w:p>
        </w:tc>
        <w:tc>
          <w:tcPr>
            <w:tcW w:w="1560" w:type="dxa"/>
            <w:vAlign w:val="bottom"/>
            <w:shd w:val="clear" w:color="auto" w:fill="E5FFFF"/>
          </w:tcPr>
          <w:p>
            <w:pPr>
              <w:ind w:left="1200"/>
              <w:spacing w:after="0"/>
              <w:rPr>
                <w:sz w:val="20"/>
                <w:szCs w:val="20"/>
                <w:color w:val="auto"/>
              </w:rPr>
            </w:pPr>
            <w:r>
              <w:rPr>
                <w:rFonts w:ascii="Times New Roman" w:cs="Times New Roman" w:eastAsia="Times New Roman" w:hAnsi="Times New Roman"/>
                <w:sz w:val="16"/>
                <w:szCs w:val="16"/>
                <w:color w:val="auto"/>
                <w:w w:val="94"/>
              </w:rPr>
              <w:t>2,719</w:t>
            </w:r>
          </w:p>
        </w:tc>
        <w:tc>
          <w:tcPr>
            <w:tcW w:w="220" w:type="dxa"/>
            <w:vAlign w:val="bottom"/>
            <w:shd w:val="clear" w:color="auto" w:fill="E5FFFF"/>
          </w:tcPr>
          <w:p>
            <w:pPr>
              <w:spacing w:after="0"/>
              <w:rPr>
                <w:sz w:val="19"/>
                <w:szCs w:val="19"/>
                <w:color w:val="auto"/>
              </w:rPr>
            </w:pPr>
          </w:p>
        </w:tc>
        <w:tc>
          <w:tcPr>
            <w:tcW w:w="1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19,513</w:t>
            </w:r>
          </w:p>
        </w:tc>
        <w:tc>
          <w:tcPr>
            <w:tcW w:w="60" w:type="dxa"/>
            <w:vAlign w:val="bottom"/>
          </w:tcPr>
          <w:p>
            <w:pPr>
              <w:spacing w:after="0"/>
              <w:rPr>
                <w:sz w:val="19"/>
                <w:szCs w:val="19"/>
                <w:color w:val="auto"/>
              </w:rPr>
            </w:pPr>
          </w:p>
        </w:tc>
      </w:tr>
      <w:tr>
        <w:trPr>
          <w:trHeight w:val="213"/>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Fully amortized dry-docking component</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(6,823)</w:t>
            </w: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60" w:type="dxa"/>
            <w:vAlign w:val="bottom"/>
          </w:tcPr>
          <w:p>
            <w:pPr>
              <w:spacing w:after="0"/>
              <w:rPr>
                <w:sz w:val="18"/>
                <w:szCs w:val="18"/>
                <w:color w:val="auto"/>
              </w:rPr>
            </w:pPr>
          </w:p>
        </w:tc>
      </w:tr>
      <w:tr>
        <w:trPr>
          <w:trHeight w:val="199"/>
        </w:trPr>
        <w:tc>
          <w:tcPr>
            <w:tcW w:w="5800" w:type="dxa"/>
            <w:vAlign w:val="bottom"/>
            <w:tcBorders>
              <w:top w:val="single" w:sz="8" w:color="E5FFFF"/>
            </w:tcBorders>
            <w:gridSpan w:val="2"/>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2020</w:t>
            </w: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2,869,143</w:t>
            </w:r>
          </w:p>
        </w:tc>
        <w:tc>
          <w:tcPr>
            <w:tcW w:w="22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bottom w:val="single" w:sz="8" w:color="auto"/>
            </w:tcBorders>
            <w:shd w:val="clear" w:color="auto" w:fill="E5FFFF"/>
          </w:tcPr>
          <w:p>
            <w:pPr>
              <w:ind w:left="1200"/>
              <w:spacing w:after="0"/>
              <w:rPr>
                <w:sz w:val="20"/>
                <w:szCs w:val="20"/>
                <w:color w:val="auto"/>
              </w:rPr>
            </w:pPr>
            <w:r>
              <w:rPr>
                <w:rFonts w:ascii="Times New Roman" w:cs="Times New Roman" w:eastAsia="Times New Roman" w:hAnsi="Times New Roman"/>
                <w:sz w:val="16"/>
                <w:szCs w:val="16"/>
                <w:b w:val="1"/>
                <w:bCs w:val="1"/>
                <w:color w:val="auto"/>
                <w:w w:val="94"/>
              </w:rPr>
              <w:t>2,719</w:t>
            </w:r>
          </w:p>
        </w:tc>
        <w:tc>
          <w:tcPr>
            <w:tcW w:w="220" w:type="dxa"/>
            <w:vAlign w:val="bottom"/>
            <w:tcBorders>
              <w:top w:val="single" w:sz="8" w:color="E5FFFF"/>
            </w:tcBorders>
            <w:shd w:val="clear" w:color="auto" w:fill="E5FFFF"/>
          </w:tcPr>
          <w:p>
            <w:pPr>
              <w:spacing w:after="0"/>
              <w:rPr>
                <w:sz w:val="17"/>
                <w:szCs w:val="17"/>
                <w:color w:val="auto"/>
              </w:rPr>
            </w:pP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2,871,862</w:t>
            </w:r>
          </w:p>
        </w:tc>
        <w:tc>
          <w:tcPr>
            <w:tcW w:w="60" w:type="dxa"/>
            <w:vAlign w:val="bottom"/>
          </w:tcPr>
          <w:p>
            <w:pPr>
              <w:spacing w:after="0"/>
              <w:rPr>
                <w:sz w:val="17"/>
                <w:szCs w:val="17"/>
                <w:color w:val="auto"/>
              </w:rPr>
            </w:pPr>
          </w:p>
        </w:tc>
      </w:tr>
      <w:tr>
        <w:trPr>
          <w:trHeight w:val="209"/>
        </w:trPr>
        <w:tc>
          <w:tcPr>
            <w:tcW w:w="3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Accumulated depreciation</w:t>
            </w:r>
          </w:p>
        </w:tc>
        <w:tc>
          <w:tcPr>
            <w:tcW w:w="15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5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56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 of January 1, 2020</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572,742</w:t>
            </w:r>
          </w:p>
        </w:tc>
        <w:tc>
          <w:tcPr>
            <w:tcW w:w="220" w:type="dxa"/>
            <w:vAlign w:val="bottom"/>
          </w:tcPr>
          <w:p>
            <w:pPr>
              <w:spacing w:after="0"/>
              <w:rPr>
                <w:sz w:val="18"/>
                <w:szCs w:val="18"/>
                <w:color w:val="auto"/>
              </w:rPr>
            </w:pP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572,742</w:t>
            </w:r>
          </w:p>
        </w:tc>
        <w:tc>
          <w:tcPr>
            <w:tcW w:w="60" w:type="dxa"/>
            <w:vAlign w:val="bottom"/>
          </w:tcPr>
          <w:p>
            <w:pPr>
              <w:spacing w:after="0"/>
              <w:rPr>
                <w:sz w:val="18"/>
                <w:szCs w:val="18"/>
                <w:color w:val="auto"/>
              </w:rPr>
            </w:pPr>
          </w:p>
        </w:tc>
      </w:tr>
      <w:tr>
        <w:trPr>
          <w:trHeight w:val="219"/>
        </w:trPr>
        <w:tc>
          <w:tcPr>
            <w:tcW w:w="58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Depreciation expense</w:t>
            </w:r>
          </w:p>
        </w:tc>
        <w:tc>
          <w:tcPr>
            <w:tcW w:w="1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61,437</w:t>
            </w:r>
          </w:p>
        </w:tc>
        <w:tc>
          <w:tcPr>
            <w:tcW w:w="220" w:type="dxa"/>
            <w:vAlign w:val="bottom"/>
            <w:shd w:val="clear" w:color="auto" w:fill="E5FFFF"/>
          </w:tcPr>
          <w:p>
            <w:pPr>
              <w:spacing w:after="0"/>
              <w:rPr>
                <w:sz w:val="19"/>
                <w:szCs w:val="19"/>
                <w:color w:val="auto"/>
              </w:rPr>
            </w:pPr>
          </w:p>
        </w:tc>
        <w:tc>
          <w:tcPr>
            <w:tcW w:w="1780" w:type="dxa"/>
            <w:vAlign w:val="bottom"/>
            <w:gridSpan w:val="2"/>
            <w:shd w:val="clear" w:color="auto" w:fill="E5FF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61,437</w:t>
            </w:r>
          </w:p>
        </w:tc>
        <w:tc>
          <w:tcPr>
            <w:tcW w:w="60" w:type="dxa"/>
            <w:vAlign w:val="bottom"/>
          </w:tcPr>
          <w:p>
            <w:pPr>
              <w:spacing w:after="0"/>
              <w:rPr>
                <w:sz w:val="19"/>
                <w:szCs w:val="19"/>
                <w:color w:val="auto"/>
              </w:rPr>
            </w:pPr>
          </w:p>
        </w:tc>
      </w:tr>
      <w:tr>
        <w:trPr>
          <w:trHeight w:val="210"/>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18,841</w:t>
            </w:r>
          </w:p>
        </w:tc>
        <w:tc>
          <w:tcPr>
            <w:tcW w:w="220" w:type="dxa"/>
            <w:vAlign w:val="bottom"/>
          </w:tcPr>
          <w:p>
            <w:pPr>
              <w:spacing w:after="0"/>
              <w:rPr>
                <w:sz w:val="18"/>
                <w:szCs w:val="18"/>
                <w:color w:val="auto"/>
              </w:rPr>
            </w:pP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18,841</w:t>
            </w:r>
          </w:p>
        </w:tc>
        <w:tc>
          <w:tcPr>
            <w:tcW w:w="60" w:type="dxa"/>
            <w:vAlign w:val="bottom"/>
          </w:tcPr>
          <w:p>
            <w:pPr>
              <w:spacing w:after="0"/>
              <w:rPr>
                <w:sz w:val="18"/>
                <w:szCs w:val="18"/>
                <w:color w:val="auto"/>
              </w:rPr>
            </w:pPr>
          </w:p>
        </w:tc>
      </w:tr>
      <w:tr>
        <w:trPr>
          <w:trHeight w:val="222"/>
        </w:trPr>
        <w:tc>
          <w:tcPr>
            <w:tcW w:w="58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Fully amortized dry-docking component</w:t>
            </w:r>
          </w:p>
        </w:tc>
        <w:tc>
          <w:tcPr>
            <w:tcW w:w="17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(6,823)</w:t>
            </w:r>
          </w:p>
        </w:tc>
        <w:tc>
          <w:tcPr>
            <w:tcW w:w="1780" w:type="dxa"/>
            <w:vAlign w:val="bottom"/>
            <w:gridSpan w:val="2"/>
            <w:shd w:val="clear" w:color="auto" w:fill="E5FF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60" w:type="dxa"/>
            <w:vAlign w:val="bottom"/>
          </w:tcPr>
          <w:p>
            <w:pPr>
              <w:spacing w:after="0"/>
              <w:rPr>
                <w:sz w:val="19"/>
                <w:szCs w:val="19"/>
                <w:color w:val="auto"/>
              </w:rPr>
            </w:pPr>
          </w:p>
        </w:tc>
      </w:tr>
      <w:tr>
        <w:trPr>
          <w:trHeight w:val="196"/>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2020</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646,197</w:t>
            </w:r>
          </w:p>
        </w:tc>
        <w:tc>
          <w:tcPr>
            <w:tcW w:w="220" w:type="dxa"/>
            <w:vAlign w:val="bottom"/>
          </w:tcPr>
          <w:p>
            <w:pPr>
              <w:spacing w:after="0"/>
              <w:rPr>
                <w:sz w:val="17"/>
                <w:szCs w:val="17"/>
                <w:color w:val="auto"/>
              </w:rPr>
            </w:pPr>
          </w:p>
        </w:tc>
        <w:tc>
          <w:tcPr>
            <w:tcW w:w="1560" w:type="dxa"/>
            <w:vAlign w:val="bottom"/>
            <w:tcBorders>
              <w:top w:val="single" w:sz="8" w:color="auto"/>
              <w:bottom w:val="single" w:sz="8" w:color="auto"/>
            </w:tcBorders>
          </w:tcPr>
          <w:p>
            <w:pPr>
              <w:ind w:left="140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22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646,197</w:t>
            </w:r>
          </w:p>
        </w:tc>
        <w:tc>
          <w:tcPr>
            <w:tcW w:w="60" w:type="dxa"/>
            <w:vAlign w:val="bottom"/>
          </w:tcPr>
          <w:p>
            <w:pPr>
              <w:spacing w:after="0"/>
              <w:rPr>
                <w:sz w:val="17"/>
                <w:szCs w:val="17"/>
                <w:color w:val="auto"/>
              </w:rPr>
            </w:pPr>
          </w:p>
        </w:tc>
      </w:tr>
      <w:tr>
        <w:trPr>
          <w:trHeight w:val="210"/>
        </w:trPr>
        <w:tc>
          <w:tcPr>
            <w:tcW w:w="3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8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15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5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56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2,286,430</w:t>
            </w:r>
          </w:p>
        </w:tc>
        <w:tc>
          <w:tcPr>
            <w:tcW w:w="220" w:type="dxa"/>
            <w:vAlign w:val="bottom"/>
          </w:tcPr>
          <w:p>
            <w:pPr>
              <w:spacing w:after="0"/>
              <w:rPr>
                <w:sz w:val="18"/>
                <w:szCs w:val="18"/>
                <w:color w:val="auto"/>
              </w:rPr>
            </w:pPr>
          </w:p>
        </w:tc>
        <w:tc>
          <w:tcPr>
            <w:tcW w:w="178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2,286,430</w:t>
            </w:r>
          </w:p>
        </w:tc>
        <w:tc>
          <w:tcPr>
            <w:tcW w:w="60" w:type="dxa"/>
            <w:vAlign w:val="bottom"/>
          </w:tcPr>
          <w:p>
            <w:pPr>
              <w:spacing w:after="0"/>
              <w:rPr>
                <w:sz w:val="18"/>
                <w:szCs w:val="18"/>
                <w:color w:val="auto"/>
              </w:rPr>
            </w:pPr>
          </w:p>
        </w:tc>
      </w:tr>
      <w:tr>
        <w:trPr>
          <w:trHeight w:val="198"/>
        </w:trPr>
        <w:tc>
          <w:tcPr>
            <w:tcW w:w="5800" w:type="dxa"/>
            <w:vAlign w:val="bottom"/>
            <w:tcBorders>
              <w:top w:val="single" w:sz="8" w:color="E5FFFF"/>
              <w:bottom w:val="single" w:sz="8" w:color="E5FFFF"/>
            </w:tcBorders>
            <w:gridSpan w:val="2"/>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2020</w:t>
            </w: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2,222,946</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560" w:type="dxa"/>
            <w:vAlign w:val="bottom"/>
            <w:tcBorders>
              <w:top w:val="single" w:sz="8" w:color="auto"/>
              <w:bottom w:val="single" w:sz="8" w:color="auto"/>
            </w:tcBorders>
            <w:shd w:val="clear" w:color="auto" w:fill="E5FFFF"/>
          </w:tcPr>
          <w:p>
            <w:pPr>
              <w:ind w:left="1200"/>
              <w:spacing w:after="0"/>
              <w:rPr>
                <w:sz w:val="20"/>
                <w:szCs w:val="20"/>
                <w:color w:val="auto"/>
              </w:rPr>
            </w:pPr>
            <w:r>
              <w:rPr>
                <w:rFonts w:ascii="Times New Roman" w:cs="Times New Roman" w:eastAsia="Times New Roman" w:hAnsi="Times New Roman"/>
                <w:sz w:val="16"/>
                <w:szCs w:val="16"/>
                <w:b w:val="1"/>
                <w:bCs w:val="1"/>
                <w:color w:val="auto"/>
                <w:w w:val="94"/>
              </w:rPr>
              <w:t>2,719</w:t>
            </w:r>
          </w:p>
        </w:tc>
        <w:tc>
          <w:tcPr>
            <w:tcW w:w="220" w:type="dxa"/>
            <w:vAlign w:val="bottom"/>
            <w:tcBorders>
              <w:top w:val="single" w:sz="8" w:color="E5FFFF"/>
              <w:bottom w:val="single" w:sz="8" w:color="E5FFFF"/>
            </w:tcBorders>
            <w:shd w:val="clear" w:color="auto" w:fill="E5FFFF"/>
          </w:tcPr>
          <w:p>
            <w:pPr>
              <w:spacing w:after="0"/>
              <w:rPr>
                <w:sz w:val="17"/>
                <w:szCs w:val="17"/>
                <w:color w:val="auto"/>
              </w:rPr>
            </w:pP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2,225,665</w:t>
            </w:r>
          </w:p>
        </w:tc>
        <w:tc>
          <w:tcPr>
            <w:tcW w:w="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5" w:right="399" w:bottom="1440" w:gutter="0" w:footer="0" w:header="0"/>
          <w:type w:val="continuous"/>
        </w:sectPr>
      </w:pPr>
    </w:p>
    <w:bookmarkStart w:id="32" w:name="page33"/>
    <w:bookmarkEnd w:id="32"/>
    <w:p>
      <w:pPr>
        <w:ind w:left="340"/>
        <w:spacing w:after="0"/>
        <w:rPr>
          <w:sz w:val="20"/>
          <w:szCs w:val="20"/>
          <w:color w:val="auto"/>
        </w:rPr>
      </w:pPr>
      <w:r>
        <w:rPr>
          <w:rFonts w:ascii="Times New Roman" w:cs="Times New Roman" w:eastAsia="Times New Roman" w:hAnsi="Times New Roman"/>
          <w:sz w:val="16"/>
          <w:szCs w:val="16"/>
          <w:color w:val="auto"/>
        </w:rPr>
        <w:t>All vessels have been pledged as collateral under the terms of the Partnership’s bank loan agreements.</w:t>
      </w:r>
    </w:p>
    <w:p>
      <w:pPr>
        <w:spacing w:after="0" w:line="233" w:lineRule="exact"/>
        <w:rPr>
          <w:sz w:val="20"/>
          <w:szCs w:val="20"/>
          <w:color w:val="auto"/>
        </w:rPr>
      </w:pPr>
    </w:p>
    <w:p>
      <w:pPr>
        <w:ind w:right="300" w:firstLine="324"/>
        <w:spacing w:after="0" w:line="276" w:lineRule="auto"/>
        <w:rPr>
          <w:sz w:val="20"/>
          <w:szCs w:val="20"/>
          <w:color w:val="auto"/>
        </w:rPr>
      </w:pPr>
      <w:r>
        <w:rPr>
          <w:rFonts w:ascii="Times New Roman" w:cs="Times New Roman" w:eastAsia="Times New Roman" w:hAnsi="Times New Roman"/>
          <w:sz w:val="16"/>
          <w:szCs w:val="16"/>
          <w:color w:val="auto"/>
        </w:rPr>
        <w:t xml:space="preserve">Following the acquisition of (i)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(ii)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 xml:space="preserve">Methane Heather Sally </w:t>
      </w:r>
      <w:r>
        <w:rPr>
          <w:rFonts w:ascii="Times New Roman" w:cs="Times New Roman" w:eastAsia="Times New Roman" w:hAnsi="Times New Roman"/>
          <w:sz w:val="16"/>
          <w:szCs w:val="16"/>
          <w:color w:val="auto"/>
        </w:rPr>
        <w:t>and (iii) the</w:t>
      </w:r>
      <w:r>
        <w:rPr>
          <w:rFonts w:ascii="Times New Roman" w:cs="Times New Roman" w:eastAsia="Times New Roman" w:hAnsi="Times New Roman"/>
          <w:sz w:val="16"/>
          <w:szCs w:val="16"/>
          <w:i w:val="1"/>
          <w:iCs w:val="1"/>
          <w:color w:val="auto"/>
        </w:rPr>
        <w:t xml:space="preserve"> Methane Becki Anne</w:t>
      </w:r>
      <w:r>
        <w:rPr>
          <w:rFonts w:ascii="Times New Roman" w:cs="Times New Roman" w:eastAsia="Times New Roman" w:hAnsi="Times New Roman"/>
          <w:sz w:val="16"/>
          <w:szCs w:val="16"/>
          <w:color w:val="auto"/>
        </w:rPr>
        <w:t>, the Partnership, through its subsidiaries (i) GAS-sixteen Ltd. and GAS-seventeen Ltd., (ii) GAS-nineteen Ltd.,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GAS-twenty Ltd., GAS-twenty one Ltd., and (iii) GAS-twenty seven Ltd., respectively, was counter guarantor for the acquisition from BG Group plc of depot spares purchased with respect to the aforementioned vessels. In June 2020, the Partnership acquired from GasLog the relevant spares at a cost of $2,719.</w:t>
      </w:r>
    </w:p>
    <w:p>
      <w:pPr>
        <w:spacing w:after="0" w:line="182" w:lineRule="exact"/>
        <w:rPr>
          <w:sz w:val="20"/>
          <w:szCs w:val="20"/>
          <w:color w:val="auto"/>
        </w:rPr>
      </w:pPr>
    </w:p>
    <w:p>
      <w:pPr>
        <w:ind w:right="180" w:firstLine="324"/>
        <w:spacing w:after="0" w:line="269" w:lineRule="auto"/>
        <w:rPr>
          <w:sz w:val="20"/>
          <w:szCs w:val="20"/>
          <w:color w:val="auto"/>
        </w:rPr>
      </w:pPr>
      <w:r>
        <w:rPr>
          <w:rFonts w:ascii="Times New Roman" w:cs="Times New Roman" w:eastAsia="Times New Roman" w:hAnsi="Times New Roman"/>
          <w:sz w:val="16"/>
          <w:szCs w:val="16"/>
          <w:color w:val="auto"/>
        </w:rPr>
        <w:t xml:space="preserve">As of June 30, 2020, a number of negative indicators, such as the downward pressure on economic activity and energy demand, as well as the significant uncertainty regarding future LNG demand and, therefore LNG shipping requirements pursuant to the COVID-19 pandemic, combined with our reduced expectations for the estimated rates at which employment for the Partnership’s vessels could be secured over the near-term in the spot market, prompted the Partnership to perform an impairment assessment of its vessels in accordance with the Partnership’s accounting policy. The recoverable amounts (values in use) for three steam turbine propulsion (“Steam”) vessels owned by the Partnership, i.e.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calculated as per above were lower than the respective carrying amounts of these vessels and, consequently, an aggregate impairment loss of $18,841 was recognized in profit or loss in the six months ended June 30, 2020.</w:t>
      </w:r>
    </w:p>
    <w:p>
      <w:pPr>
        <w:spacing w:after="0" w:line="190" w:lineRule="exact"/>
        <w:rPr>
          <w:sz w:val="20"/>
          <w:szCs w:val="20"/>
          <w:color w:val="auto"/>
        </w:rPr>
      </w:pPr>
    </w:p>
    <w:p>
      <w:pPr>
        <w:ind w:right="140" w:firstLine="324"/>
        <w:spacing w:after="0" w:line="271" w:lineRule="auto"/>
        <w:rPr>
          <w:sz w:val="20"/>
          <w:szCs w:val="20"/>
          <w:color w:val="auto"/>
        </w:rPr>
      </w:pPr>
      <w:r>
        <w:rPr>
          <w:rFonts w:ascii="Times New Roman" w:cs="Times New Roman" w:eastAsia="Times New Roman" w:hAnsi="Times New Roman"/>
          <w:sz w:val="16"/>
          <w:szCs w:val="16"/>
          <w:color w:val="auto"/>
        </w:rPr>
        <w:t>As of June 30, 2020, the most sensitive and/or subjective assumptions that had the potential to affect the outcome of the impairment assessment for the Steam vessels were the projected charter hire rate used to forecast future cash flows for non-contracted revenue days (the “re-chartering rate”) and the discount rate used. The average re-chartering rate over the remaining useful life of the vessels used in our impairment exercise for the Steam vessels was $39 per day. Increasing/decreasing the average re-chartering rate used by $5 per day would have resulted in an aggregate (decrease)/increase in the impairment charge of $(105,540)/98,878. The discount rate used for the Steam vessels was 5.8% as of June 30, 2020. Increasing/decreasing the discount rate by 0.5% would have increased/(decreased) the impairment loss by $21,793/($11,335), respectively.</w:t>
      </w:r>
    </w:p>
    <w:p>
      <w:pPr>
        <w:spacing w:after="0" w:line="184" w:lineRule="exact"/>
        <w:rPr>
          <w:sz w:val="20"/>
          <w:szCs w:val="20"/>
          <w:color w:val="auto"/>
        </w:rPr>
      </w:pPr>
    </w:p>
    <w:p>
      <w:pPr>
        <w:ind w:right="620" w:firstLine="324"/>
        <w:spacing w:after="0" w:line="298" w:lineRule="auto"/>
        <w:rPr>
          <w:sz w:val="20"/>
          <w:szCs w:val="20"/>
          <w:color w:val="auto"/>
        </w:rPr>
      </w:pPr>
      <w:r>
        <w:rPr>
          <w:rFonts w:ascii="Times New Roman" w:cs="Times New Roman" w:eastAsia="Times New Roman" w:hAnsi="Times New Roman"/>
          <w:sz w:val="16"/>
          <w:szCs w:val="16"/>
          <w:color w:val="auto"/>
        </w:rPr>
        <w:t>As of September 30, 2020, the Partnership concluded that there were no events or circumstances triggering the existence of potential impairment or reversal of impairment of its vessels.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 Prepayments and Other Current Assets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18"/>
        </w:trPr>
        <w:tc>
          <w:tcPr>
            <w:tcW w:w="8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 analysis of prepayments and other current assets is as follows: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9"/>
        </w:trPr>
        <w:tc>
          <w:tcPr>
            <w:tcW w:w="846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46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2"/>
        </w:trPr>
        <w:tc>
          <w:tcPr>
            <w:tcW w:w="84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Prepayments</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1,991</w:t>
            </w:r>
          </w:p>
        </w:tc>
      </w:tr>
      <w:tr>
        <w:trPr>
          <w:trHeight w:val="210"/>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Cash collateral</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w:t>
            </w:r>
          </w:p>
        </w:tc>
      </w:tr>
      <w:tr>
        <w:trPr>
          <w:trHeight w:val="202"/>
        </w:trPr>
        <w:tc>
          <w:tcPr>
            <w:tcW w:w="846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1,597</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9,551</w:t>
            </w:r>
          </w:p>
        </w:tc>
      </w:tr>
      <w:tr>
        <w:trPr>
          <w:trHeight w:val="20"/>
        </w:trPr>
        <w:tc>
          <w:tcPr>
            <w:tcW w:w="8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324"/>
        <w:spacing w:after="0" w:line="281" w:lineRule="auto"/>
        <w:rPr>
          <w:sz w:val="20"/>
          <w:szCs w:val="20"/>
          <w:color w:val="auto"/>
        </w:rPr>
      </w:pPr>
      <w:r>
        <w:rPr>
          <w:rFonts w:ascii="Times New Roman" w:cs="Times New Roman" w:eastAsia="Times New Roman" w:hAnsi="Times New Roman"/>
          <w:sz w:val="16"/>
          <w:szCs w:val="16"/>
          <w:color w:val="auto"/>
        </w:rPr>
        <w:t>Cash collateral comprises $5,830 of cash deposited with GasLog as collateral for the interest rate swaps and forward foreign exchange contracts held with GasLog, pursuant to a Credit Support Annex entered into on March 16, 2020 (Note 3) and $1,730 of cash collateral deposited with the bank counterparties to the interest rate swap agreements entered into in July 2020 (Note 12).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Partners’ Equity</w:t>
      </w:r>
    </w:p>
    <w:p>
      <w:pPr>
        <w:spacing w:after="0" w:line="237" w:lineRule="exact"/>
        <w:rPr>
          <w:sz w:val="20"/>
          <w:szCs w:val="20"/>
          <w:color w:val="auto"/>
        </w:rPr>
      </w:pPr>
    </w:p>
    <w:p>
      <w:pPr>
        <w:ind w:right="120" w:firstLine="324"/>
        <w:spacing w:after="0" w:line="275" w:lineRule="auto"/>
        <w:rPr>
          <w:sz w:val="20"/>
          <w:szCs w:val="20"/>
          <w:color w:val="auto"/>
        </w:rPr>
      </w:pPr>
      <w:r>
        <w:rPr>
          <w:rFonts w:ascii="Times New Roman" w:cs="Times New Roman" w:eastAsia="Times New Roman" w:hAnsi="Times New Roman"/>
          <w:sz w:val="16"/>
          <w:szCs w:val="16"/>
          <w:color w:val="auto"/>
        </w:rPr>
        <w:t>On January 29, 2019, the board of directors of GasLog Partners authorized a unit repurchase programme of up to $25,000 covering the period January 31, 2019 to December 31, 2021. Under the terms of the repurchase programme, GasLog Partners may repurchase common units from time to time, at its discretion, on the open market or in privately negotiated transactions. Since the authorization of the unit repurchase programme and through December 31, 2019, GasLog Partners has repurchased and cancelled a total of 1,171,572 units at a weighted average price of $19.52 per common unit for a total amount of $22,890, including commissions.</w:t>
      </w:r>
    </w:p>
    <w:p>
      <w:pPr>
        <w:spacing w:after="0" w:line="183"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6"/>
          <w:szCs w:val="16"/>
          <w:color w:val="auto"/>
        </w:rPr>
        <w:t>On February 5, 2020, the board of directors of GasLog Partners authorized a renewal of the unit repurchase programme taking the total authority outstanding under the programme to $25,000, to be utilized from February 10, 2020 to December 31, 2021. In the nine months ended September 30, 2020, GasLog Partners repurchased and cancelled a total of 191,490 units at a weighted average price of $5.18 per common unit for a total amount of $996, including commissions.</w:t>
      </w:r>
    </w:p>
    <w:p>
      <w:pPr>
        <w:spacing w:after="0" w:line="177"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On April 3, 2020, GasLog Partners issued 46,843 common units in connection with the vesting of 25,551 RCUs and 21,292 PCUs under its 2015 Long-Term Incentive Plan (the “2015 Plan”). On June 30, 2020, GasLog Partners issued an additional 21,589 common units in connection with the vesting of 11,776 RCUs and 9,813 PCUs under its 2015 Plan.</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On July 1, 2020, GasLog Partners issued 415,000 common units in connection with GasLog’s option to convert the first tranche of its Class B</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3" w:name="page34"/>
    <w:bookmarkEnd w:id="33"/>
    <w:p>
      <w:pPr>
        <w:ind w:right="240"/>
        <w:spacing w:after="0" w:line="298" w:lineRule="auto"/>
        <w:rPr>
          <w:sz w:val="20"/>
          <w:szCs w:val="20"/>
          <w:color w:val="auto"/>
        </w:rPr>
      </w:pPr>
      <w:r>
        <w:rPr>
          <w:rFonts w:ascii="Times New Roman" w:cs="Times New Roman" w:eastAsia="Times New Roman" w:hAnsi="Times New Roman"/>
          <w:sz w:val="16"/>
          <w:szCs w:val="16"/>
          <w:color w:val="auto"/>
        </w:rPr>
        <w:t>units issued upon the elimination of IDRs in June 2019. Finally, on September 25, 2020, GasLog Partners issued 365,700 common units in connection with the vesting of 182,850 RCUs and 182,850 PCUs under its 2015 Plan.</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Partnership’s cash distributions for the nine months ended September 30, 2020 are presented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0" w:type="dxa"/>
            <w:vAlign w:val="bottom"/>
          </w:tcPr>
          <w:p>
            <w:pPr>
              <w:spacing w:after="0"/>
              <w:rPr>
                <w:sz w:val="19"/>
                <w:szCs w:val="19"/>
                <w:color w:val="auto"/>
              </w:rPr>
            </w:pPr>
          </w:p>
        </w:tc>
        <w:tc>
          <w:tcPr>
            <w:tcW w:w="21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1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Type of units</w:t>
            </w:r>
          </w:p>
        </w:tc>
        <w:tc>
          <w:tcPr>
            <w:tcW w:w="302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Distribution per unit</w:t>
            </w:r>
          </w:p>
        </w:tc>
        <w:tc>
          <w:tcPr>
            <w:tcW w:w="22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380" w:type="dxa"/>
            <w:vAlign w:val="bottom"/>
            <w:gridSpan w:val="4"/>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Amount paid</w:t>
            </w: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172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February 5, 2020</w:t>
            </w:r>
          </w:p>
        </w:tc>
        <w:tc>
          <w:tcPr>
            <w:tcW w:w="12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auto"/>
            </w:tcBorders>
            <w:shd w:val="clear" w:color="auto" w:fill="E5FFFF"/>
          </w:tcPr>
          <w:p>
            <w:pPr>
              <w:spacing w:after="0"/>
              <w:rPr>
                <w:sz w:val="17"/>
                <w:szCs w:val="17"/>
                <w:color w:val="auto"/>
              </w:rPr>
            </w:pPr>
          </w:p>
        </w:tc>
        <w:tc>
          <w:tcPr>
            <w:tcW w:w="2060" w:type="dxa"/>
            <w:vAlign w:val="bottom"/>
            <w:tcBorders>
              <w:top w:val="single" w:sz="8" w:color="auto"/>
            </w:tcBorders>
            <w:shd w:val="clear" w:color="auto" w:fill="E5FFFF"/>
          </w:tcPr>
          <w:p>
            <w:pPr>
              <w:jc w:val="center"/>
              <w:ind w:right="219"/>
              <w:spacing w:after="0"/>
              <w:rPr>
                <w:sz w:val="20"/>
                <w:szCs w:val="20"/>
                <w:color w:val="auto"/>
              </w:rPr>
            </w:pPr>
            <w:r>
              <w:rPr>
                <w:rFonts w:ascii="Times New Roman" w:cs="Times New Roman" w:eastAsia="Times New Roman" w:hAnsi="Times New Roman"/>
                <w:sz w:val="16"/>
                <w:szCs w:val="16"/>
                <w:color w:val="auto"/>
              </w:rPr>
              <w:t>Common</w:t>
            </w:r>
          </w:p>
        </w:tc>
        <w:tc>
          <w:tcPr>
            <w:tcW w:w="120" w:type="dxa"/>
            <w:vAlign w:val="bottom"/>
            <w:tcBorders>
              <w:top w:val="single" w:sz="8" w:color="E5FFFF"/>
            </w:tcBorders>
            <w:shd w:val="clear" w:color="auto" w:fill="E5FFFF"/>
          </w:tcPr>
          <w:p>
            <w:pPr>
              <w:spacing w:after="0"/>
              <w:rPr>
                <w:sz w:val="17"/>
                <w:szCs w:val="17"/>
                <w:color w:val="auto"/>
              </w:rPr>
            </w:pPr>
          </w:p>
        </w:tc>
        <w:tc>
          <w:tcPr>
            <w:tcW w:w="292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$0.561</w:t>
            </w:r>
          </w:p>
        </w:tc>
        <w:tc>
          <w:tcPr>
            <w:tcW w:w="100" w:type="dxa"/>
            <w:vAlign w:val="bottom"/>
            <w:tcBorders>
              <w:top w:val="single" w:sz="8" w:color="E5FFFF"/>
            </w:tcBorders>
            <w:shd w:val="clear" w:color="auto" w:fill="E5FFFF"/>
          </w:tcPr>
          <w:p>
            <w:pPr>
              <w:spacing w:after="0"/>
              <w:rPr>
                <w:sz w:val="17"/>
                <w:szCs w:val="17"/>
                <w:color w:val="auto"/>
              </w:rPr>
            </w:pPr>
          </w:p>
        </w:tc>
        <w:tc>
          <w:tcPr>
            <w:tcW w:w="1940" w:type="dxa"/>
            <w:vAlign w:val="bottom"/>
            <w:tcBorders>
              <w:top w:val="single" w:sz="8" w:color="auto"/>
            </w:tcBorders>
            <w:gridSpan w:val="2"/>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rPr>
              <w:t>February 21, 2020</w:t>
            </w:r>
          </w:p>
        </w:tc>
        <w:tc>
          <w:tcPr>
            <w:tcW w:w="1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26,754</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1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rPr>
              <w:t>February 5, 2020</w:t>
            </w:r>
          </w:p>
        </w:tc>
        <w:tc>
          <w:tcPr>
            <w:tcW w:w="21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Preference (Series A, B, C)</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$0.5390625, $0.5125, $0.53125</w:t>
            </w:r>
          </w:p>
        </w:tc>
        <w:tc>
          <w:tcPr>
            <w:tcW w:w="100" w:type="dxa"/>
            <w:vAlign w:val="bottom"/>
          </w:tcPr>
          <w:p>
            <w:pPr>
              <w:spacing w:after="0"/>
              <w:rPr>
                <w:sz w:val="18"/>
                <w:szCs w:val="18"/>
                <w:color w:val="auto"/>
              </w:rPr>
            </w:pPr>
          </w:p>
        </w:tc>
        <w:tc>
          <w:tcPr>
            <w:tcW w:w="22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March 16, 2020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2140" w:type="dxa"/>
            <w:vAlign w:val="bottom"/>
            <w:gridSpan w:val="3"/>
            <w:shd w:val="clear" w:color="auto" w:fill="E5FFFF"/>
          </w:tcPr>
          <w:p>
            <w:pPr>
              <w:jc w:val="center"/>
              <w:ind w:right="420"/>
              <w:spacing w:after="0"/>
              <w:rPr>
                <w:sz w:val="20"/>
                <w:szCs w:val="20"/>
                <w:color w:val="auto"/>
              </w:rPr>
            </w:pPr>
            <w:r>
              <w:rPr>
                <w:rFonts w:ascii="Times New Roman" w:cs="Times New Roman" w:eastAsia="Times New Roman" w:hAnsi="Times New Roman"/>
                <w:sz w:val="16"/>
                <w:szCs w:val="16"/>
                <w:color w:val="auto"/>
              </w:rPr>
              <w:t>May 6, 2020</w:t>
            </w:r>
          </w:p>
        </w:tc>
        <w:tc>
          <w:tcPr>
            <w:tcW w:w="2180" w:type="dxa"/>
            <w:vAlign w:val="bottom"/>
            <w:gridSpan w:val="2"/>
            <w:shd w:val="clear" w:color="auto" w:fill="E5FFFF"/>
          </w:tcPr>
          <w:p>
            <w:pPr>
              <w:jc w:val="center"/>
              <w:ind w:right="420"/>
              <w:spacing w:after="0"/>
              <w:rPr>
                <w:sz w:val="20"/>
                <w:szCs w:val="20"/>
                <w:color w:val="auto"/>
              </w:rPr>
            </w:pPr>
            <w:r>
              <w:rPr>
                <w:rFonts w:ascii="Times New Roman" w:cs="Times New Roman" w:eastAsia="Times New Roman" w:hAnsi="Times New Roman"/>
                <w:sz w:val="16"/>
                <w:szCs w:val="16"/>
                <w:color w:val="auto"/>
              </w:rPr>
              <w:t>Common</w:t>
            </w:r>
          </w:p>
        </w:tc>
        <w:tc>
          <w:tcPr>
            <w:tcW w:w="29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$0.125</w:t>
            </w:r>
          </w:p>
        </w:tc>
        <w:tc>
          <w:tcPr>
            <w:tcW w:w="100" w:type="dxa"/>
            <w:vAlign w:val="bottom"/>
            <w:shd w:val="clear" w:color="auto" w:fill="E5FFFF"/>
          </w:tcPr>
          <w:p>
            <w:pPr>
              <w:spacing w:after="0"/>
              <w:rPr>
                <w:sz w:val="19"/>
                <w:szCs w:val="19"/>
                <w:color w:val="auto"/>
              </w:rPr>
            </w:pPr>
          </w:p>
        </w:tc>
        <w:tc>
          <w:tcPr>
            <w:tcW w:w="2220" w:type="dxa"/>
            <w:vAlign w:val="bottom"/>
            <w:gridSpan w:val="4"/>
            <w:shd w:val="clear" w:color="auto" w:fill="E5FFFF"/>
          </w:tcPr>
          <w:p>
            <w:pPr>
              <w:jc w:val="center"/>
              <w:ind w:right="280"/>
              <w:spacing w:after="0"/>
              <w:rPr>
                <w:sz w:val="20"/>
                <w:szCs w:val="20"/>
                <w:color w:val="auto"/>
              </w:rPr>
            </w:pPr>
            <w:r>
              <w:rPr>
                <w:rFonts w:ascii="Times New Roman" w:cs="Times New Roman" w:eastAsia="Times New Roman" w:hAnsi="Times New Roman"/>
                <w:sz w:val="16"/>
                <w:szCs w:val="16"/>
                <w:color w:val="auto"/>
              </w:rPr>
              <w:t>May 21, 2020</w:t>
            </w:r>
          </w:p>
        </w:tc>
        <w:tc>
          <w:tcPr>
            <w:tcW w:w="100" w:type="dxa"/>
            <w:vAlign w:val="bottom"/>
            <w:shd w:val="clear" w:color="auto" w:fill="E5FFFF"/>
          </w:tcPr>
          <w:p>
            <w:pPr>
              <w:spacing w:after="0"/>
              <w:rPr>
                <w:sz w:val="19"/>
                <w:szCs w:val="19"/>
                <w:color w:val="auto"/>
              </w:rPr>
            </w:pPr>
          </w:p>
        </w:tc>
        <w:tc>
          <w:tcPr>
            <w:tcW w:w="10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5,967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1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rPr>
              <w:t>May 14, 2020</w:t>
            </w:r>
          </w:p>
        </w:tc>
        <w:tc>
          <w:tcPr>
            <w:tcW w:w="21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Preference (Series A, B, C)</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$0.5390625, $0.5125, $0.53125</w:t>
            </w:r>
          </w:p>
        </w:tc>
        <w:tc>
          <w:tcPr>
            <w:tcW w:w="100" w:type="dxa"/>
            <w:vAlign w:val="bottom"/>
          </w:tcPr>
          <w:p>
            <w:pPr>
              <w:spacing w:after="0"/>
              <w:rPr>
                <w:sz w:val="18"/>
                <w:szCs w:val="18"/>
                <w:color w:val="auto"/>
              </w:rPr>
            </w:pPr>
          </w:p>
        </w:tc>
        <w:tc>
          <w:tcPr>
            <w:tcW w:w="22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June 15, 2020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2140" w:type="dxa"/>
            <w:vAlign w:val="bottom"/>
            <w:gridSpan w:val="3"/>
            <w:shd w:val="clear" w:color="auto" w:fill="E5FFFF"/>
          </w:tcPr>
          <w:p>
            <w:pPr>
              <w:jc w:val="center"/>
              <w:ind w:right="420"/>
              <w:spacing w:after="0"/>
              <w:rPr>
                <w:sz w:val="20"/>
                <w:szCs w:val="20"/>
                <w:color w:val="auto"/>
              </w:rPr>
            </w:pPr>
            <w:r>
              <w:rPr>
                <w:rFonts w:ascii="Times New Roman" w:cs="Times New Roman" w:eastAsia="Times New Roman" w:hAnsi="Times New Roman"/>
                <w:sz w:val="16"/>
                <w:szCs w:val="16"/>
                <w:color w:val="auto"/>
              </w:rPr>
              <w:t>August 4, 2020</w:t>
            </w:r>
          </w:p>
        </w:tc>
        <w:tc>
          <w:tcPr>
            <w:tcW w:w="2180" w:type="dxa"/>
            <w:vAlign w:val="bottom"/>
            <w:gridSpan w:val="2"/>
            <w:shd w:val="clear" w:color="auto" w:fill="E5FFFF"/>
          </w:tcPr>
          <w:p>
            <w:pPr>
              <w:jc w:val="center"/>
              <w:ind w:right="420"/>
              <w:spacing w:after="0"/>
              <w:rPr>
                <w:sz w:val="20"/>
                <w:szCs w:val="20"/>
                <w:color w:val="auto"/>
              </w:rPr>
            </w:pPr>
            <w:r>
              <w:rPr>
                <w:rFonts w:ascii="Times New Roman" w:cs="Times New Roman" w:eastAsia="Times New Roman" w:hAnsi="Times New Roman"/>
                <w:sz w:val="16"/>
                <w:szCs w:val="16"/>
                <w:color w:val="auto"/>
              </w:rPr>
              <w:t>Common</w:t>
            </w:r>
          </w:p>
        </w:tc>
        <w:tc>
          <w:tcPr>
            <w:tcW w:w="29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$0.125</w:t>
            </w:r>
          </w:p>
        </w:tc>
        <w:tc>
          <w:tcPr>
            <w:tcW w:w="100" w:type="dxa"/>
            <w:vAlign w:val="bottom"/>
            <w:shd w:val="clear" w:color="auto" w:fill="E5FFFF"/>
          </w:tcPr>
          <w:p>
            <w:pPr>
              <w:spacing w:after="0"/>
              <w:rPr>
                <w:sz w:val="19"/>
                <w:szCs w:val="19"/>
                <w:color w:val="auto"/>
              </w:rPr>
            </w:pPr>
          </w:p>
        </w:tc>
        <w:tc>
          <w:tcPr>
            <w:tcW w:w="2220" w:type="dxa"/>
            <w:vAlign w:val="bottom"/>
            <w:gridSpan w:val="4"/>
            <w:shd w:val="clear" w:color="auto" w:fill="E5FFFF"/>
          </w:tcPr>
          <w:p>
            <w:pPr>
              <w:jc w:val="center"/>
              <w:ind w:right="260"/>
              <w:spacing w:after="0"/>
              <w:rPr>
                <w:sz w:val="20"/>
                <w:szCs w:val="20"/>
                <w:color w:val="auto"/>
              </w:rPr>
            </w:pPr>
            <w:r>
              <w:rPr>
                <w:rFonts w:ascii="Times New Roman" w:cs="Times New Roman" w:eastAsia="Times New Roman" w:hAnsi="Times New Roman"/>
                <w:sz w:val="16"/>
                <w:szCs w:val="16"/>
                <w:color w:val="auto"/>
              </w:rPr>
              <w:t>August 20, 2020</w:t>
            </w:r>
          </w:p>
        </w:tc>
        <w:tc>
          <w:tcPr>
            <w:tcW w:w="100" w:type="dxa"/>
            <w:vAlign w:val="bottom"/>
            <w:shd w:val="clear" w:color="auto" w:fill="E5FFFF"/>
          </w:tcPr>
          <w:p>
            <w:pPr>
              <w:spacing w:after="0"/>
              <w:rPr>
                <w:sz w:val="19"/>
                <w:szCs w:val="19"/>
                <w:color w:val="auto"/>
              </w:rPr>
            </w:pPr>
          </w:p>
        </w:tc>
        <w:tc>
          <w:tcPr>
            <w:tcW w:w="10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6,022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21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color w:val="auto"/>
              </w:rPr>
              <w:t>August 4, 2020</w:t>
            </w:r>
          </w:p>
        </w:tc>
        <w:tc>
          <w:tcPr>
            <w:tcW w:w="21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Preference (Series A, B, C)</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$0.5390625, $0.5125, $0.53125</w:t>
            </w:r>
          </w:p>
        </w:tc>
        <w:tc>
          <w:tcPr>
            <w:tcW w:w="100" w:type="dxa"/>
            <w:vAlign w:val="bottom"/>
          </w:tcPr>
          <w:p>
            <w:pPr>
              <w:spacing w:after="0"/>
              <w:rPr>
                <w:sz w:val="18"/>
                <w:szCs w:val="18"/>
                <w:color w:val="auto"/>
              </w:rPr>
            </w:pPr>
          </w:p>
        </w:tc>
        <w:tc>
          <w:tcPr>
            <w:tcW w:w="222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color w:val="auto"/>
              </w:rPr>
              <w:t>September 15, 2020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172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300" w:type="dxa"/>
            <w:vAlign w:val="bottom"/>
            <w:tcBorders>
              <w:top w:val="single" w:sz="8" w:color="E5FFFF"/>
              <w:bottom w:val="single" w:sz="8" w:color="E5FFFF"/>
            </w:tcBorders>
            <w:shd w:val="clear" w:color="auto" w:fill="E5FFFF"/>
          </w:tcPr>
          <w:p>
            <w:pPr>
              <w:spacing w:after="0"/>
              <w:rPr>
                <w:sz w:val="17"/>
                <w:szCs w:val="17"/>
                <w:color w:val="auto"/>
              </w:rPr>
            </w:pPr>
          </w:p>
        </w:tc>
        <w:tc>
          <w:tcPr>
            <w:tcW w:w="2060" w:type="dxa"/>
            <w:vAlign w:val="bottom"/>
            <w:tcBorders>
              <w:top w:val="single" w:sz="8" w:color="E5FFFF"/>
              <w:bottom w:val="single" w:sz="8" w:color="E5FFFF"/>
            </w:tcBorders>
            <w:shd w:val="clear" w:color="auto" w:fill="E5FFFF"/>
          </w:tcPr>
          <w:p>
            <w:pPr>
              <w:spacing w:after="0"/>
              <w:rPr>
                <w:sz w:val="17"/>
                <w:szCs w:val="17"/>
                <w:color w:val="auto"/>
              </w:rPr>
            </w:pP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2920" w:type="dxa"/>
            <w:vAlign w:val="bottom"/>
            <w:tcBorders>
              <w:top w:val="single" w:sz="8" w:color="E5FFFF"/>
              <w:bottom w:val="single" w:sz="8" w:color="E5FFFF"/>
            </w:tcBorders>
            <w:shd w:val="clear" w:color="auto" w:fill="E5FFFF"/>
          </w:tcPr>
          <w:p>
            <w:pPr>
              <w:spacing w:after="0"/>
              <w:rPr>
                <w:sz w:val="17"/>
                <w:szCs w:val="17"/>
                <w:color w:val="auto"/>
              </w:rPr>
            </w:pP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940" w:type="dxa"/>
            <w:vAlign w:val="bottom"/>
            <w:tcBorders>
              <w:top w:val="single" w:sz="8" w:color="auto"/>
              <w:bottom w:val="single" w:sz="8" w:color="auto"/>
            </w:tcBorders>
            <w:gridSpan w:val="2"/>
            <w:shd w:val="clear" w:color="auto" w:fill="E5FF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60" w:type="dxa"/>
            <w:vAlign w:val="bottom"/>
            <w:tcBorders>
              <w:top w:val="single" w:sz="8" w:color="auto"/>
              <w:bottom w:val="single" w:sz="8" w:color="auto"/>
            </w:tcBorders>
            <w:shd w:val="clear" w:color="auto" w:fill="E5FFFF"/>
          </w:tcPr>
          <w:p>
            <w:pPr>
              <w:spacing w:after="0"/>
              <w:rPr>
                <w:sz w:val="17"/>
                <w:szCs w:val="17"/>
                <w:color w:val="auto"/>
              </w:rPr>
            </w:pPr>
          </w:p>
        </w:tc>
        <w:tc>
          <w:tcPr>
            <w:tcW w:w="100" w:type="dxa"/>
            <w:vAlign w:val="bottom"/>
            <w:tcBorders>
              <w:top w:val="single" w:sz="8" w:color="auto"/>
              <w:bottom w:val="single" w:sz="8" w:color="auto"/>
            </w:tcBorders>
            <w:shd w:val="clear" w:color="auto" w:fill="E5FFFF"/>
          </w:tcPr>
          <w:p>
            <w:pPr>
              <w:spacing w:after="0"/>
              <w:rPr>
                <w:sz w:val="17"/>
                <w:szCs w:val="17"/>
                <w:color w:val="auto"/>
              </w:rPr>
            </w:pP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$61,489</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7. Borrowings</w:t>
            </w: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380" w:type="dxa"/>
            <w:vAlign w:val="bottom"/>
            <w:gridSpan w:val="4"/>
            <w:vMerge w:val="continue"/>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24"/>
                <w:szCs w:val="24"/>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tcBorders>
              <w:top w:val="single" w:sz="8" w:color="E5FFFF"/>
            </w:tcBorders>
            <w:gridSpan w:val="4"/>
            <w:shd w:val="clear" w:color="auto" w:fill="E5FFFF"/>
          </w:tcPr>
          <w:p>
            <w:pPr>
              <w:spacing w:after="0"/>
              <w:rPr>
                <w:sz w:val="20"/>
                <w:szCs w:val="20"/>
                <w:color w:val="auto"/>
              </w:rPr>
            </w:pPr>
            <w:r>
              <w:rPr>
                <w:rFonts w:ascii="Times New Roman" w:cs="Times New Roman" w:eastAsia="Times New Roman" w:hAnsi="Times New Roman"/>
                <w:sz w:val="16"/>
                <w:szCs w:val="16"/>
                <w:color w:val="auto"/>
              </w:rPr>
              <w:t>Amounts due within one year</w:t>
            </w:r>
          </w:p>
        </w:tc>
        <w:tc>
          <w:tcPr>
            <w:tcW w:w="206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29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115,572</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109,673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45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Less: unamortized deferred loan issuance costs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(5,750)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(4,739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80" w:type="dxa"/>
            <w:vAlign w:val="bottom"/>
            <w:tcBorders>
              <w:top w:val="single" w:sz="8" w:color="E5FFFF"/>
            </w:tcBorders>
            <w:gridSpan w:val="4"/>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Borrowings – current portion</w:t>
            </w:r>
          </w:p>
        </w:tc>
        <w:tc>
          <w:tcPr>
            <w:tcW w:w="206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29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109,822</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104,934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Amounts due after one year</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1,250,059</w:t>
            </w: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1,214,062</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6"/>
        </w:trPr>
        <w:tc>
          <w:tcPr>
            <w:tcW w:w="4560" w:type="dxa"/>
            <w:vAlign w:val="bottom"/>
            <w:gridSpan w:val="6"/>
            <w:shd w:val="clear" w:color="auto" w:fill="E5FFFF"/>
          </w:tcPr>
          <w:p>
            <w:pPr>
              <w:spacing w:after="0"/>
              <w:rPr>
                <w:sz w:val="20"/>
                <w:szCs w:val="20"/>
                <w:color w:val="auto"/>
              </w:rPr>
            </w:pPr>
            <w:r>
              <w:rPr>
                <w:rFonts w:ascii="Times New Roman" w:cs="Times New Roman" w:eastAsia="Times New Roman" w:hAnsi="Times New Roman"/>
                <w:sz w:val="16"/>
                <w:szCs w:val="16"/>
                <w:color w:val="auto"/>
              </w:rPr>
              <w:t>Less: unamortized deferred loan issuance costs</w:t>
            </w:r>
          </w:p>
        </w:tc>
        <w:tc>
          <w:tcPr>
            <w:tcW w:w="29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320" w:type="dxa"/>
            <w:vAlign w:val="bottom"/>
            <w:gridSpan w:val="5"/>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(13,857)</w:t>
            </w:r>
          </w:p>
        </w:tc>
        <w:tc>
          <w:tcPr>
            <w:tcW w:w="1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(15,435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80" w:type="dxa"/>
            <w:vAlign w:val="bottom"/>
            <w:tcBorders>
              <w:bottom w:val="single" w:sz="8" w:color="E5FFFF"/>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Borrowings – non-current portion</w:t>
            </w:r>
          </w:p>
        </w:tc>
        <w:tc>
          <w:tcPr>
            <w:tcW w:w="2060" w:type="dxa"/>
            <w:vAlign w:val="bottom"/>
            <w:tcBorders>
              <w:bottom w:val="single" w:sz="8" w:color="E5FFFF"/>
            </w:tcBorders>
          </w:tcPr>
          <w:p>
            <w:pPr>
              <w:spacing w:after="0"/>
              <w:rPr>
                <w:sz w:val="17"/>
                <w:szCs w:val="17"/>
                <w:color w:val="auto"/>
              </w:rPr>
            </w:pPr>
          </w:p>
        </w:tc>
        <w:tc>
          <w:tcPr>
            <w:tcW w:w="120" w:type="dxa"/>
            <w:vAlign w:val="bottom"/>
            <w:tcBorders>
              <w:bottom w:val="single" w:sz="8" w:color="E5FFFF"/>
            </w:tcBorders>
          </w:tcPr>
          <w:p>
            <w:pPr>
              <w:spacing w:after="0"/>
              <w:rPr>
                <w:sz w:val="17"/>
                <w:szCs w:val="17"/>
                <w:color w:val="auto"/>
              </w:rPr>
            </w:pPr>
          </w:p>
        </w:tc>
        <w:tc>
          <w:tcPr>
            <w:tcW w:w="292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88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1,236,202</w:t>
            </w:r>
          </w:p>
        </w:tc>
        <w:tc>
          <w:tcPr>
            <w:tcW w:w="10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1,198,627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tcBorders>
              <w:bottom w:val="single" w:sz="8" w:color="E5FFFF"/>
            </w:tcBorders>
            <w:gridSpan w:val="4"/>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6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292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88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1,346,024</w:t>
            </w:r>
          </w:p>
        </w:tc>
        <w:tc>
          <w:tcPr>
            <w:tcW w:w="10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1,303,561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324"/>
        <w:spacing w:after="0" w:line="298" w:lineRule="auto"/>
        <w:rPr>
          <w:sz w:val="20"/>
          <w:szCs w:val="20"/>
          <w:color w:val="auto"/>
        </w:rPr>
      </w:pPr>
      <w:r>
        <w:rPr>
          <w:rFonts w:ascii="Times New Roman" w:cs="Times New Roman" w:eastAsia="Times New Roman" w:hAnsi="Times New Roman"/>
          <w:sz w:val="16"/>
          <w:szCs w:val="16"/>
          <w:color w:val="auto"/>
        </w:rPr>
        <w:t>The main terms of the bank loan facilities, including financial covenants, and the Sponsor Credit Facility have been disclosed in the annual consolidated financial statements for the year ended December 31, 2019. Refer to Note 7 “Borrowings”.</w:t>
      </w:r>
    </w:p>
    <w:p>
      <w:pPr>
        <w:spacing w:after="0" w:line="164"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6"/>
          <w:szCs w:val="16"/>
          <w:color w:val="auto"/>
        </w:rPr>
        <w:t xml:space="preserve">On July 16, 2020, GasLog Partners entered into a credit agreement of $260,331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facility will amortize over ten equal semi-annual installments of $8,597 beginning in January 2021, with a final balloon amount of $174,361 payable concurrently with the last installment in July 2025. Interest on the facility will be payable at a rate of USD London Interbank Offered Rate (“LIBOR”) plus a margin. The relevant amount of $260,331 was drawn on July 21, 2020, out of which $258,532 was used to refinance the outstanding indebtedness of GAS-twenty Ltd., GAS-seven Ltd. and GAS-eight Ltd., the respective entities owning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The existing loan facilities of the specified vessels were terminated and the respective unamortized loan fees of $1,154 were written off to profit or loss.</w:t>
      </w:r>
    </w:p>
    <w:p>
      <w:pPr>
        <w:spacing w:after="0" w:line="190"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6"/>
          <w:szCs w:val="16"/>
          <w:color w:val="auto"/>
        </w:rPr>
        <w:t>Also, on July 16, 2020, GasLog Partners entered into a credit agreement of $193,713 with DNB Bank ASA, London Branch, and ING Bank N.V., London Branch, each an original lender, with DNB Bank ASA, London Branch acting as security agent and trustee for and on behalf of the other finance party mentioned above, in order to refinance the existing indebtedness due in 2021 on three of its vessels. The facility will amortize over ten equal semi-annual installments of $8,599 beginning in</w:t>
      </w:r>
    </w:p>
    <w:p>
      <w:pPr>
        <w:spacing w:after="0" w:line="1"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 xml:space="preserve">January 2021, with a final balloon amount of $107,723 payable concurrently with the last installment in July 2025. Interest on the facility will be payable at a rate of USD LIBOR plus a margin. An amount of $193,713 was drawn down on July 21, 2020, out of which $174,867 was used to refinance the outstanding indebtedness of GAS-nineteen Ltd., GAS-twenty one Ltd. and GAS-twenty seven Ltd., the respective entities owning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Becki Anne</w:t>
      </w:r>
      <w:r>
        <w:rPr>
          <w:rFonts w:ascii="Times New Roman" w:cs="Times New Roman" w:eastAsia="Times New Roman" w:hAnsi="Times New Roman"/>
          <w:sz w:val="16"/>
          <w:szCs w:val="16"/>
          <w:color w:val="auto"/>
        </w:rPr>
        <w:t>. The existing loan facilities of the specified vessels were terminated and the respective unamortized loan fees of $764 were written off to profit or loss.</w:t>
      </w:r>
    </w:p>
    <w:p>
      <w:pPr>
        <w:spacing w:after="0" w:line="184"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6"/>
          <w:szCs w:val="16"/>
          <w:color w:val="auto"/>
        </w:rPr>
        <w:t>The obligations under the aforementioned facilities are secured by a first priority mortgage over the vessels owned by the respective borrowing entities, a pledge of the share capital of each vessel-owning company and a first priority assignment of earnings related to such vessels, including charter revenue, management revenue and any insurance and requisition compensation. Obligations under the facilities are guaranteed by the Partnership and its subsidiary GasLog Partners Holdings LLC. The facilities include customary restrictive covenants and, among other restrictions, a fair market value covenant pursuant to which an event of default could occur under the facility if the aggregate fair market value of the collateral vessel (without taking into account any charter arrangements) were to fall below 120% of the aggregate outstanding principal balance for the first facility and 130% of the aggregate outstanding principal balance plus any hedging exposure for the second facility. In addition, under the facilities, the respective vessel-owning entities are also required to maintain at all times minimum liquidity of $1,500 per entity ($5,500 for GAS-twenty Ltd.) and are in compliance as of September 30, 2020.</w:t>
      </w:r>
    </w:p>
    <w:p>
      <w:pPr>
        <w:spacing w:after="0" w:line="186" w:lineRule="exact"/>
        <w:rPr>
          <w:sz w:val="20"/>
          <w:szCs w:val="20"/>
          <w:color w:val="auto"/>
        </w:rPr>
      </w:pPr>
    </w:p>
    <w:p>
      <w:pPr>
        <w:ind w:right="400" w:firstLine="324"/>
        <w:spacing w:after="0" w:line="269" w:lineRule="auto"/>
        <w:rPr>
          <w:sz w:val="20"/>
          <w:szCs w:val="20"/>
          <w:color w:val="auto"/>
        </w:rPr>
      </w:pPr>
      <w:r>
        <w:rPr>
          <w:rFonts w:ascii="Times New Roman" w:cs="Times New Roman" w:eastAsia="Times New Roman" w:hAnsi="Times New Roman"/>
          <w:sz w:val="16"/>
          <w:szCs w:val="16"/>
          <w:color w:val="auto"/>
        </w:rPr>
        <w:t>The Partnership, as corporate guarantor is also subject to specified financial covenants on a consolidated basis. These financial covenants include the following as defined in the agreements:</w:t>
      </w:r>
    </w:p>
    <w:p>
      <w:pPr>
        <w:ind w:left="340" w:right="80" w:hanging="332"/>
        <w:spacing w:after="0" w:line="264"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cash and cash equivalents, short-term investments and available undrawn facilities with remaining maturities of at least six months (excluding loans from affiliates) must be at least $45,000;</w:t>
      </w:r>
    </w:p>
    <w:p>
      <w:pPr>
        <w:ind w:left="340" w:hanging="332"/>
        <w:spacing w:after="0"/>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indebtedness divided by total assets must be less than 65.0%;</w:t>
      </w:r>
    </w:p>
    <w:p>
      <w:pPr>
        <w:spacing w:after="0" w:line="18" w:lineRule="exact"/>
        <w:rPr>
          <w:rFonts w:ascii="Times New Roman" w:cs="Times New Roman" w:eastAsia="Times New Roman" w:hAnsi="Times New Roman"/>
          <w:sz w:val="16"/>
          <w:szCs w:val="16"/>
          <w:color w:val="auto"/>
        </w:rPr>
      </w:pPr>
    </w:p>
    <w:p>
      <w:pPr>
        <w:ind w:left="340" w:right="300" w:hanging="332"/>
        <w:spacing w:after="0" w:line="288"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Partnership is permitted to declare or pay any distributions, subject to no event of default having occurred or occurring as a consequence of the payment of such distributions.</w:t>
      </w:r>
    </w:p>
    <w:p>
      <w:pPr>
        <w:spacing w:after="0" w:line="171"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GasLog Partners was in compliance with its financial covenants as of September 30, 2020.</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color w:val="auto"/>
        </w:rPr>
        <w:t>8. Other Payables and Accruals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An analysis of other payables and accruals is as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Unearned revenue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off-hire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purchases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interest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accruals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Revenues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Partnership has recognized the following amounts relating to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2760" w:type="dxa"/>
        <w:tblCellMar>
          <w:top w:w="0" w:type="dxa"/>
          <w:left w:w="0" w:type="dxa"/>
          <w:bottom w:w="0" w:type="dxa"/>
          <w:right w:w="0" w:type="dxa"/>
        </w:tblCellMar>
      </w:tblPr>
      <w:tr>
        <w:trPr>
          <w:trHeight w:val="203"/>
        </w:trPr>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r>
      <w:tr>
        <w:trPr>
          <w:trHeight w:val="188"/>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27,916</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25,103</w:t>
            </w:r>
          </w:p>
        </w:tc>
        <w:tc>
          <w:tcPr>
            <w:tcW w:w="20" w:type="dxa"/>
            <w:vAlign w:val="bottom"/>
          </w:tcPr>
          <w:p>
            <w:pPr>
              <w:spacing w:after="0"/>
              <w:rPr>
                <w:sz w:val="16"/>
                <w:szCs w:val="16"/>
                <w:color w:val="auto"/>
              </w:rPr>
            </w:pPr>
          </w:p>
        </w:tc>
      </w:tr>
      <w:tr>
        <w:trPr>
          <w:trHeight w:val="210"/>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2,747</w:t>
            </w:r>
          </w:p>
        </w:tc>
      </w:tr>
      <w:tr>
        <w:trPr>
          <w:trHeight w:val="216"/>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6,205</w:t>
            </w:r>
          </w:p>
        </w:tc>
      </w:tr>
      <w:tr>
        <w:trPr>
          <w:trHeight w:val="216"/>
        </w:trPr>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12,393</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8,558</w:t>
            </w:r>
          </w:p>
        </w:tc>
      </w:tr>
      <w:tr>
        <w:trPr>
          <w:trHeight w:val="229"/>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10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7,952</w:t>
            </w:r>
          </w:p>
        </w:tc>
      </w:tr>
      <w:tr>
        <w:trPr>
          <w:trHeight w:val="203"/>
        </w:trPr>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51,570</w:t>
            </w:r>
          </w:p>
        </w:tc>
        <w:tc>
          <w:tcPr>
            <w:tcW w:w="100" w:type="dxa"/>
            <w:vAlign w:val="bottom"/>
          </w:tcPr>
          <w:p>
            <w:pPr>
              <w:spacing w:after="0"/>
              <w:rPr>
                <w:sz w:val="17"/>
                <w:szCs w:val="17"/>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50,565</w:t>
            </w: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-848360</wp:posOffset>
            </wp:positionV>
            <wp:extent cx="706374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-574040</wp:posOffset>
            </wp:positionV>
            <wp:extent cx="706374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-299720</wp:posOffset>
            </wp:positionV>
            <wp:extent cx="706374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16"/>
          <w:szCs w:val="16"/>
          <w:b w:val="1"/>
          <w:bCs w:val="1"/>
          <w:color w:val="auto"/>
        </w:rPr>
        <w:t>For the three months ended</w:t>
      </w:r>
      <w:r>
        <w:rPr>
          <w:sz w:val="20"/>
          <w:szCs w:val="20"/>
          <w:color w:val="auto"/>
        </w:rPr>
        <w:tab/>
      </w:r>
      <w:r>
        <w:rPr>
          <w:rFonts w:ascii="Times New Roman" w:cs="Times New Roman" w:eastAsia="Times New Roman" w:hAnsi="Times New Roman"/>
          <w:sz w:val="16"/>
          <w:szCs w:val="16"/>
          <w:b w:val="1"/>
          <w:bCs w:val="1"/>
          <w:color w:val="auto"/>
        </w:rPr>
        <w:t>For the nine months ended</w:t>
      </w:r>
    </w:p>
    <w:p>
      <w:pPr>
        <w:spacing w:after="0" w:line="28" w:lineRule="exact"/>
        <w:rPr>
          <w:sz w:val="20"/>
          <w:szCs w:val="20"/>
          <w:color w:val="auto"/>
        </w:rPr>
      </w:pPr>
    </w:p>
    <w:p>
      <w:pPr>
        <w:spacing w:after="0"/>
        <w:tabs>
          <w:tab w:leader="none" w:pos="1440" w:val="left"/>
          <w:tab w:leader="none" w:pos="2900" w:val="left"/>
          <w:tab w:leader="none" w:pos="4300" w:val="left"/>
        </w:tabs>
        <w:rPr>
          <w:sz w:val="20"/>
          <w:szCs w:val="20"/>
          <w:color w:val="auto"/>
        </w:rPr>
      </w:pPr>
      <w:r>
        <w:rPr>
          <w:rFonts w:ascii="Times New Roman" w:cs="Times New Roman" w:eastAsia="Times New Roman" w:hAnsi="Times New Roman"/>
          <w:sz w:val="16"/>
          <w:szCs w:val="16"/>
          <w:b w:val="1"/>
          <w:bCs w:val="1"/>
          <w:color w:val="auto"/>
        </w:rPr>
        <w:t>September 30,</w:t>
      </w:r>
      <w:r>
        <w:rPr>
          <w:sz w:val="20"/>
          <w:szCs w:val="20"/>
          <w:color w:val="auto"/>
        </w:rPr>
        <w:tab/>
      </w:r>
      <w:r>
        <w:rPr>
          <w:rFonts w:ascii="Times New Roman" w:cs="Times New Roman" w:eastAsia="Times New Roman" w:hAnsi="Times New Roman"/>
          <w:sz w:val="16"/>
          <w:szCs w:val="16"/>
          <w:b w:val="1"/>
          <w:bCs w:val="1"/>
          <w:color w:val="auto"/>
        </w:rPr>
        <w:t>September 30,</w:t>
      </w:r>
      <w:r>
        <w:rPr>
          <w:sz w:val="20"/>
          <w:szCs w:val="20"/>
          <w:color w:val="auto"/>
        </w:rPr>
        <w:tab/>
      </w:r>
      <w:r>
        <w:rPr>
          <w:rFonts w:ascii="Times New Roman" w:cs="Times New Roman" w:eastAsia="Times New Roman" w:hAnsi="Times New Roman"/>
          <w:sz w:val="16"/>
          <w:szCs w:val="16"/>
          <w:b w:val="1"/>
          <w:bCs w:val="1"/>
          <w:color w:val="auto"/>
        </w:rPr>
        <w:t>September 30,</w:t>
      </w:r>
      <w:r>
        <w:rPr>
          <w:sz w:val="20"/>
          <w:szCs w:val="20"/>
          <w:color w:val="auto"/>
        </w:rPr>
        <w:tab/>
      </w:r>
      <w:r>
        <w:rPr>
          <w:rFonts w:ascii="Times New Roman" w:cs="Times New Roman" w:eastAsia="Times New Roman" w:hAnsi="Times New Roman"/>
          <w:sz w:val="16"/>
          <w:szCs w:val="16"/>
          <w:b w:val="1"/>
          <w:bCs w:val="1"/>
          <w:color w:val="auto"/>
        </w:rPr>
        <w:t>September 30,</w:t>
      </w:r>
    </w:p>
    <w:p>
      <w:pPr>
        <w:spacing w:after="0" w:line="19" w:lineRule="exact"/>
        <w:rPr>
          <w:sz w:val="20"/>
          <w:szCs w:val="20"/>
          <w:color w:val="auto"/>
        </w:rPr>
      </w:pPr>
    </w:p>
    <w:p>
      <w:pPr>
        <w:ind w:left="340"/>
        <w:spacing w:after="0"/>
        <w:tabs>
          <w:tab w:leader="none" w:pos="1800" w:val="left"/>
          <w:tab w:leader="none" w:pos="3240" w:val="left"/>
          <w:tab w:leader="none" w:pos="464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2020</w:t>
      </w:r>
      <w:r>
        <w:rPr>
          <w:sz w:val="20"/>
          <w:szCs w:val="20"/>
          <w:color w:val="auto"/>
        </w:rPr>
        <w:tab/>
      </w: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2020</w:t>
      </w:r>
    </w:p>
    <w:p>
      <w:pPr>
        <w:spacing w:after="0" w:line="19" w:lineRule="exact"/>
        <w:rPr>
          <w:sz w:val="20"/>
          <w:szCs w:val="20"/>
          <w:color w:val="auto"/>
        </w:rPr>
      </w:pPr>
    </w:p>
    <w:p>
      <w:pPr>
        <w:sectPr>
          <w:pgSz w:w="11900" w:h="16838" w:orient="portrait"/>
          <w:cols w:equalWidth="0" w:num="2">
            <w:col w:w="5240" w:space="460"/>
            <w:col w:w="5540"/>
          </w:cols>
          <w:pgMar w:left="320" w:top="907" w:right="339" w:bottom="1440" w:gutter="0" w:footer="0" w:header="0"/>
        </w:sectPr>
      </w:pPr>
    </w:p>
    <w:tbl>
      <w:tblPr>
        <w:tblLayout w:type="fixed"/>
        <w:tblInd w:w="0" w:type="dxa"/>
        <w:tblCellMar>
          <w:top w:w="0" w:type="dxa"/>
          <w:left w:w="0" w:type="dxa"/>
          <w:bottom w:w="0" w:type="dxa"/>
          <w:right w:w="0" w:type="dxa"/>
        </w:tblCellMar>
      </w:tblPr>
      <w:tr>
        <w:trPr>
          <w:trHeight w:val="202"/>
        </w:trPr>
        <w:tc>
          <w:tcPr>
            <w:tcW w:w="55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 from time charters</w:t>
            </w:r>
          </w:p>
        </w:tc>
        <w:tc>
          <w:tcPr>
            <w:tcW w:w="13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96,485</w:t>
            </w:r>
          </w:p>
        </w:tc>
        <w:tc>
          <w:tcPr>
            <w:tcW w:w="1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72,813</w:t>
            </w:r>
          </w:p>
        </w:tc>
        <w:tc>
          <w:tcPr>
            <w:tcW w:w="1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277,181</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248,614</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the Cool Pool</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4,994</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5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96,485</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72,813</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282,175</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248,614</w:t>
            </w:r>
          </w:p>
        </w:tc>
      </w:tr>
      <w:tr>
        <w:trPr>
          <w:trHeight w:val="20"/>
        </w:trPr>
        <w:tc>
          <w:tcPr>
            <w:tcW w:w="5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200" w:firstLine="324"/>
        <w:spacing w:after="0" w:line="301" w:lineRule="auto"/>
        <w:rPr>
          <w:sz w:val="20"/>
          <w:szCs w:val="20"/>
          <w:color w:val="auto"/>
        </w:rPr>
      </w:pPr>
      <w:r>
        <w:rPr>
          <w:rFonts w:ascii="Times New Roman" w:cs="Times New Roman" w:eastAsia="Times New Roman" w:hAnsi="Times New Roman"/>
          <w:sz w:val="16"/>
          <w:szCs w:val="16"/>
          <w:color w:val="auto"/>
        </w:rPr>
        <w:t xml:space="preserve">Revenues from the Cool Pool for the nine months ended September 30, 2019 relate only to the pool revenues received from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and do not include the Net pool allocation to GasLog Partners of a gain of $1,058 for the nine months ended September 30, 2019. The vessel exited the Cool Pool in June 2019.</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 General and Administrative Expenses</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 analysis of general and administrative expenses is as follows:</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000" w:type="dxa"/>
            <w:vAlign w:val="bottom"/>
          </w:tcPr>
          <w:p>
            <w:pPr>
              <w:spacing w:after="0"/>
              <w:rPr>
                <w:sz w:val="18"/>
                <w:szCs w:val="18"/>
                <w:color w:val="auto"/>
              </w:rPr>
            </w:pPr>
          </w:p>
        </w:tc>
        <w:tc>
          <w:tcPr>
            <w:tcW w:w="1880" w:type="dxa"/>
            <w:vAlign w:val="bottom"/>
            <w:gridSpan w:val="2"/>
          </w:tcPr>
          <w:p>
            <w:pPr>
              <w:jc w:val="center"/>
              <w:ind w:left="438"/>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Administrative services fees (Note 3)</w:t>
            </w:r>
          </w:p>
        </w:tc>
        <w:tc>
          <w:tcPr>
            <w:tcW w:w="5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6,684</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5,879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Commercial management fees (Note 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1,350</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1,350</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8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E5FFFF"/>
          </w:tcPr>
          <w:p>
            <w:pPr>
              <w:spacing w:after="0"/>
              <w:rPr>
                <w:sz w:val="19"/>
                <w:szCs w:val="19"/>
                <w:color w:val="auto"/>
              </w:rPr>
            </w:pPr>
          </w:p>
        </w:tc>
        <w:tc>
          <w:tcPr>
            <w:tcW w:w="1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1,174</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E5FFFF"/>
          </w:tcPr>
          <w:p>
            <w:pPr>
              <w:spacing w:after="0"/>
              <w:rPr>
                <w:sz w:val="19"/>
                <w:szCs w:val="19"/>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4,917</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5,379</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14,352</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13,971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11. Vessel Operating Costs</w:t>
            </w:r>
          </w:p>
        </w:tc>
        <w:tc>
          <w:tcPr>
            <w:tcW w:w="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0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 analysis of vessel operating costs is as follows:</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4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000" w:type="dxa"/>
            <w:vAlign w:val="bottom"/>
          </w:tcPr>
          <w:p>
            <w:pPr>
              <w:spacing w:after="0"/>
              <w:rPr>
                <w:sz w:val="18"/>
                <w:szCs w:val="18"/>
                <w:color w:val="auto"/>
              </w:rPr>
            </w:pPr>
          </w:p>
        </w:tc>
        <w:tc>
          <w:tcPr>
            <w:tcW w:w="1880" w:type="dxa"/>
            <w:vAlign w:val="bottom"/>
            <w:gridSpan w:val="2"/>
          </w:tcPr>
          <w:p>
            <w:pPr>
              <w:jc w:val="center"/>
              <w:ind w:left="438"/>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Crew costs</w:t>
            </w:r>
          </w:p>
        </w:tc>
        <w:tc>
          <w:tcPr>
            <w:tcW w:w="5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9,178</w:t>
            </w:r>
          </w:p>
        </w:tc>
        <w:tc>
          <w:tcPr>
            <w:tcW w:w="12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9,312</w:t>
            </w:r>
          </w:p>
        </w:tc>
        <w:tc>
          <w:tcPr>
            <w:tcW w:w="1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27,451</w:t>
            </w:r>
          </w:p>
        </w:tc>
        <w:tc>
          <w:tcPr>
            <w:tcW w:w="1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26,931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Technical maintenance expenses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4,306</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5,493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14,003</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18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4,632</w:t>
            </w:r>
          </w:p>
        </w:tc>
        <w:tc>
          <w:tcPr>
            <w:tcW w:w="120" w:type="dxa"/>
            <w:vAlign w:val="bottom"/>
            <w:shd w:val="clear" w:color="auto" w:fill="E5FFFF"/>
          </w:tcPr>
          <w:p>
            <w:pPr>
              <w:spacing w:after="0"/>
              <w:rPr>
                <w:sz w:val="19"/>
                <w:szCs w:val="19"/>
                <w:color w:val="auto"/>
              </w:rPr>
            </w:pPr>
          </w:p>
        </w:tc>
        <w:tc>
          <w:tcPr>
            <w:tcW w:w="1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4,522</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13,841</w:t>
            </w:r>
          </w:p>
        </w:tc>
        <w:tc>
          <w:tcPr>
            <w:tcW w:w="100" w:type="dxa"/>
            <w:vAlign w:val="bottom"/>
            <w:shd w:val="clear" w:color="auto" w:fill="E5FFFF"/>
          </w:tcPr>
          <w:p>
            <w:pPr>
              <w:spacing w:after="0"/>
              <w:rPr>
                <w:sz w:val="19"/>
                <w:szCs w:val="19"/>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18,116</w:t>
            </w: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19,327</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55,295</w:t>
            </w: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55,315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color w:val="auto"/>
              </w:rPr>
              <w:t>F-11</w:t>
            </w: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7" w:right="339" w:bottom="1440" w:gutter="0" w:footer="0" w:header="0"/>
          <w:type w:val="continuous"/>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 Derivative Financial Instruments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The fair value of the derivative assets is as follows: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460" w:type="dxa"/>
            <w:vAlign w:val="bottom"/>
          </w:tcPr>
          <w:p>
            <w:pPr>
              <w:spacing w:after="0"/>
              <w:rPr>
                <w:sz w:val="24"/>
                <w:szCs w:val="24"/>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846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213"/>
        </w:trPr>
        <w:tc>
          <w:tcPr>
            <w:tcW w:w="84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Derivative assets carried at fair value through profit or loss (FVTPL)</w:t>
            </w:r>
          </w:p>
        </w:tc>
        <w:tc>
          <w:tcPr>
            <w:tcW w:w="1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84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Forward foreign exchange contracts</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E5FFFF"/>
          </w:tcPr>
          <w:p>
            <w:pPr>
              <w:spacing w:after="0"/>
              <w:rPr>
                <w:sz w:val="19"/>
                <w:szCs w:val="19"/>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36"/>
        </w:trPr>
        <w:tc>
          <w:tcPr>
            <w:tcW w:w="84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372</w:t>
            </w:r>
          </w:p>
        </w:tc>
        <w:tc>
          <w:tcPr>
            <w:tcW w:w="10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0" w:type="dxa"/>
            <w:vAlign w:val="bottom"/>
          </w:tcPr>
          <w:p>
            <w:pPr>
              <w:spacing w:after="0"/>
              <w:rPr>
                <w:sz w:val="1"/>
                <w:szCs w:val="1"/>
                <w:color w:val="auto"/>
              </w:rPr>
            </w:pPr>
          </w:p>
        </w:tc>
      </w:tr>
      <w:tr>
        <w:trPr>
          <w:trHeight w:val="183"/>
        </w:trPr>
        <w:tc>
          <w:tcPr>
            <w:tcW w:w="8460" w:type="dxa"/>
            <w:vAlign w:val="bottom"/>
            <w:shd w:val="clear" w:color="auto" w:fill="E5FFFF"/>
          </w:tcPr>
          <w:p>
            <w:pPr>
              <w:spacing w:after="0" w:line="177" w:lineRule="exact"/>
              <w:rPr>
                <w:sz w:val="20"/>
                <w:szCs w:val="20"/>
                <w:color w:val="auto"/>
              </w:rPr>
            </w:pPr>
            <w:r>
              <w:rPr>
                <w:rFonts w:ascii="Times New Roman" w:cs="Times New Roman" w:eastAsia="Times New Roman" w:hAnsi="Times New Roman"/>
                <w:sz w:val="16"/>
                <w:szCs w:val="16"/>
                <w:color w:val="auto"/>
              </w:rPr>
              <w:t>Derivative financial instruments, current asset</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E5FFFF"/>
          </w:tcPr>
          <w:p>
            <w:pPr>
              <w:spacing w:after="0"/>
              <w:rPr>
                <w:sz w:val="15"/>
                <w:szCs w:val="15"/>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196"/>
        </w:trPr>
        <w:tc>
          <w:tcPr>
            <w:tcW w:w="8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372</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141</w:t>
            </w:r>
          </w:p>
        </w:tc>
        <w:tc>
          <w:tcPr>
            <w:tcW w:w="0" w:type="dxa"/>
            <w:vAlign w:val="bottom"/>
          </w:tcPr>
          <w:p>
            <w:pPr>
              <w:spacing w:after="0"/>
              <w:rPr>
                <w:sz w:val="1"/>
                <w:szCs w:val="1"/>
                <w:color w:val="auto"/>
              </w:rPr>
            </w:pPr>
          </w:p>
        </w:tc>
      </w:tr>
      <w:tr>
        <w:trPr>
          <w:trHeight w:val="20"/>
        </w:trPr>
        <w:tc>
          <w:tcPr>
            <w:tcW w:w="84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The fair value of the derivative liabilities is as follows:</w:t>
            </w: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4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460" w:type="dxa"/>
            <w:vAlign w:val="bottom"/>
          </w:tcPr>
          <w:p>
            <w:pPr>
              <w:spacing w:after="0"/>
              <w:rPr>
                <w:sz w:val="24"/>
                <w:szCs w:val="24"/>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846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212"/>
        </w:trPr>
        <w:tc>
          <w:tcPr>
            <w:tcW w:w="84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Derivative liabilities carried at fair value through profit or loss (FVTPL)</w:t>
            </w:r>
          </w:p>
        </w:tc>
        <w:tc>
          <w:tcPr>
            <w:tcW w:w="1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9,233</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22,245</w:t>
            </w:r>
          </w:p>
        </w:tc>
        <w:tc>
          <w:tcPr>
            <w:tcW w:w="0" w:type="dxa"/>
            <w:vAlign w:val="bottom"/>
          </w:tcPr>
          <w:p>
            <w:pPr>
              <w:spacing w:after="0"/>
              <w:rPr>
                <w:sz w:val="1"/>
                <w:szCs w:val="1"/>
                <w:color w:val="auto"/>
              </w:rPr>
            </w:pPr>
          </w:p>
        </w:tc>
      </w:tr>
      <w:tr>
        <w:trPr>
          <w:trHeight w:val="222"/>
        </w:trPr>
        <w:tc>
          <w:tcPr>
            <w:tcW w:w="84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Forward foreign exchange contracts</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E5FFFF"/>
          </w:tcPr>
          <w:p>
            <w:pPr>
              <w:spacing w:after="0"/>
              <w:rPr>
                <w:sz w:val="19"/>
                <w:szCs w:val="19"/>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84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9,295</w:t>
            </w:r>
          </w:p>
        </w:tc>
        <w:tc>
          <w:tcPr>
            <w:tcW w:w="10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22,245</w:t>
            </w:r>
          </w:p>
        </w:tc>
        <w:tc>
          <w:tcPr>
            <w:tcW w:w="0" w:type="dxa"/>
            <w:vAlign w:val="bottom"/>
          </w:tcPr>
          <w:p>
            <w:pPr>
              <w:spacing w:after="0"/>
              <w:rPr>
                <w:sz w:val="1"/>
                <w:szCs w:val="1"/>
                <w:color w:val="auto"/>
              </w:rPr>
            </w:pPr>
          </w:p>
        </w:tc>
      </w:tr>
      <w:tr>
        <w:trPr>
          <w:trHeight w:val="183"/>
        </w:trPr>
        <w:tc>
          <w:tcPr>
            <w:tcW w:w="8460" w:type="dxa"/>
            <w:vAlign w:val="bottom"/>
            <w:shd w:val="clear" w:color="auto" w:fill="E5FFFF"/>
          </w:tcPr>
          <w:p>
            <w:pPr>
              <w:spacing w:after="0" w:line="177" w:lineRule="exact"/>
              <w:rPr>
                <w:sz w:val="20"/>
                <w:szCs w:val="20"/>
                <w:color w:val="auto"/>
              </w:rPr>
            </w:pPr>
            <w:r>
              <w:rPr>
                <w:rFonts w:ascii="Times New Roman" w:cs="Times New Roman" w:eastAsia="Times New Roman" w:hAnsi="Times New Roman"/>
                <w:sz w:val="16"/>
                <w:szCs w:val="16"/>
                <w:color w:val="auto"/>
              </w:rPr>
              <w:t>Derivative financial instruments, current liability</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00" w:type="dxa"/>
            <w:vAlign w:val="bottom"/>
            <w:shd w:val="clear" w:color="auto" w:fill="E5FFFF"/>
          </w:tcPr>
          <w:p>
            <w:pPr>
              <w:spacing w:after="0"/>
              <w:rPr>
                <w:sz w:val="15"/>
                <w:szCs w:val="15"/>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8,312</w:t>
            </w:r>
          </w:p>
        </w:tc>
        <w:tc>
          <w:tcPr>
            <w:tcW w:w="0" w:type="dxa"/>
            <w:vAlign w:val="bottom"/>
          </w:tcPr>
          <w:p>
            <w:pPr>
              <w:spacing w:after="0"/>
              <w:rPr>
                <w:sz w:val="1"/>
                <w:szCs w:val="1"/>
                <w:color w:val="auto"/>
              </w:rPr>
            </w:pPr>
          </w:p>
        </w:tc>
      </w:tr>
      <w:tr>
        <w:trPr>
          <w:trHeight w:val="210"/>
        </w:trPr>
        <w:tc>
          <w:tcPr>
            <w:tcW w:w="84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liability</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6,688</w:t>
            </w:r>
          </w:p>
        </w:tc>
        <w:tc>
          <w:tcPr>
            <w:tcW w:w="10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13,933</w:t>
            </w:r>
          </w:p>
        </w:tc>
        <w:tc>
          <w:tcPr>
            <w:tcW w:w="0" w:type="dxa"/>
            <w:vAlign w:val="bottom"/>
          </w:tcPr>
          <w:p>
            <w:pPr>
              <w:spacing w:after="0"/>
              <w:rPr>
                <w:sz w:val="1"/>
                <w:szCs w:val="1"/>
                <w:color w:val="auto"/>
              </w:rPr>
            </w:pPr>
          </w:p>
        </w:tc>
      </w:tr>
      <w:tr>
        <w:trPr>
          <w:trHeight w:val="202"/>
        </w:trPr>
        <w:tc>
          <w:tcPr>
            <w:tcW w:w="846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9,295</w:t>
            </w:r>
          </w:p>
        </w:tc>
        <w:tc>
          <w:tcPr>
            <w:tcW w:w="10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22,245</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Interest rate swap agreements</w:t>
      </w:r>
    </w:p>
    <w:p>
      <w:pPr>
        <w:spacing w:after="0" w:line="237"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6"/>
          <w:szCs w:val="16"/>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USD LIBOR, and the Partnership effects quarterly payments to the counterparty on the notional amount at the respective fixed rates.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Interest rate swaps held for trading</w:t>
      </w:r>
    </w:p>
    <w:p>
      <w:pPr>
        <w:spacing w:after="0" w:line="239" w:lineRule="exact"/>
        <w:rPr>
          <w:sz w:val="20"/>
          <w:szCs w:val="20"/>
          <w:color w:val="auto"/>
        </w:rPr>
      </w:pPr>
    </w:p>
    <w:p>
      <w:pPr>
        <w:ind w:right="140" w:firstLine="324"/>
        <w:spacing w:after="0" w:line="298" w:lineRule="auto"/>
        <w:rPr>
          <w:sz w:val="20"/>
          <w:szCs w:val="20"/>
          <w:color w:val="auto"/>
        </w:rPr>
      </w:pPr>
      <w:r>
        <w:rPr>
          <w:rFonts w:ascii="Times New Roman" w:cs="Times New Roman" w:eastAsia="Times New Roman" w:hAnsi="Times New Roman"/>
          <w:sz w:val="16"/>
          <w:szCs w:val="16"/>
          <w:color w:val="auto"/>
        </w:rPr>
        <w:t>The principal terms of the Partnership’s interest rate swaps held for trading as of December 31, 2019 have been disclosed in the annual audited consolidated financial statements for the year ended December 31, 2019. Refer to Note 18 “Derivative Financial Instruments”.</w:t>
      </w:r>
    </w:p>
    <w:p>
      <w:pPr>
        <w:spacing w:after="0" w:line="164"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6"/>
          <w:szCs w:val="16"/>
          <w:color w:val="auto"/>
        </w:rPr>
        <w:t>Pursuant to the Credit Support Annex entered into in March 2020, whereby GasLog Partners agreed to effect deposit cash collateral payments with GasLog in connection with its derivative instruments with GasLog (Note 3), the fixed interest rates of the six interest rate swaps as of December 31, 2019 were decreased by 20 basis points or 0.2%.</w:t>
      </w:r>
    </w:p>
    <w:p>
      <w:pPr>
        <w:spacing w:after="0" w:line="177" w:lineRule="exact"/>
        <w:rPr>
          <w:sz w:val="20"/>
          <w:szCs w:val="20"/>
          <w:color w:val="auto"/>
        </w:rPr>
      </w:pPr>
    </w:p>
    <w:p>
      <w:pPr>
        <w:ind w:right="140" w:firstLine="324"/>
        <w:spacing w:after="0" w:line="275" w:lineRule="auto"/>
        <w:rPr>
          <w:sz w:val="20"/>
          <w:szCs w:val="20"/>
          <w:color w:val="auto"/>
        </w:rPr>
      </w:pPr>
      <w:r>
        <w:rPr>
          <w:rFonts w:ascii="Times New Roman" w:cs="Times New Roman" w:eastAsia="Times New Roman" w:hAnsi="Times New Roman"/>
          <w:sz w:val="16"/>
          <w:szCs w:val="16"/>
          <w:color w:val="auto"/>
        </w:rPr>
        <w:t>In the three months ended September 30, 2020, the Partnership terminated two interest rate swap agreements with an aggregate notional amount of $155,000 initially due in 2023 and 2024 with GasLog by paying an amount of $13,210 equal to their aggregate fair values upon termination. Also, GAS-twenty seven Ltd. entered into four new interest rate swap agreements with an aggregate notional amount of $133,333 due in 2024 and 2025 with DNB Bank ASA, London Branch and ING Bank N.V., London Branch, the banks which were registered as hedging providers under the relevant facility entered into in July 2020 (Note 7), receiving an amount of $16,056.</w:t>
      </w:r>
    </w:p>
    <w:p>
      <w:pPr>
        <w:spacing w:after="0" w:line="183" w:lineRule="exact"/>
        <w:rPr>
          <w:sz w:val="20"/>
          <w:szCs w:val="20"/>
          <w:color w:val="auto"/>
        </w:rPr>
      </w:pPr>
    </w:p>
    <w:p>
      <w:pPr>
        <w:ind w:right="40" w:firstLine="324"/>
        <w:spacing w:after="0" w:line="271" w:lineRule="auto"/>
        <w:rPr>
          <w:sz w:val="20"/>
          <w:szCs w:val="20"/>
          <w:color w:val="auto"/>
        </w:rPr>
      </w:pPr>
      <w:r>
        <w:rPr>
          <w:rFonts w:ascii="Times New Roman" w:cs="Times New Roman" w:eastAsia="Times New Roman" w:hAnsi="Times New Roman"/>
          <w:sz w:val="16"/>
          <w:szCs w:val="16"/>
          <w:color w:val="auto"/>
        </w:rPr>
        <w:t>The derivative instruments of the Partnership were not designated as cash flow hedging instruments as of September 30, 2020. The change in the fair value of the interest rate swaps for the three and nine months ended September 30, 2020 amounted to a gain of $1,617 and a loss of $10,531, respectively (for the three and nine months ended September 30, 2019 a loss of $2,286 and $16,895, respectively), which was recognized in profit or loss in the period incurred and is included in Loss on derivatives. During the three and nine months ended September 30, 2020, the gain of $1,617/ loss of $10,531, respectively (Note 13), was attributable to changes in the USD LIBOR yield curve, which was used to calculate the present value of the estimated future cash flows, resulting in a decrease/increase in net derivative liabilities from interest rate swaps held for trading.</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Forward foreign exchange contracts</w:t>
      </w:r>
    </w:p>
    <w:p>
      <w:pPr>
        <w:spacing w:after="0" w:line="237"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6"/>
          <w:szCs w:val="16"/>
          <w:color w:val="auto"/>
        </w:rPr>
        <w:t>The Partnership uses non-deliverable forward foreign exchange contracts to mitigate foreign exchange transaction exposures in Euros (“EUR”) and Singapore Dollars (“SGD”). Under these non-deliverable forward foreign exchange contracts, the counterparties (GasLog and the Partnership)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7" w:right="39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Forward foreign exchange contracts held for trading</w:t>
      </w:r>
    </w:p>
    <w:p>
      <w:pPr>
        <w:spacing w:after="0" w:line="239" w:lineRule="exact"/>
        <w:rPr>
          <w:sz w:val="20"/>
          <w:szCs w:val="20"/>
          <w:color w:val="auto"/>
        </w:rPr>
      </w:pPr>
    </w:p>
    <w:p>
      <w:pPr>
        <w:ind w:right="260" w:firstLine="324"/>
        <w:spacing w:after="0" w:line="281" w:lineRule="auto"/>
        <w:rPr>
          <w:sz w:val="20"/>
          <w:szCs w:val="20"/>
          <w:color w:val="auto"/>
        </w:rPr>
      </w:pPr>
      <w:r>
        <w:rPr>
          <w:rFonts w:ascii="Times New Roman" w:cs="Times New Roman" w:eastAsia="Times New Roman" w:hAnsi="Times New Roman"/>
          <w:sz w:val="16"/>
          <w:szCs w:val="16"/>
          <w:color w:val="auto"/>
        </w:rPr>
        <w:t>The principal terms of the forward foreign exchange contracts held for trading as of December 31, 2019 have been disclosed in the annual audited consolidated financial statements for the year ended December 31, 2019. Refer to Note 18 “Derivative Financial Instruments”. During the nine months ended September 30, 2020, the Partnership did not enter into any new forward foreign exchange contracts, while twenty-four contracts expired in the same period.</w:t>
      </w:r>
    </w:p>
    <w:p>
      <w:pPr>
        <w:spacing w:after="0" w:line="177"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The change in the fair value of these contracts for the three and nine months ended September 30, 2020 amounted to a gain of $265 and $196, respectively (for the three and nine months ended September 30, 2019, a loss of $159 and a gain of $197, respectively), which was recognized in profit or loss in the period incurred and is included in Loss on derivatives (Note 13).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13. Financial Costs and Loss on Derivatives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 analysis of financial costs is as follows: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520" w:type="dxa"/>
            <w:vAlign w:val="bottom"/>
          </w:tcPr>
          <w:p>
            <w:pPr>
              <w:spacing w:after="0"/>
              <w:rPr>
                <w:sz w:val="24"/>
                <w:szCs w:val="24"/>
                <w:color w:val="auto"/>
              </w:rPr>
            </w:pPr>
          </w:p>
        </w:tc>
        <w:tc>
          <w:tcPr>
            <w:tcW w:w="2940" w:type="dxa"/>
            <w:vAlign w:val="bottom"/>
            <w:gridSpan w:val="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20" w:type="dxa"/>
            <w:vAlign w:val="bottom"/>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5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Amortization and write-off of deferred loan issuance costs</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2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5,399</w:t>
            </w: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on loans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15,812</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9,094</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49,245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Lease expense</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E5FFFF"/>
          </w:tcPr>
          <w:p>
            <w:pPr>
              <w:spacing w:after="0"/>
              <w:rPr>
                <w:sz w:val="19"/>
                <w:szCs w:val="19"/>
                <w:color w:val="auto"/>
              </w:rPr>
            </w:pPr>
          </w:p>
        </w:tc>
        <w:tc>
          <w:tcPr>
            <w:tcW w:w="1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E5FFFF"/>
          </w:tcPr>
          <w:p>
            <w:pPr>
              <w:spacing w:after="0"/>
              <w:rPr>
                <w:sz w:val="19"/>
                <w:szCs w:val="19"/>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Commitment fees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financial costs including bank commissions</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E5FFFF"/>
          </w:tcPr>
          <w:p>
            <w:pPr>
              <w:spacing w:after="0"/>
              <w:rPr>
                <w:sz w:val="19"/>
                <w:szCs w:val="19"/>
                <w:color w:val="auto"/>
              </w:rPr>
            </w:pPr>
          </w:p>
        </w:tc>
        <w:tc>
          <w:tcPr>
            <w:tcW w:w="1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E5FFFF"/>
          </w:tcPr>
          <w:p>
            <w:pPr>
              <w:spacing w:after="0"/>
              <w:rPr>
                <w:sz w:val="19"/>
                <w:szCs w:val="19"/>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financial costs</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17,534</w:t>
            </w: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12,437</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55,650</w:t>
            </w: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41,017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An analysis of loss on derivatives is as follows:</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5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520" w:type="dxa"/>
            <w:vAlign w:val="bottom"/>
          </w:tcPr>
          <w:p>
            <w:pPr>
              <w:spacing w:after="0"/>
              <w:rPr>
                <w:sz w:val="24"/>
                <w:szCs w:val="24"/>
                <w:color w:val="auto"/>
              </w:rPr>
            </w:pPr>
          </w:p>
        </w:tc>
        <w:tc>
          <w:tcPr>
            <w:tcW w:w="2940" w:type="dxa"/>
            <w:vAlign w:val="bottom"/>
            <w:gridSpan w:val="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20" w:type="dxa"/>
            <w:vAlign w:val="bottom"/>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5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Unrealized loss/(gain) on interest rate swaps held for trading (Note 12)</w:t>
            </w: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20" w:type="dxa"/>
            <w:vAlign w:val="bottom"/>
            <w:shd w:val="clear" w:color="auto" w:fill="E5FFFF"/>
          </w:tcPr>
          <w:p>
            <w:pPr>
              <w:spacing w:after="0"/>
              <w:rPr>
                <w:sz w:val="17"/>
                <w:szCs w:val="17"/>
                <w:color w:val="auto"/>
              </w:rPr>
            </w:pP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16,895</w:t>
            </w: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10,531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loss/(gain) on forward foreign exchange contracts held for trading</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 12)</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(265)</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22"/>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Realized (gain)/loss on interest rate swaps held for trading</w:t>
            </w:r>
          </w:p>
        </w:tc>
        <w:tc>
          <w:tcPr>
            <w:tcW w:w="148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(406)</w:t>
            </w:r>
          </w:p>
        </w:tc>
        <w:tc>
          <w:tcPr>
            <w:tcW w:w="1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6"/>
                <w:szCs w:val="16"/>
                <w:color w:val="auto"/>
              </w:rPr>
              <w:t>2,988</w:t>
            </w:r>
          </w:p>
        </w:tc>
        <w:tc>
          <w:tcPr>
            <w:tcW w:w="144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(2,334)</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4,113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Realized loss/(gain) on forward foreign exchange contracts held for trading</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loss on derivatives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2,385</w:t>
            </w:r>
          </w:p>
        </w:tc>
        <w:tc>
          <w:tcPr>
            <w:tcW w:w="120" w:type="dxa"/>
            <w:vAlign w:val="bottom"/>
            <w:tcBorders>
              <w:top w:val="single" w:sz="8" w:color="E5FFFF"/>
              <w:bottom w:val="single" w:sz="8" w:color="E5FFFF"/>
            </w:tcBorders>
            <w:shd w:val="clear" w:color="auto" w:fill="E5FFFF"/>
          </w:tcPr>
          <w:p>
            <w:pPr>
              <w:spacing w:after="0"/>
              <w:rPr>
                <w:sz w:val="17"/>
                <w:szCs w:val="17"/>
                <w:color w:val="auto"/>
              </w:rPr>
            </w:pP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990</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15,528</w:t>
            </w:r>
          </w:p>
        </w:tc>
        <w:tc>
          <w:tcPr>
            <w:tcW w:w="100" w:type="dxa"/>
            <w:vAlign w:val="bottom"/>
            <w:tcBorders>
              <w:top w:val="single" w:sz="8" w:color="E5FFFF"/>
              <w:bottom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14,741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Earnings per Unit (“EPU”)</w:t>
      </w:r>
    </w:p>
    <w:p>
      <w:pPr>
        <w:spacing w:after="0" w:line="237" w:lineRule="exact"/>
        <w:rPr>
          <w:sz w:val="20"/>
          <w:szCs w:val="20"/>
          <w:color w:val="auto"/>
        </w:rPr>
      </w:pPr>
    </w:p>
    <w:p>
      <w:pPr>
        <w:ind w:right="100" w:firstLine="324"/>
        <w:spacing w:after="0" w:line="298" w:lineRule="auto"/>
        <w:rPr>
          <w:sz w:val="20"/>
          <w:szCs w:val="20"/>
          <w:color w:val="auto"/>
        </w:rPr>
      </w:pPr>
      <w:r>
        <w:rPr>
          <w:rFonts w:ascii="Times New Roman" w:cs="Times New Roman" w:eastAsia="Times New Roman" w:hAnsi="Times New Roman"/>
          <w:sz w:val="16"/>
          <w:szCs w:val="16"/>
          <w:color w:val="auto"/>
        </w:rPr>
        <w:t>The Partnership calculates earnings per unit by allocating reported profit for each period to each class of units based on the distribution policy for available cash stated in the Partnership Agreement.</w:t>
      </w:r>
    </w:p>
    <w:p>
      <w:pPr>
        <w:spacing w:after="0" w:line="164"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6"/>
          <w:szCs w:val="16"/>
          <w:color w:val="auto"/>
        </w:rPr>
        <w:t>Basic earnings per unit is determined by dividing profit for the period, after deducting preference unit distributions, by the weighted average number of units outstanding during the period. Diluted earnings per unit is calculated by dividing the profit of the period attributable to common unitholders by the weighted average number of potential ordinary common units assumed to have been converted into common units, unless such potential ordinary common units have an antidilutive effect.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37" w:name="page38"/>
    <w:bookmarkEnd w:id="37"/>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Earnings per unit is presented for the period in which the units were outstanding, with earnings calculated as follows:</w:t>
      </w:r>
    </w:p>
    <w:p>
      <w:pPr>
        <w:sectPr>
          <w:pgSz w:w="11900" w:h="16862" w:orient="portrait"/>
          <w:cols w:equalWidth="0" w:num="1">
            <w:col w:w="11240"/>
          </w:cols>
          <w:pgMar w:left="320" w:top="90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Profit attributable to GasLog’s operations*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Partnership’s profit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Adjustment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Paid and accrued preference unit distributions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Partnership’s profit attributable to:</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unitholders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Incentive distribution rights**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Weighted average number of units outstanding (basic)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 units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per unit (basic)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unitholders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Weighted average number of units outstanding (diluted)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 units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Earnings per unit (diluted)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unitholders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partner</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940" w:type="dxa"/>
            <w:vAlign w:val="bottom"/>
            <w:gridSpan w:val="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2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29,434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11,866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71,593</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34,248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(2,650)</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29,434</w:t>
            </w:r>
          </w:p>
        </w:tc>
        <w:tc>
          <w:tcPr>
            <w:tcW w:w="1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11,866</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68,943</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34,248</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(7,582)</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(7,582)</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(22,746)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(22,746)</w:t>
            </w:r>
          </w:p>
        </w:tc>
        <w:tc>
          <w:tcPr>
            <w:tcW w:w="0" w:type="dxa"/>
            <w:vAlign w:val="bottom"/>
          </w:tcPr>
          <w:p>
            <w:pPr>
              <w:spacing w:after="0"/>
              <w:rPr>
                <w:sz w:val="1"/>
                <w:szCs w:val="1"/>
                <w:color w:val="auto"/>
              </w:rPr>
            </w:pPr>
          </w:p>
        </w:tc>
      </w:tr>
      <w:tr>
        <w:trPr>
          <w:trHeight w:val="202"/>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21,852</w:t>
            </w: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4,284</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46,197</w:t>
            </w:r>
          </w:p>
        </w:tc>
        <w:tc>
          <w:tcPr>
            <w:tcW w:w="100" w:type="dxa"/>
            <w:vAlign w:val="bottom"/>
          </w:tcPr>
          <w:p>
            <w:pPr>
              <w:spacing w:after="0"/>
              <w:rPr>
                <w:sz w:val="17"/>
                <w:szCs w:val="17"/>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11,502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21,388</w:t>
            </w:r>
          </w:p>
        </w:tc>
        <w:tc>
          <w:tcPr>
            <w:tcW w:w="120" w:type="dxa"/>
            <w:vAlign w:val="bottom"/>
            <w:vMerge w:val="continue"/>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4,193</w:t>
            </w:r>
          </w:p>
        </w:tc>
        <w:tc>
          <w:tcPr>
            <w:tcW w:w="100" w:type="dxa"/>
            <w:vAlign w:val="bottom"/>
            <w:vMerge w:val="continue"/>
          </w:tcPr>
          <w:p>
            <w:pPr>
              <w:spacing w:after="0"/>
              <w:rPr>
                <w:sz w:val="15"/>
                <w:szCs w:val="15"/>
                <w:color w:val="auto"/>
              </w:rPr>
            </w:pPr>
          </w:p>
        </w:tc>
        <w:tc>
          <w:tcPr>
            <w:tcW w:w="13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45,246</w:t>
            </w:r>
          </w:p>
        </w:tc>
        <w:tc>
          <w:tcPr>
            <w:tcW w:w="100" w:type="dxa"/>
            <w:vAlign w:val="bottom"/>
            <w:vMerge w:val="continue"/>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11,256</w:t>
            </w:r>
          </w:p>
        </w:tc>
        <w:tc>
          <w:tcPr>
            <w:tcW w:w="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91</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N/A</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432"/>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47,325,212</w:t>
            </w:r>
          </w:p>
        </w:tc>
        <w:tc>
          <w:tcPr>
            <w:tcW w:w="12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47,167,488</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46,031,861</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46,882,894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1,021,336</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1,021,336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960,095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1,021,336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2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0.09</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0.09</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49,871,320</w:t>
            </w:r>
          </w:p>
        </w:tc>
        <w:tc>
          <w:tcPr>
            <w:tcW w:w="12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49,552,917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46,940,668</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49,521,584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1,021,336</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1,021,336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960,095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1,021,336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0.08</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0.09</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0.99</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-3030220</wp:posOffset>
            </wp:positionV>
            <wp:extent cx="706374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-2755900</wp:posOffset>
            </wp:positionV>
            <wp:extent cx="706374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-2481580</wp:posOffset>
            </wp:positionV>
            <wp:extent cx="706374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-2207260</wp:posOffset>
            </wp:positionV>
            <wp:extent cx="706374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6374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-1915795</wp:posOffset>
            </wp:positionV>
            <wp:extent cx="706374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-1641475</wp:posOffset>
            </wp:positionV>
            <wp:extent cx="706374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-1367155</wp:posOffset>
            </wp:positionV>
            <wp:extent cx="706374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-1092835</wp:posOffset>
            </wp:positionV>
            <wp:extent cx="706374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-818515</wp:posOffset>
            </wp:positionV>
            <wp:extent cx="706374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-544195</wp:posOffset>
            </wp:positionV>
            <wp:extent cx="706374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-269875</wp:posOffset>
            </wp:positionV>
            <wp:extent cx="706374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200" w:lineRule="exact"/>
        <w:rPr>
          <w:sz w:val="20"/>
          <w:szCs w:val="20"/>
          <w:color w:val="auto"/>
        </w:rPr>
      </w:pPr>
    </w:p>
    <w:p>
      <w:pPr>
        <w:sectPr>
          <w:pgSz w:w="11900" w:h="16862" w:orient="portrait"/>
          <w:cols w:equalWidth="0" w:num="2">
            <w:col w:w="4800" w:space="720"/>
            <w:col w:w="5720"/>
          </w:cols>
          <w:pgMar w:left="320" w:top="909" w:right="339" w:bottom="0" w:gutter="0" w:footer="0" w:header="0"/>
          <w:type w:val="continuous"/>
        </w:sectPr>
      </w:pPr>
    </w:p>
    <w:p>
      <w:pPr>
        <w:spacing w:after="0" w:line="26" w:lineRule="exact"/>
        <w:rPr>
          <w:sz w:val="20"/>
          <w:szCs w:val="20"/>
          <w:color w:val="auto"/>
        </w:rPr>
      </w:pPr>
    </w:p>
    <w:p>
      <w:pPr>
        <w:ind w:left="140" w:right="60" w:hanging="132"/>
        <w:spacing w:after="0" w:line="244" w:lineRule="auto"/>
        <w:tabs>
          <w:tab w:leader="none" w:pos="13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Includes the aggregate profit of GAS-twelve Ltd. for the period prior to its transfer to the Partnership on April 1, 2019. While such amounts are reflected in the Partnership’s financial statements because the transfer to the Partnership was accounted for as a reorganization of entities under common control (Note 1), the aforementioned entity was not owned by the Partnership prior to its transfer to the Partnership on such date and accordingly the Partnership was not entitled to the cash or results generated in the period prior to such transfer.</w:t>
      </w:r>
    </w:p>
    <w:p>
      <w:pPr>
        <w:spacing w:after="0" w:line="174" w:lineRule="exact"/>
        <w:rPr>
          <w:sz w:val="20"/>
          <w:szCs w:val="20"/>
          <w:color w:val="auto"/>
        </w:rPr>
      </w:pPr>
    </w:p>
    <w:p>
      <w:pPr>
        <w:ind w:left="140" w:right="160" w:hanging="129"/>
        <w:spacing w:after="0" w:line="241" w:lineRule="auto"/>
        <w:rPr>
          <w:sz w:val="20"/>
          <w:szCs w:val="20"/>
          <w:color w:val="auto"/>
        </w:rPr>
      </w:pPr>
      <w:r>
        <w:rPr>
          <w:rFonts w:ascii="Times New Roman" w:cs="Times New Roman" w:eastAsia="Times New Roman" w:hAnsi="Times New Roman"/>
          <w:sz w:val="14"/>
          <w:szCs w:val="14"/>
          <w:color w:val="auto"/>
        </w:rPr>
        <w:t>**The IDRs were eliminated on June 30, 2019. GasLog held the incentive distribution rights following completion of the Partnership’s IPO. Until their elimination, they represented the right to receive an increasing percentage of quarterly distributions of available cash from operating surplus after the minimum quarterly distribution and the target distribution levels have been achieved. Based on the nature of such right, earnings attributable to IDRs could not be allocated on a per unit basis.</w:t>
      </w:r>
    </w:p>
    <w:p>
      <w:pPr>
        <w:spacing w:after="0" w:line="177" w:lineRule="exact"/>
        <w:rPr>
          <w:sz w:val="20"/>
          <w:szCs w:val="20"/>
          <w:color w:val="auto"/>
        </w:rPr>
      </w:pPr>
    </w:p>
    <w:p>
      <w:pPr>
        <w:jc w:val="both"/>
        <w:ind w:left="140" w:right="260" w:hanging="132"/>
        <w:spacing w:after="0" w:line="236" w:lineRule="auto"/>
        <w:tabs>
          <w:tab w:leader="none" w:pos="26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unvested awards with respect to the 2015 Plan (Note 15) and Class B units. The 2,490,000 Class B units were issued on June 30, 2019 and have been included in the weighted average number of units outstanding for the calculation of diluted EPU from July 1, 2019 and onwards. They become eligible for conversion on a one-for-one basis into common units at GasLog’s option in six tranches of 415,000 units per annum on July 1 of 2020 (Note 6), 2021, 2022, 2023, 2024 and 2025; as a result, they do not have an impact on the calculation of basic EPU until conversion.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Share-based Compensation</w:t>
      </w:r>
    </w:p>
    <w:p>
      <w:pPr>
        <w:spacing w:after="0" w:line="237" w:lineRule="exact"/>
        <w:rPr>
          <w:sz w:val="20"/>
          <w:szCs w:val="20"/>
          <w:color w:val="auto"/>
        </w:rPr>
      </w:pPr>
    </w:p>
    <w:p>
      <w:pPr>
        <w:ind w:right="540" w:firstLine="324"/>
        <w:spacing w:after="0" w:line="298" w:lineRule="auto"/>
        <w:rPr>
          <w:sz w:val="20"/>
          <w:szCs w:val="20"/>
          <w:color w:val="auto"/>
        </w:rPr>
      </w:pPr>
      <w:r>
        <w:rPr>
          <w:rFonts w:ascii="Times New Roman" w:cs="Times New Roman" w:eastAsia="Times New Roman" w:hAnsi="Times New Roman"/>
          <w:sz w:val="16"/>
          <w:szCs w:val="16"/>
          <w:color w:val="auto"/>
        </w:rPr>
        <w:t>The terms of the 2015 Plan and the assumptions for the valuation of Restricted Common Units (“RCUs”) and Performance Common Units (“PCUs”) have been disclosed in Note 21 “Share-Based Compensation” in the annual audited consolidated financial statements for the year ended December 31, 2019.</w:t>
      </w:r>
    </w:p>
    <w:p>
      <w:pPr>
        <w:spacing w:after="0" w:line="164" w:lineRule="exact"/>
        <w:rPr>
          <w:sz w:val="20"/>
          <w:szCs w:val="20"/>
          <w:color w:val="auto"/>
        </w:rPr>
      </w:pPr>
    </w:p>
    <w:p>
      <w:pPr>
        <w:ind w:right="460" w:firstLine="324"/>
        <w:spacing w:after="0" w:line="298" w:lineRule="auto"/>
        <w:rPr>
          <w:sz w:val="20"/>
          <w:szCs w:val="20"/>
          <w:color w:val="auto"/>
        </w:rPr>
      </w:pPr>
      <w:r>
        <w:rPr>
          <w:rFonts w:ascii="Times New Roman" w:cs="Times New Roman" w:eastAsia="Times New Roman" w:hAnsi="Times New Roman"/>
          <w:sz w:val="16"/>
          <w:szCs w:val="16"/>
          <w:color w:val="auto"/>
        </w:rPr>
        <w:t>On April 1, 2020, the Partnership granted to its executives 233,688 RCUs and 233,688 PCUs in accordance with its 2015 Plan. The RCUs and PCUs will vest on April 1, 2023. The holders are entitled to cash distributions that will be accrued and settled on vesting.</w:t>
      </w:r>
    </w:p>
    <w:p>
      <w:pPr>
        <w:spacing w:after="0" w:line="164"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6"/>
          <w:szCs w:val="16"/>
          <w:color w:val="auto"/>
        </w:rPr>
        <w:t>In accordance with the terms of the 2015 Plan, the awards will be settled in cash or in common units at the sole discretion of the board of directors or such committee as may be designated by the board to administer the 2015 Plan. These awards have been treated as equity settled because the Partnership has no present obligation to settle them in cash.</w:t>
      </w:r>
    </w:p>
    <w:p>
      <w:pPr>
        <w:spacing w:after="0" w:line="177" w:lineRule="exact"/>
        <w:rPr>
          <w:sz w:val="20"/>
          <w:szCs w:val="20"/>
          <w:color w:val="auto"/>
        </w:rPr>
      </w:pPr>
    </w:p>
    <w:p>
      <w:pPr>
        <w:ind w:right="160" w:firstLine="324"/>
        <w:spacing w:after="0" w:line="298" w:lineRule="auto"/>
        <w:rPr>
          <w:sz w:val="20"/>
          <w:szCs w:val="20"/>
          <w:color w:val="auto"/>
        </w:rPr>
      </w:pPr>
      <w:r>
        <w:rPr>
          <w:rFonts w:ascii="Times New Roman" w:cs="Times New Roman" w:eastAsia="Times New Roman" w:hAnsi="Times New Roman"/>
          <w:sz w:val="16"/>
          <w:szCs w:val="16"/>
          <w:color w:val="auto"/>
        </w:rPr>
        <w:t>The fair value of the RCUs and PCUs in accordance with the Plan was determined by using the grant date closing price of $2.02 per common unit and was not further adjusted since the holders are entitled to cash distributions.</w:t>
      </w:r>
    </w:p>
    <w:p>
      <w:pPr>
        <w:spacing w:after="0" w:line="164" w:lineRule="exact"/>
        <w:rPr>
          <w:sz w:val="20"/>
          <w:szCs w:val="20"/>
          <w:color w:val="auto"/>
        </w:rPr>
      </w:pPr>
    </w:p>
    <w:p>
      <w:pPr>
        <w:ind w:right="200" w:firstLine="324"/>
        <w:spacing w:after="0" w:line="281" w:lineRule="auto"/>
        <w:rPr>
          <w:sz w:val="20"/>
          <w:szCs w:val="20"/>
          <w:color w:val="auto"/>
        </w:rPr>
      </w:pPr>
      <w:r>
        <w:rPr>
          <w:rFonts w:ascii="Times New Roman" w:cs="Times New Roman" w:eastAsia="Times New Roman" w:hAnsi="Times New Roman"/>
          <w:sz w:val="16"/>
          <w:szCs w:val="16"/>
          <w:color w:val="auto"/>
        </w:rPr>
        <w:t>The total expense recognized in respect of equity-settled employee benefits for the three and nine months ended September 30, 2020 was $1,174 and $1,833, respectively (for the three and nine months ended September 30, 2019: $250 and $759, respectively). The total accrued cash distribution as of September 30, 2020 is $392 (December 31, 2019: $530).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Commitments and Contingencies</w:t>
      </w:r>
    </w:p>
    <w:p>
      <w:pPr>
        <w:spacing w:after="0" w:line="237"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6"/>
          <w:szCs w:val="16"/>
          <w:color w:val="auto"/>
        </w:rPr>
        <w:t>Future gross minimum lease payments receivable in relation to non-cancellable time charter agreements for vessels in operation as of September 30, 2020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Period</w:t>
            </w:r>
          </w:p>
        </w:tc>
        <w:tc>
          <w:tcPr>
            <w:tcW w:w="20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02"/>
        </w:trPr>
        <w:tc>
          <w:tcPr>
            <w:tcW w:w="92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Not later than one year</w:t>
            </w:r>
          </w:p>
        </w:tc>
        <w:tc>
          <w:tcPr>
            <w:tcW w:w="20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179,882</w:t>
            </w:r>
          </w:p>
        </w:tc>
      </w:tr>
      <w:tr>
        <w:trPr>
          <w:trHeight w:val="203"/>
        </w:trPr>
        <w:tc>
          <w:tcPr>
            <w:tcW w:w="9220" w:type="dxa"/>
            <w:vAlign w:val="bottom"/>
          </w:tcPr>
          <w:p>
            <w:pPr>
              <w:spacing w:after="0"/>
              <w:rPr>
                <w:sz w:val="20"/>
                <w:szCs w:val="20"/>
                <w:color w:val="auto"/>
              </w:rPr>
            </w:pPr>
            <w:r>
              <w:rPr>
                <w:rFonts w:ascii="Times New Roman" w:cs="Times New Roman" w:eastAsia="Times New Roman" w:hAnsi="Times New Roman"/>
                <w:sz w:val="16"/>
                <w:szCs w:val="16"/>
                <w:color w:val="auto"/>
              </w:rPr>
              <w:t>Later than one year and not later than two years</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135,241</w:t>
            </w:r>
          </w:p>
        </w:tc>
      </w:tr>
      <w:tr>
        <w:trPr>
          <w:trHeight w:val="203"/>
        </w:trPr>
        <w:tc>
          <w:tcPr>
            <w:tcW w:w="92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Later than two years and not later than three years</w:t>
            </w:r>
          </w:p>
        </w:tc>
        <w:tc>
          <w:tcPr>
            <w:tcW w:w="20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127,423</w:t>
            </w:r>
          </w:p>
        </w:tc>
      </w:tr>
      <w:tr>
        <w:trPr>
          <w:trHeight w:val="203"/>
        </w:trPr>
        <w:tc>
          <w:tcPr>
            <w:tcW w:w="9220" w:type="dxa"/>
            <w:vAlign w:val="bottom"/>
          </w:tcPr>
          <w:p>
            <w:pPr>
              <w:spacing w:after="0"/>
              <w:rPr>
                <w:sz w:val="20"/>
                <w:szCs w:val="20"/>
                <w:color w:val="auto"/>
              </w:rPr>
            </w:pPr>
            <w:r>
              <w:rPr>
                <w:rFonts w:ascii="Times New Roman" w:cs="Times New Roman" w:eastAsia="Times New Roman" w:hAnsi="Times New Roman"/>
                <w:sz w:val="16"/>
                <w:szCs w:val="16"/>
                <w:color w:val="auto"/>
              </w:rPr>
              <w:t>Later than three years and not later than four years</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64,528</w:t>
            </w:r>
          </w:p>
        </w:tc>
      </w:tr>
      <w:tr>
        <w:trPr>
          <w:trHeight w:val="202"/>
        </w:trPr>
        <w:tc>
          <w:tcPr>
            <w:tcW w:w="92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Later than four years and not later than five years</w:t>
            </w:r>
          </w:p>
        </w:tc>
        <w:tc>
          <w:tcPr>
            <w:tcW w:w="20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50,659</w:t>
            </w:r>
          </w:p>
        </w:tc>
      </w:tr>
      <w:tr>
        <w:trPr>
          <w:trHeight w:val="203"/>
        </w:trPr>
        <w:tc>
          <w:tcPr>
            <w:tcW w:w="9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Later than five years</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27,348</w:t>
            </w:r>
          </w:p>
        </w:tc>
      </w:tr>
      <w:tr>
        <w:trPr>
          <w:trHeight w:val="196"/>
        </w:trPr>
        <w:tc>
          <w:tcPr>
            <w:tcW w:w="922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$585,081</w:t>
            </w:r>
          </w:p>
        </w:tc>
      </w:tr>
      <w:tr>
        <w:trPr>
          <w:trHeight w:val="20"/>
        </w:trPr>
        <w:tc>
          <w:tcPr>
            <w:tcW w:w="92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98" w:lineRule="auto"/>
        <w:rPr>
          <w:sz w:val="20"/>
          <w:szCs w:val="20"/>
          <w:color w:val="auto"/>
        </w:rPr>
      </w:pPr>
      <w:r>
        <w:rPr>
          <w:rFonts w:ascii="Times New Roman" w:cs="Times New Roman" w:eastAsia="Times New Roman" w:hAnsi="Times New Roman"/>
          <w:sz w:val="16"/>
          <w:szCs w:val="16"/>
          <w:color w:val="auto"/>
        </w:rPr>
        <w:t>In September 2017 and July 2018, GasLog LNG Services entered into maintenance agreements with Wartsila Greece S.A. in respect of eight of the Partnership’s LNG carriers. The agreements ensure dynamic maintenance planning, technical support, security of spare parts supply, specialist technical personnel and performance monitoring.</w:t>
      </w:r>
    </w:p>
    <w:p>
      <w:pPr>
        <w:sectPr>
          <w:pgSz w:w="11900" w:h="16862" w:orient="portrait"/>
          <w:cols w:equalWidth="0" w:num="1">
            <w:col w:w="11240"/>
          </w:cols>
          <w:pgMar w:left="320" w:top="909" w:right="339" w:bottom="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9" w:name="page40"/>
    <w:bookmarkEnd w:id="39"/>
    <w:p>
      <w:pPr>
        <w:ind w:firstLine="324"/>
        <w:spacing w:after="0" w:line="281" w:lineRule="auto"/>
        <w:rPr>
          <w:sz w:val="20"/>
          <w:szCs w:val="20"/>
          <w:color w:val="auto"/>
        </w:rPr>
      </w:pPr>
      <w:r>
        <w:rPr>
          <w:rFonts w:ascii="Times New Roman" w:cs="Times New Roman" w:eastAsia="Times New Roman" w:hAnsi="Times New Roman"/>
          <w:sz w:val="16"/>
          <w:szCs w:val="16"/>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 As of September 30, 2020, ballast water management systems had been installed on four out of the eleven vessels.</w:t>
      </w:r>
    </w:p>
    <w:p>
      <w:pPr>
        <w:spacing w:after="0" w:line="177"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6"/>
          <w:szCs w:val="16"/>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Subsequent Events</w:t>
      </w:r>
    </w:p>
    <w:p>
      <w:pPr>
        <w:spacing w:after="0" w:line="237" w:lineRule="exact"/>
        <w:rPr>
          <w:sz w:val="20"/>
          <w:szCs w:val="20"/>
          <w:color w:val="auto"/>
        </w:rPr>
      </w:pPr>
    </w:p>
    <w:p>
      <w:pPr>
        <w:jc w:val="both"/>
        <w:ind w:right="120" w:firstLine="324"/>
        <w:spacing w:after="0" w:line="281" w:lineRule="auto"/>
        <w:rPr>
          <w:sz w:val="20"/>
          <w:szCs w:val="20"/>
          <w:color w:val="auto"/>
        </w:rPr>
      </w:pPr>
      <w:r>
        <w:rPr>
          <w:rFonts w:ascii="Times New Roman" w:cs="Times New Roman" w:eastAsia="Times New Roman" w:hAnsi="Times New Roman"/>
          <w:sz w:val="16"/>
          <w:szCs w:val="16"/>
          <w:color w:val="auto"/>
        </w:rPr>
        <w:t>On November 9, 2020, the board of directors of GasLog Partners approved and declared a quarterly cash distribution of $0.01 per common unit for the quarter ended September 30, 2020. The cash distribution is payable on November 25, 2020 to all unitholders of record as of November 20, 2020. The aggregate amount of the declared distribution will be $485 based on the number of units issued and outstanding as of September 30, 2020.</w:t>
      </w:r>
    </w:p>
    <w:p>
      <w:pPr>
        <w:spacing w:after="0" w:line="177" w:lineRule="exact"/>
        <w:rPr>
          <w:sz w:val="20"/>
          <w:szCs w:val="20"/>
          <w:color w:val="auto"/>
        </w:rPr>
      </w:pPr>
    </w:p>
    <w:p>
      <w:pPr>
        <w:jc w:val="both"/>
        <w:ind w:right="60" w:firstLine="324"/>
        <w:spacing w:after="0" w:line="281" w:lineRule="auto"/>
        <w:rPr>
          <w:sz w:val="20"/>
          <w:szCs w:val="20"/>
          <w:color w:val="auto"/>
        </w:rPr>
      </w:pPr>
      <w:r>
        <w:rPr>
          <w:rFonts w:ascii="Times New Roman" w:cs="Times New Roman" w:eastAsia="Times New Roman" w:hAnsi="Times New Roman"/>
          <w:sz w:val="16"/>
          <w:szCs w:val="16"/>
          <w:color w:val="auto"/>
        </w:rPr>
        <w:t>On November 9, 2020, the board of directors of GasLog Partners approved and declared a distribution on the Series A Preference Units of $0.5390625 per preference unit, a distribution on the Series B Preference Units of $0.5125 per preference unit and a distribution on the Series C Preference Units of $0.53125 per preference unit. The cash distributions are payable on December 15, 2020 to all unitholders of record as of December 8, 2020.</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3"/>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5"/>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emdash "/>
      <w:numFmt w:val="bullet"/>
      <w:start w:val="1"/>
    </w:lvl>
  </w:abstractNum>
  <w:abstractNum w:abstractNumId="19">
    <w:nsid w:val="2D1D5AE9"/>
    <w:multiLevelType w:val="hybridMultilevel"/>
    <w:lvl w:ilvl="0">
      <w:lvlJc w:val="left"/>
      <w:lvlText w:val="(%1)"/>
      <w:numFmt w:val="decimal"/>
      <w:start w:val="403"/>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2"/>
    </w:lvl>
  </w:abstractNum>
  <w:abstractNum w:abstractNumId="22">
    <w:nsid w:val="8EDBDAB"/>
    <w:multiLevelType w:val="hybridMultilevel"/>
    <w:lvl w:ilvl="0">
      <w:lvlJc w:val="left"/>
      <w:lvlText w:val="(%1)"/>
      <w:numFmt w:val="lowerRoman"/>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2020-11-10T05:48:07Z</dcterms:created>
  <dcterms:modified xsi:type="dcterms:W3CDTF">2020-11-10T05:48:07Z</dcterms:modified>
</cp:coreProperties>
</file>