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22"/>
          <w:szCs w:val="22"/>
          <w:color w:val="auto"/>
        </w:rPr>
        <w:t>FREE WRITING PROSPECTUS</w:t>
      </w:r>
    </w:p>
    <w:p>
      <w:pPr>
        <w:jc w:val="right"/>
        <w:ind w:right="40"/>
        <w:spacing w:after="0" w:line="238" w:lineRule="auto"/>
        <w:rPr>
          <w:sz w:val="20"/>
          <w:szCs w:val="20"/>
          <w:color w:val="auto"/>
        </w:rPr>
      </w:pPr>
      <w:r>
        <w:rPr>
          <w:rFonts w:ascii="Arial" w:cs="Arial" w:eastAsia="Arial" w:hAnsi="Arial"/>
          <w:sz w:val="22"/>
          <w:szCs w:val="22"/>
          <w:color w:val="auto"/>
        </w:rPr>
        <w:t>Filed pursuant to Rule 433</w:t>
      </w:r>
    </w:p>
    <w:p>
      <w:pPr>
        <w:jc w:val="right"/>
        <w:ind w:right="40"/>
        <w:spacing w:after="0" w:line="230" w:lineRule="auto"/>
        <w:rPr>
          <w:sz w:val="20"/>
          <w:szCs w:val="20"/>
          <w:color w:val="auto"/>
        </w:rPr>
      </w:pPr>
      <w:r>
        <w:rPr>
          <w:rFonts w:ascii="Arial" w:cs="Arial" w:eastAsia="Arial" w:hAnsi="Arial"/>
          <w:sz w:val="22"/>
          <w:szCs w:val="22"/>
          <w:color w:val="auto"/>
        </w:rPr>
        <w:t>Registration Statement No. 333-220736</w:t>
      </w:r>
    </w:p>
    <w:p>
      <w:pPr>
        <w:spacing w:after="0" w:line="1" w:lineRule="exact"/>
        <w:rPr>
          <w:sz w:val="24"/>
          <w:szCs w:val="24"/>
          <w:color w:val="auto"/>
        </w:rPr>
      </w:pPr>
    </w:p>
    <w:p>
      <w:pPr>
        <w:jc w:val="right"/>
        <w:ind w:right="40"/>
        <w:spacing w:after="0"/>
        <w:rPr>
          <w:sz w:val="20"/>
          <w:szCs w:val="20"/>
          <w:color w:val="auto"/>
        </w:rPr>
      </w:pPr>
      <w:r>
        <w:rPr>
          <w:rFonts w:ascii="Arial" w:cs="Arial" w:eastAsia="Arial" w:hAnsi="Arial"/>
          <w:sz w:val="22"/>
          <w:szCs w:val="22"/>
          <w:color w:val="auto"/>
        </w:rPr>
        <w:t>November 7, 2018</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PRICING TERM SHEET</w:t>
      </w:r>
    </w:p>
    <w:p>
      <w:pPr>
        <w:spacing w:after="0" w:line="200" w:lineRule="exact"/>
        <w:rPr>
          <w:sz w:val="24"/>
          <w:szCs w:val="24"/>
          <w:color w:val="auto"/>
        </w:rPr>
      </w:pPr>
    </w:p>
    <w:p>
      <w:pPr>
        <w:spacing w:after="0" w:line="222"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GasLog Partners LP</w:t>
      </w:r>
    </w:p>
    <w:p>
      <w:pPr>
        <w:spacing w:after="0" w:line="206" w:lineRule="exact"/>
        <w:rPr>
          <w:sz w:val="24"/>
          <w:szCs w:val="24"/>
          <w:color w:val="auto"/>
        </w:rPr>
      </w:pPr>
    </w:p>
    <w:p>
      <w:pPr>
        <w:ind w:left="1980"/>
        <w:spacing w:after="0"/>
        <w:rPr>
          <w:sz w:val="20"/>
          <w:szCs w:val="20"/>
          <w:color w:val="auto"/>
        </w:rPr>
      </w:pPr>
      <w:r>
        <w:rPr>
          <w:rFonts w:ascii="Arial" w:cs="Arial" w:eastAsia="Arial" w:hAnsi="Arial"/>
          <w:sz w:val="22"/>
          <w:szCs w:val="22"/>
          <w:color w:val="auto"/>
        </w:rPr>
        <w:t>8.500% Series C Cumulative Redeemable Perpetual Fixed to Floating Rate Preference</w:t>
      </w:r>
    </w:p>
    <w:p>
      <w:pPr>
        <w:jc w:val="center"/>
        <w:ind w:right="40"/>
        <w:spacing w:after="0" w:line="238" w:lineRule="auto"/>
        <w:rPr>
          <w:sz w:val="20"/>
          <w:szCs w:val="20"/>
          <w:color w:val="auto"/>
        </w:rPr>
      </w:pPr>
      <w:r>
        <w:rPr>
          <w:rFonts w:ascii="Arial" w:cs="Arial" w:eastAsia="Arial" w:hAnsi="Arial"/>
          <w:sz w:val="22"/>
          <w:szCs w:val="22"/>
          <w:color w:val="auto"/>
        </w:rPr>
        <w:t>Units</w:t>
      </w:r>
    </w:p>
    <w:p>
      <w:pPr>
        <w:jc w:val="center"/>
        <w:ind w:right="40"/>
        <w:spacing w:after="0"/>
        <w:rPr>
          <w:sz w:val="20"/>
          <w:szCs w:val="20"/>
          <w:color w:val="auto"/>
        </w:rPr>
      </w:pPr>
      <w:r>
        <w:rPr>
          <w:rFonts w:ascii="Arial" w:cs="Arial" w:eastAsia="Arial" w:hAnsi="Arial"/>
          <w:sz w:val="22"/>
          <w:szCs w:val="22"/>
          <w:color w:val="auto"/>
        </w:rPr>
        <w:t>(Liquidation Preference $25.00 per Unit)</w:t>
      </w:r>
    </w:p>
    <w:p>
      <w:pPr>
        <w:spacing w:after="0" w:line="190" w:lineRule="exact"/>
        <w:rPr>
          <w:sz w:val="24"/>
          <w:szCs w:val="24"/>
          <w:color w:val="auto"/>
        </w:rPr>
      </w:pPr>
    </w:p>
    <w:tbl>
      <w:tblPr>
        <w:tblLayout w:type="fixed"/>
        <w:tblInd w:w="10" w:type="dxa"/>
        <w:tblCellMar>
          <w:top w:w="0" w:type="dxa"/>
          <w:left w:w="0" w:type="dxa"/>
          <w:bottom w:w="0" w:type="dxa"/>
          <w:right w:w="0" w:type="dxa"/>
        </w:tblCellMar>
      </w:tblPr>
      <w:tr>
        <w:trPr>
          <w:trHeight w:val="248"/>
        </w:trPr>
        <w:tc>
          <w:tcPr>
            <w:tcW w:w="35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Issuer</w:t>
            </w:r>
            <w:r>
              <w:rPr>
                <w:rFonts w:ascii="Arial" w:cs="Arial" w:eastAsia="Arial" w:hAnsi="Arial"/>
                <w:sz w:val="18"/>
                <w:szCs w:val="18"/>
                <w:color w:val="auto"/>
              </w:rPr>
              <w:t>:</w:t>
            </w:r>
          </w:p>
        </w:tc>
        <w:tc>
          <w:tcPr>
            <w:tcW w:w="280" w:type="dxa"/>
            <w:vAlign w:val="bottom"/>
            <w:tcBorders>
              <w:top w:val="single" w:sz="8" w:color="auto"/>
              <w:right w:val="single" w:sz="8" w:color="auto"/>
            </w:tcBorders>
          </w:tcPr>
          <w:p>
            <w:pPr>
              <w:spacing w:after="0"/>
              <w:rPr>
                <w:sz w:val="21"/>
                <w:szCs w:val="21"/>
                <w:color w:val="auto"/>
              </w:rPr>
            </w:pPr>
          </w:p>
        </w:tc>
        <w:tc>
          <w:tcPr>
            <w:tcW w:w="7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GasLog Partners LP</w:t>
            </w:r>
          </w:p>
        </w:tc>
        <w:tc>
          <w:tcPr>
            <w:tcW w:w="160" w:type="dxa"/>
            <w:vAlign w:val="bottom"/>
          </w:tcPr>
          <w:p>
            <w:pPr>
              <w:spacing w:after="0"/>
              <w:rPr>
                <w:sz w:val="21"/>
                <w:szCs w:val="21"/>
                <w:color w:val="auto"/>
              </w:rPr>
            </w:pP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75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35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Securities Offered</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6"/>
                <w:szCs w:val="16"/>
                <w:color w:val="auto"/>
              </w:rPr>
            </w:pP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8.500% Series C Cumulative Redeemable Perpetual Fixed to Floating Rate Preference Units</w:t>
            </w:r>
          </w:p>
        </w:tc>
        <w:tc>
          <w:tcPr>
            <w:tcW w:w="160" w:type="dxa"/>
            <w:vAlign w:val="bottom"/>
          </w:tcPr>
          <w:p>
            <w:pPr>
              <w:spacing w:after="0"/>
              <w:rPr>
                <w:sz w:val="16"/>
                <w:szCs w:val="16"/>
                <w:color w:val="auto"/>
              </w:rPr>
            </w:pPr>
          </w:p>
        </w:tc>
      </w:tr>
      <w:tr>
        <w:trPr>
          <w:trHeight w:val="230"/>
        </w:trPr>
        <w:tc>
          <w:tcPr>
            <w:tcW w:w="352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representing limited partner interests in the Partnership (the “Series C Preference Units”).</w:t>
            </w:r>
          </w:p>
        </w:tc>
        <w:tc>
          <w:tcPr>
            <w:tcW w:w="160" w:type="dxa"/>
            <w:vAlign w:val="bottom"/>
          </w:tcPr>
          <w:p>
            <w:pPr>
              <w:spacing w:after="0"/>
              <w:rPr>
                <w:sz w:val="20"/>
                <w:szCs w:val="20"/>
                <w:color w:val="auto"/>
              </w:rPr>
            </w:pP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750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228"/>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Number of Units</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4,000,000 Series C Preference Units.</w:t>
            </w:r>
          </w:p>
        </w:tc>
        <w:tc>
          <w:tcPr>
            <w:tcW w:w="160" w:type="dxa"/>
            <w:vAlign w:val="bottom"/>
          </w:tcPr>
          <w:p>
            <w:pPr>
              <w:spacing w:after="0"/>
              <w:rPr>
                <w:sz w:val="19"/>
                <w:szCs w:val="19"/>
                <w:color w:val="auto"/>
              </w:rPr>
            </w:pPr>
          </w:p>
        </w:tc>
      </w:tr>
      <w:tr>
        <w:trPr>
          <w:trHeight w:val="198"/>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7500" w:type="dxa"/>
            <w:vAlign w:val="bottom"/>
            <w:tcBorders>
              <w:bottom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Number of Option Units</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600,000 Series C Preference Units.</w:t>
            </w:r>
          </w:p>
        </w:tc>
        <w:tc>
          <w:tcPr>
            <w:tcW w:w="160" w:type="dxa"/>
            <w:vAlign w:val="bottom"/>
          </w:tcPr>
          <w:p>
            <w:pPr>
              <w:spacing w:after="0"/>
              <w:rPr>
                <w:sz w:val="19"/>
                <w:szCs w:val="19"/>
                <w:color w:val="auto"/>
              </w:rPr>
            </w:pP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75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35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Public Offering Price</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6"/>
                <w:szCs w:val="16"/>
                <w:color w:val="auto"/>
              </w:rPr>
            </w:pP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$25.00 per unit; $100,000,000 total (assuming no exercise of the underwriters’ option to purchase</w:t>
            </w:r>
          </w:p>
        </w:tc>
        <w:tc>
          <w:tcPr>
            <w:tcW w:w="160" w:type="dxa"/>
            <w:vAlign w:val="bottom"/>
          </w:tcPr>
          <w:p>
            <w:pPr>
              <w:spacing w:after="0"/>
              <w:rPr>
                <w:sz w:val="16"/>
                <w:szCs w:val="16"/>
                <w:color w:val="auto"/>
              </w:rPr>
            </w:pPr>
          </w:p>
        </w:tc>
      </w:tr>
      <w:tr>
        <w:trPr>
          <w:trHeight w:val="230"/>
        </w:trPr>
        <w:tc>
          <w:tcPr>
            <w:tcW w:w="352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additional units).</w:t>
            </w:r>
          </w:p>
        </w:tc>
        <w:tc>
          <w:tcPr>
            <w:tcW w:w="160" w:type="dxa"/>
            <w:vAlign w:val="bottom"/>
          </w:tcPr>
          <w:p>
            <w:pPr>
              <w:spacing w:after="0"/>
              <w:rPr>
                <w:sz w:val="20"/>
                <w:szCs w:val="20"/>
                <w:color w:val="auto"/>
              </w:rPr>
            </w:pP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750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95"/>
        </w:trPr>
        <w:tc>
          <w:tcPr>
            <w:tcW w:w="35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Underwriting Discounts</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6"/>
                <w:szCs w:val="16"/>
                <w:color w:val="auto"/>
              </w:rPr>
            </w:pP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$0.7875 per unit; $3,150,000 total (assuming no exercise of the underwriters’ option to purchase</w:t>
            </w:r>
          </w:p>
        </w:tc>
        <w:tc>
          <w:tcPr>
            <w:tcW w:w="160" w:type="dxa"/>
            <w:vAlign w:val="bottom"/>
          </w:tcPr>
          <w:p>
            <w:pPr>
              <w:spacing w:after="0"/>
              <w:rPr>
                <w:sz w:val="16"/>
                <w:szCs w:val="16"/>
                <w:color w:val="auto"/>
              </w:rPr>
            </w:pPr>
          </w:p>
        </w:tc>
      </w:tr>
      <w:tr>
        <w:trPr>
          <w:trHeight w:val="230"/>
        </w:trPr>
        <w:tc>
          <w:tcPr>
            <w:tcW w:w="352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additional units).</w:t>
            </w:r>
          </w:p>
        </w:tc>
        <w:tc>
          <w:tcPr>
            <w:tcW w:w="160" w:type="dxa"/>
            <w:vAlign w:val="bottom"/>
          </w:tcPr>
          <w:p>
            <w:pPr>
              <w:spacing w:after="0"/>
              <w:rPr>
                <w:sz w:val="20"/>
                <w:szCs w:val="20"/>
                <w:color w:val="auto"/>
              </w:rPr>
            </w:pP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750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228"/>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Maturity Date</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Perpetual (unless redeemed by the issuer on or after March 15, 2024).</w:t>
            </w:r>
          </w:p>
        </w:tc>
        <w:tc>
          <w:tcPr>
            <w:tcW w:w="160" w:type="dxa"/>
            <w:vAlign w:val="bottom"/>
          </w:tcPr>
          <w:p>
            <w:pPr>
              <w:spacing w:after="0"/>
              <w:rPr>
                <w:sz w:val="19"/>
                <w:szCs w:val="19"/>
                <w:color w:val="auto"/>
              </w:rPr>
            </w:pP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75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Ratings</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Series C Preference Units will not be rated.</w:t>
            </w:r>
          </w:p>
        </w:tc>
        <w:tc>
          <w:tcPr>
            <w:tcW w:w="160" w:type="dxa"/>
            <w:vAlign w:val="bottom"/>
          </w:tcPr>
          <w:p>
            <w:pPr>
              <w:spacing w:after="0"/>
              <w:rPr>
                <w:sz w:val="19"/>
                <w:szCs w:val="19"/>
                <w:color w:val="auto"/>
              </w:rPr>
            </w:pP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75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Trade Date</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November 7, 2018</w:t>
            </w:r>
          </w:p>
        </w:tc>
        <w:tc>
          <w:tcPr>
            <w:tcW w:w="160" w:type="dxa"/>
            <w:vAlign w:val="bottom"/>
          </w:tcPr>
          <w:p>
            <w:pPr>
              <w:spacing w:after="0"/>
              <w:rPr>
                <w:sz w:val="19"/>
                <w:szCs w:val="19"/>
                <w:color w:val="auto"/>
              </w:rPr>
            </w:pP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75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Settlement Date*</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November 15, 2018 (T+5)</w:t>
            </w:r>
          </w:p>
        </w:tc>
        <w:tc>
          <w:tcPr>
            <w:tcW w:w="160" w:type="dxa"/>
            <w:vAlign w:val="bottom"/>
          </w:tcPr>
          <w:p>
            <w:pPr>
              <w:spacing w:after="0"/>
              <w:rPr>
                <w:sz w:val="19"/>
                <w:szCs w:val="19"/>
                <w:color w:val="auto"/>
              </w:rPr>
            </w:pP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75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Liquidation Preference</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$25.00 per Series C Preference Unit, plus accumulated and unpaid distributions.</w:t>
            </w:r>
          </w:p>
        </w:tc>
        <w:tc>
          <w:tcPr>
            <w:tcW w:w="160" w:type="dxa"/>
            <w:vAlign w:val="bottom"/>
          </w:tcPr>
          <w:p>
            <w:pPr>
              <w:spacing w:after="0"/>
              <w:rPr>
                <w:sz w:val="19"/>
                <w:szCs w:val="19"/>
                <w:color w:val="auto"/>
              </w:rPr>
            </w:pP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75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35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Distribution Rate</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6"/>
                <w:szCs w:val="16"/>
                <w:color w:val="auto"/>
              </w:rPr>
            </w:pP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From and including the Settlement Date to, but excluding, March 15, 2024 (the “Fixed Rate Period”),</w:t>
            </w:r>
          </w:p>
        </w:tc>
        <w:tc>
          <w:tcPr>
            <w:tcW w:w="160" w:type="dxa"/>
            <w:vAlign w:val="bottom"/>
          </w:tcPr>
          <w:p>
            <w:pPr>
              <w:spacing w:after="0"/>
              <w:rPr>
                <w:sz w:val="16"/>
                <w:szCs w:val="16"/>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distribution rate for the Series C Preference Units will be 8.500% per annum per $25.00 of</w:t>
            </w:r>
          </w:p>
        </w:tc>
        <w:tc>
          <w:tcPr>
            <w:tcW w:w="160" w:type="dxa"/>
            <w:vAlign w:val="bottom"/>
          </w:tcPr>
          <w:p>
            <w:pPr>
              <w:spacing w:after="0"/>
              <w:rPr>
                <w:sz w:val="18"/>
                <w:szCs w:val="18"/>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liquidation preference per share (equal to $2.125 per annum per share). From and including March 15,</w:t>
            </w:r>
          </w:p>
        </w:tc>
        <w:tc>
          <w:tcPr>
            <w:tcW w:w="160" w:type="dxa"/>
            <w:vAlign w:val="bottom"/>
          </w:tcPr>
          <w:p>
            <w:pPr>
              <w:spacing w:after="0"/>
              <w:rPr>
                <w:sz w:val="18"/>
                <w:szCs w:val="18"/>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2024 (the “Floating Rate Period”), the distribution rate will be a floating rate equal to three-month</w:t>
            </w:r>
          </w:p>
        </w:tc>
        <w:tc>
          <w:tcPr>
            <w:tcW w:w="160" w:type="dxa"/>
            <w:vAlign w:val="bottom"/>
          </w:tcPr>
          <w:p>
            <w:pPr>
              <w:spacing w:after="0"/>
              <w:rPr>
                <w:sz w:val="18"/>
                <w:szCs w:val="18"/>
                <w:color w:val="auto"/>
              </w:rPr>
            </w:pPr>
          </w:p>
        </w:tc>
      </w:tr>
      <w:tr>
        <w:trPr>
          <w:trHeight w:val="230"/>
        </w:trPr>
        <w:tc>
          <w:tcPr>
            <w:tcW w:w="352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LIBOR plus a spread of 5.317% per annum per $25.00 of liquidation preference per share.</w:t>
            </w:r>
          </w:p>
        </w:tc>
        <w:tc>
          <w:tcPr>
            <w:tcW w:w="160" w:type="dxa"/>
            <w:vAlign w:val="bottom"/>
          </w:tcPr>
          <w:p>
            <w:pPr>
              <w:spacing w:after="0"/>
              <w:rPr>
                <w:sz w:val="20"/>
                <w:szCs w:val="20"/>
                <w:color w:val="auto"/>
              </w:rPr>
            </w:pP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750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95"/>
        </w:trPr>
        <w:tc>
          <w:tcPr>
            <w:tcW w:w="35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Distribution Payment Dates</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6"/>
                <w:szCs w:val="16"/>
                <w:color w:val="auto"/>
              </w:rPr>
            </w:pP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The “Distribution Payment Dates” for the Series C Preference Units will be the 15th day of March,</w:t>
            </w:r>
          </w:p>
        </w:tc>
        <w:tc>
          <w:tcPr>
            <w:tcW w:w="160" w:type="dxa"/>
            <w:vAlign w:val="bottom"/>
          </w:tcPr>
          <w:p>
            <w:pPr>
              <w:spacing w:after="0"/>
              <w:rPr>
                <w:sz w:val="16"/>
                <w:szCs w:val="16"/>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June, September and December of each year, commencing on March 15, 2019. The initial distribution</w:t>
            </w:r>
          </w:p>
        </w:tc>
        <w:tc>
          <w:tcPr>
            <w:tcW w:w="160" w:type="dxa"/>
            <w:vAlign w:val="bottom"/>
          </w:tcPr>
          <w:p>
            <w:pPr>
              <w:spacing w:after="0"/>
              <w:rPr>
                <w:sz w:val="18"/>
                <w:szCs w:val="18"/>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on the Series C Preference Units will be paid on March 15, 2019 in an amount equal to $0.7083 per</w:t>
            </w:r>
          </w:p>
        </w:tc>
        <w:tc>
          <w:tcPr>
            <w:tcW w:w="160" w:type="dxa"/>
            <w:vAlign w:val="bottom"/>
          </w:tcPr>
          <w:p>
            <w:pPr>
              <w:spacing w:after="0"/>
              <w:rPr>
                <w:sz w:val="18"/>
                <w:szCs w:val="18"/>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unit. Distributions on the Series C Preference Units will accumulate at a rate of 8.500% per annum per</w:t>
            </w:r>
          </w:p>
        </w:tc>
        <w:tc>
          <w:tcPr>
            <w:tcW w:w="160" w:type="dxa"/>
            <w:vAlign w:val="bottom"/>
          </w:tcPr>
          <w:p>
            <w:pPr>
              <w:spacing w:after="0"/>
              <w:rPr>
                <w:sz w:val="18"/>
                <w:szCs w:val="18"/>
                <w:color w:val="auto"/>
              </w:rPr>
            </w:pPr>
          </w:p>
        </w:tc>
      </w:tr>
      <w:tr>
        <w:trPr>
          <w:trHeight w:val="230"/>
        </w:trPr>
        <w:tc>
          <w:tcPr>
            <w:tcW w:w="352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$25.00 stated liquidation preference per Series C Preference Unit.</w:t>
            </w:r>
          </w:p>
        </w:tc>
        <w:tc>
          <w:tcPr>
            <w:tcW w:w="160" w:type="dxa"/>
            <w:vAlign w:val="bottom"/>
          </w:tcPr>
          <w:p>
            <w:pPr>
              <w:spacing w:after="0"/>
              <w:rPr>
                <w:sz w:val="20"/>
                <w:szCs w:val="20"/>
                <w:color w:val="auto"/>
              </w:rPr>
            </w:pP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750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228"/>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Optional Redemption</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Partnership shall have the option to redeem the Series C</w:t>
            </w:r>
          </w:p>
        </w:tc>
        <w:tc>
          <w:tcPr>
            <w:tcW w:w="160" w:type="dxa"/>
            <w:vAlign w:val="bottom"/>
          </w:tcPr>
          <w:p>
            <w:pPr>
              <w:spacing w:after="0"/>
              <w:rPr>
                <w:sz w:val="19"/>
                <w:szCs w:val="19"/>
                <w:color w:val="auto"/>
              </w:rPr>
            </w:pP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75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1"/>
        </w:trPr>
        <w:tc>
          <w:tcPr>
            <w:tcW w:w="35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5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69" w:right="1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5"/>
        </w:trPr>
        <w:tc>
          <w:tcPr>
            <w:tcW w:w="3520" w:type="dxa"/>
            <w:vAlign w:val="bottom"/>
            <w:tcBorders>
              <w:top w:val="single" w:sz="8" w:color="auto"/>
              <w:left w:val="single" w:sz="8" w:color="auto"/>
              <w:right w:val="single" w:sz="8" w:color="auto"/>
            </w:tcBorders>
          </w:tcPr>
          <w:p>
            <w:pPr>
              <w:spacing w:after="0"/>
              <w:rPr>
                <w:sz w:val="18"/>
                <w:szCs w:val="18"/>
                <w:color w:val="auto"/>
              </w:rPr>
            </w:pPr>
          </w:p>
        </w:tc>
        <w:tc>
          <w:tcPr>
            <w:tcW w:w="280" w:type="dxa"/>
            <w:vAlign w:val="bottom"/>
            <w:tcBorders>
              <w:top w:val="single" w:sz="8" w:color="auto"/>
              <w:right w:val="single" w:sz="8" w:color="auto"/>
            </w:tcBorders>
          </w:tcPr>
          <w:p>
            <w:pPr>
              <w:spacing w:after="0"/>
              <w:rPr>
                <w:sz w:val="18"/>
                <w:szCs w:val="18"/>
                <w:color w:val="auto"/>
              </w:rPr>
            </w:pPr>
          </w:p>
        </w:tc>
        <w:tc>
          <w:tcPr>
            <w:tcW w:w="7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1"/>
              </w:rPr>
              <w:t>Preference Units, in whole or in part, on or after March 15, 2024 at the liquidation preference of $25.00</w:t>
            </w:r>
          </w:p>
        </w:tc>
      </w:tr>
      <w:tr>
        <w:trPr>
          <w:trHeight w:val="230"/>
        </w:trPr>
        <w:tc>
          <w:tcPr>
            <w:tcW w:w="352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 unit, plus accrued but unpaid distributions.</w:t>
            </w: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7500" w:type="dxa"/>
            <w:vAlign w:val="bottom"/>
            <w:tcBorders>
              <w:bottom w:val="single" w:sz="8" w:color="auto"/>
              <w:right w:val="single" w:sz="8" w:color="auto"/>
            </w:tcBorders>
          </w:tcPr>
          <w:p>
            <w:pPr>
              <w:spacing w:after="0"/>
              <w:rPr>
                <w:sz w:val="3"/>
                <w:szCs w:val="3"/>
                <w:color w:val="auto"/>
              </w:rPr>
            </w:pPr>
          </w:p>
        </w:tc>
      </w:tr>
      <w:tr>
        <w:trPr>
          <w:trHeight w:val="228"/>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CUSIP/ISIN</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9"/>
                <w:szCs w:val="19"/>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Y2687W 132 / MHY2687W1324</w:t>
            </w: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750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35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Joint Book-Running Managers</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6"/>
                <w:szCs w:val="16"/>
                <w:color w:val="auto"/>
              </w:rPr>
            </w:pP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UBS Securities LLC</w:t>
            </w: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Morgan Stanley &amp; Co. LLC</w:t>
            </w: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Stifel, Nicolaus &amp; Company, Incorporated</w:t>
            </w: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Citigroup Global Markets Inc.</w:t>
            </w:r>
          </w:p>
        </w:tc>
      </w:tr>
      <w:tr>
        <w:trPr>
          <w:trHeight w:val="230"/>
        </w:trPr>
        <w:tc>
          <w:tcPr>
            <w:tcW w:w="352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Credit Suisse Securities (USA) LLC</w:t>
            </w: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7500" w:type="dxa"/>
            <w:vAlign w:val="bottom"/>
            <w:tcBorders>
              <w:bottom w:val="single" w:sz="8" w:color="auto"/>
              <w:right w:val="single" w:sz="8" w:color="auto"/>
            </w:tcBorders>
          </w:tcPr>
          <w:p>
            <w:pPr>
              <w:spacing w:after="0"/>
              <w:rPr>
                <w:sz w:val="3"/>
                <w:szCs w:val="3"/>
                <w:color w:val="auto"/>
              </w:rPr>
            </w:pPr>
          </w:p>
        </w:tc>
      </w:tr>
      <w:tr>
        <w:trPr>
          <w:trHeight w:val="195"/>
        </w:trPr>
        <w:tc>
          <w:tcPr>
            <w:tcW w:w="35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Listing</w:t>
            </w:r>
            <w:r>
              <w:rPr>
                <w:rFonts w:ascii="Arial" w:cs="Arial" w:eastAsia="Arial" w:hAnsi="Arial"/>
                <w:sz w:val="18"/>
                <w:szCs w:val="18"/>
                <w:color w:val="auto"/>
              </w:rPr>
              <w:t>:</w:t>
            </w:r>
          </w:p>
        </w:tc>
        <w:tc>
          <w:tcPr>
            <w:tcW w:w="280" w:type="dxa"/>
            <w:vAlign w:val="bottom"/>
            <w:tcBorders>
              <w:right w:val="single" w:sz="8" w:color="auto"/>
            </w:tcBorders>
          </w:tcPr>
          <w:p>
            <w:pPr>
              <w:spacing w:after="0"/>
              <w:rPr>
                <w:sz w:val="16"/>
                <w:szCs w:val="16"/>
                <w:color w:val="auto"/>
              </w:rPr>
            </w:pPr>
          </w:p>
        </w:tc>
        <w:tc>
          <w:tcPr>
            <w:tcW w:w="7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The issuer intends to file an application to list the Series C Preference Units on the NYSE under the</w:t>
            </w: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symbol “GLOP PR C.” If the application is approved, trading of the Series C Preference Units on the</w:t>
            </w:r>
          </w:p>
        </w:tc>
      </w:tr>
      <w:tr>
        <w:trPr>
          <w:trHeight w:val="230"/>
        </w:trPr>
        <w:tc>
          <w:tcPr>
            <w:tcW w:w="352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NYSE is expected to commence within 30 days after their original issue date.</w:t>
            </w:r>
          </w:p>
        </w:tc>
      </w:tr>
      <w:tr>
        <w:trPr>
          <w:trHeight w:val="41"/>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75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expect that delivery of the Series C Preference Units will be made to investors on or about November 15, 2018, which will be the fifth business day following the date of this pricing term sheet (such settlement being referred to as “T+5”). Under Rule 15c6-1 under the Securities Exchange Act of 1934, trades in the secondary market are required to settle in two business days, unless the parties to any such trade expressly agree otherwise. Accordingly, purchasers who wish to trade Series C Preference Units on the date of this pricing term sheet or the next two succeeding business days will be required, by virtue of the fact that the Series C Preference Units initially settle in T+5, to specify an alternate settlement arrangement at the time of any such trade to prevent a failed settlement. Purchasers of the Series C Preference Units who wish to trade the Series C Preference Units on the date of this pricing term sheet or the next two succeeding business days should consult their advisors.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ADDITIONAL INFORMATION:</w:t>
      </w:r>
    </w:p>
    <w:p>
      <w:pPr>
        <w:spacing w:after="0" w:line="21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All information (including financial information) presented in the Preliminary Prospectus is deemed to have changed to the extent affected by the changes described herein.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us. This communication does not constitute an offer to sell the units and is not soliciting an offer to buy the units in any jurisdiction where the offer or sale is not permitted.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issuer has filed a registration statement (including a prospectus) with the Securities and Exchange Commission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underwriters or any dealer participating in the offering will arrange to send you the prospectus if you request it by calling or contacting UBS Securities LLC at 1-888-827-7275, Morgan Stanley &amp; Co. LLC at Attn: Prospectus Department, 180 Varick Street, 2nd Floor, New York, NY 10014, Stifel, Nicolaus &amp; Company, Incorporated at 1-855-300-7136, Citigroup Global Markets Inc. at 1-800-831-9146 or Credit Suisse Securities (USA) LLC at Attn: Prospectus Department, One Madison Avenue, New York, New York 10010.</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DISCLAIMER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3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2019-12-08T10:22:44Z</dcterms:created>
  <dcterms:modified xsi:type="dcterms:W3CDTF">2019-12-08T10:22:44Z</dcterms:modified>
</cp:coreProperties>
</file>