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tcPr>
          <w:p>
            <w:pPr>
              <w:jc w:val="center"/>
              <w:ind w:left="710"/>
              <w:spacing w:after="0"/>
              <w:rPr>
                <w:sz w:val="20"/>
                <w:szCs w:val="20"/>
                <w:color w:val="auto"/>
              </w:rPr>
            </w:pPr>
            <w:r>
              <w:rPr>
                <w:rFonts w:ascii="Arial" w:cs="Arial" w:eastAsia="Arial" w:hAnsi="Arial"/>
                <w:sz w:val="18"/>
                <w:szCs w:val="18"/>
                <w:b w:val="1"/>
                <w:bCs w:val="1"/>
                <w:color w:val="auto"/>
                <w:w w:val="96"/>
              </w:rPr>
              <w:t>Form 6-K</w:t>
            </w:r>
          </w:p>
        </w:tc>
        <w:tc>
          <w:tcPr>
            <w:tcW w:w="820" w:type="dxa"/>
            <w:vAlign w:val="bottom"/>
          </w:tcPr>
          <w:p>
            <w:pPr>
              <w:spacing w:after="0"/>
              <w:rPr>
                <w:sz w:val="20"/>
                <w:szCs w:val="20"/>
                <w:color w:val="auto"/>
              </w:rPr>
            </w:pPr>
          </w:p>
        </w:tc>
      </w:tr>
      <w:tr>
        <w:trPr>
          <w:trHeight w:val="414"/>
        </w:trPr>
        <w:tc>
          <w:tcPr>
            <w:tcW w:w="10640" w:type="dxa"/>
            <w:vAlign w:val="bottom"/>
          </w:tcPr>
          <w:p>
            <w:pPr>
              <w:jc w:val="center"/>
              <w:ind w:left="69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820" w:type="dxa"/>
            <w:vAlign w:val="bottom"/>
          </w:tcPr>
          <w:p>
            <w:pPr>
              <w:spacing w:after="0"/>
              <w:rPr>
                <w:sz w:val="24"/>
                <w:szCs w:val="24"/>
                <w:color w:val="auto"/>
              </w:rPr>
            </w:pPr>
          </w:p>
        </w:tc>
      </w:tr>
      <w:tr>
        <w:trPr>
          <w:trHeight w:val="234"/>
        </w:trPr>
        <w:tc>
          <w:tcPr>
            <w:tcW w:w="10640" w:type="dxa"/>
            <w:vAlign w:val="bottom"/>
          </w:tcPr>
          <w:p>
            <w:pPr>
              <w:jc w:val="center"/>
              <w:ind w:left="710"/>
              <w:spacing w:after="0"/>
              <w:rPr>
                <w:sz w:val="20"/>
                <w:szCs w:val="20"/>
                <w:color w:val="auto"/>
              </w:rPr>
            </w:pPr>
            <w:r>
              <w:rPr>
                <w:rFonts w:ascii="Arial" w:cs="Arial" w:eastAsia="Arial" w:hAnsi="Arial"/>
                <w:sz w:val="18"/>
                <w:szCs w:val="18"/>
                <w:b w:val="1"/>
                <w:bCs w:val="1"/>
                <w:color w:val="auto"/>
                <w:w w:val="98"/>
              </w:rPr>
              <w:t>EXCHANGE ACT OF 1934</w:t>
            </w:r>
          </w:p>
        </w:tc>
        <w:tc>
          <w:tcPr>
            <w:tcW w:w="82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For the month of November 2018</w:t>
            </w:r>
          </w:p>
        </w:tc>
        <w:tc>
          <w:tcPr>
            <w:tcW w:w="820" w:type="dxa"/>
            <w:vAlign w:val="bottom"/>
          </w:tcPr>
          <w:p>
            <w:pPr>
              <w:spacing w:after="0"/>
              <w:rPr>
                <w:sz w:val="24"/>
                <w:szCs w:val="24"/>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820" w:type="dxa"/>
            <w:vAlign w:val="bottom"/>
          </w:tcPr>
          <w:p>
            <w:pPr>
              <w:spacing w:after="0"/>
              <w:rPr>
                <w:sz w:val="24"/>
                <w:szCs w:val="24"/>
                <w:color w:val="auto"/>
              </w:rPr>
            </w:pPr>
          </w:p>
        </w:tc>
      </w:tr>
      <w:tr>
        <w:trPr>
          <w:trHeight w:val="418"/>
        </w:trPr>
        <w:tc>
          <w:tcPr>
            <w:tcW w:w="1064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GasLog Partners LP</w:t>
            </w:r>
          </w:p>
        </w:tc>
        <w:tc>
          <w:tcPr>
            <w:tcW w:w="820" w:type="dxa"/>
            <w:vAlign w:val="bottom"/>
          </w:tcPr>
          <w:p>
            <w:pPr>
              <w:spacing w:after="0"/>
              <w:rPr>
                <w:sz w:val="24"/>
                <w:szCs w:val="24"/>
                <w:color w:val="auto"/>
              </w:rPr>
            </w:pPr>
          </w:p>
        </w:tc>
      </w:tr>
      <w:tr>
        <w:trPr>
          <w:trHeight w:val="230"/>
        </w:trPr>
        <w:tc>
          <w:tcPr>
            <w:tcW w:w="10640" w:type="dxa"/>
            <w:vAlign w:val="bottom"/>
          </w:tcPr>
          <w:p>
            <w:pPr>
              <w:jc w:val="center"/>
              <w:ind w:left="710"/>
              <w:spacing w:after="0"/>
              <w:rPr>
                <w:sz w:val="20"/>
                <w:szCs w:val="20"/>
                <w:color w:val="auto"/>
              </w:rPr>
            </w:pPr>
            <w:r>
              <w:rPr>
                <w:rFonts w:ascii="Arial" w:cs="Arial" w:eastAsia="Arial" w:hAnsi="Arial"/>
                <w:sz w:val="18"/>
                <w:szCs w:val="18"/>
                <w:color w:val="auto"/>
                <w:w w:val="91"/>
              </w:rPr>
              <w:t>(Translation of registrant’s name into English)</w:t>
            </w:r>
          </w:p>
        </w:tc>
        <w:tc>
          <w:tcPr>
            <w:tcW w:w="820" w:type="dxa"/>
            <w:vAlign w:val="bottom"/>
          </w:tcPr>
          <w:p>
            <w:pPr>
              <w:spacing w:after="0"/>
              <w:rPr>
                <w:sz w:val="20"/>
                <w:szCs w:val="20"/>
                <w:color w:val="auto"/>
              </w:rPr>
            </w:pPr>
          </w:p>
        </w:tc>
      </w:tr>
      <w:tr>
        <w:trPr>
          <w:trHeight w:val="418"/>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89"/>
              </w:rPr>
              <w:t>Gildo Pastor Center</w:t>
            </w:r>
          </w:p>
        </w:tc>
        <w:tc>
          <w:tcPr>
            <w:tcW w:w="820" w:type="dxa"/>
            <w:vAlign w:val="bottom"/>
          </w:tcPr>
          <w:p>
            <w:pPr>
              <w:spacing w:after="0"/>
              <w:rPr>
                <w:sz w:val="24"/>
                <w:szCs w:val="24"/>
                <w:color w:val="auto"/>
              </w:rPr>
            </w:pPr>
          </w:p>
        </w:tc>
      </w:tr>
      <w:tr>
        <w:trPr>
          <w:trHeight w:val="216"/>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89"/>
              </w:rPr>
              <w:t>7 Rue du Gabian</w:t>
            </w:r>
          </w:p>
        </w:tc>
        <w:tc>
          <w:tcPr>
            <w:tcW w:w="820" w:type="dxa"/>
            <w:vAlign w:val="bottom"/>
          </w:tcPr>
          <w:p>
            <w:pPr>
              <w:spacing w:after="0"/>
              <w:rPr>
                <w:sz w:val="18"/>
                <w:szCs w:val="18"/>
                <w:color w:val="auto"/>
              </w:rPr>
            </w:pPr>
          </w:p>
        </w:tc>
      </w:tr>
      <w:tr>
        <w:trPr>
          <w:trHeight w:val="216"/>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92"/>
              </w:rPr>
              <w:t>MC 98000, Monaco</w:t>
            </w:r>
          </w:p>
        </w:tc>
        <w:tc>
          <w:tcPr>
            <w:tcW w:w="820" w:type="dxa"/>
            <w:vAlign w:val="bottom"/>
          </w:tcPr>
          <w:p>
            <w:pPr>
              <w:spacing w:after="0"/>
              <w:rPr>
                <w:sz w:val="18"/>
                <w:szCs w:val="18"/>
                <w:color w:val="auto"/>
              </w:rPr>
            </w:pPr>
          </w:p>
        </w:tc>
      </w:tr>
      <w:tr>
        <w:trPr>
          <w:trHeight w:val="230"/>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92"/>
              </w:rPr>
              <w:t>(Address of principal executive office)</w:t>
            </w:r>
          </w:p>
        </w:tc>
        <w:tc>
          <w:tcPr>
            <w:tcW w:w="82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820" w:type="dxa"/>
            <w:vAlign w:val="bottom"/>
          </w:tcPr>
          <w:p>
            <w:pPr>
              <w:spacing w:after="0"/>
              <w:rPr>
                <w:sz w:val="24"/>
                <w:szCs w:val="24"/>
                <w:color w:val="auto"/>
              </w:rPr>
            </w:pPr>
          </w:p>
        </w:tc>
      </w:tr>
      <w:tr>
        <w:trPr>
          <w:trHeight w:val="452"/>
        </w:trPr>
        <w:tc>
          <w:tcPr>
            <w:tcW w:w="106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820" w:type="dxa"/>
            <w:vAlign w:val="bottom"/>
          </w:tcPr>
          <w:p>
            <w:pPr>
              <w:spacing w:after="0"/>
              <w:rPr>
                <w:sz w:val="24"/>
                <w:szCs w:val="24"/>
                <w:color w:val="auto"/>
              </w:rPr>
            </w:pPr>
          </w:p>
        </w:tc>
      </w:tr>
      <w:tr>
        <w:trPr>
          <w:trHeight w:val="41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459"/>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361"/>
        </w:trPr>
        <w:tc>
          <w:tcPr>
            <w:tcW w:w="106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jc w:val="both"/>
        <w:ind w:firstLine="383"/>
        <w:spacing w:after="0" w:line="277" w:lineRule="auto"/>
        <w:rPr>
          <w:sz w:val="20"/>
          <w:szCs w:val="20"/>
          <w:color w:val="auto"/>
        </w:rPr>
      </w:pPr>
      <w:r>
        <w:rPr>
          <w:rFonts w:ascii="Arial" w:cs="Arial" w:eastAsia="Arial" w:hAnsi="Arial"/>
          <w:sz w:val="18"/>
          <w:szCs w:val="18"/>
          <w:color w:val="auto"/>
        </w:rPr>
        <w:t>The press release issued by GasLog Partners LP and GasLog Ltd on November 14, 2018 announcing the closing of the Methane Becki Anne acquisition by GasLog Partners LP from GasLog Ltd is attached hereto as Exhibit 99.1.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LIST</w:t>
      </w:r>
    </w:p>
    <w:p>
      <w:pPr>
        <w:spacing w:after="0" w:line="23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61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Orekar</w:t>
            </w:r>
          </w:p>
        </w:tc>
        <w:tc>
          <w:tcPr>
            <w:tcW w:w="40" w:type="dxa"/>
            <w:vAlign w:val="bottom"/>
          </w:tcPr>
          <w:p>
            <w:pPr>
              <w:spacing w:after="0"/>
              <w:rPr>
                <w:sz w:val="20"/>
                <w:szCs w:val="20"/>
                <w:color w:val="auto"/>
              </w:rPr>
            </w:pPr>
          </w:p>
        </w:tc>
      </w:tr>
      <w:tr>
        <w:trPr>
          <w:trHeight w:val="195"/>
        </w:trPr>
        <w:tc>
          <w:tcPr>
            <w:tcW w:w="670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40" w:type="dxa"/>
            <w:vAlign w:val="bottom"/>
          </w:tcPr>
          <w:p>
            <w:pPr>
              <w:ind w:left="100"/>
              <w:spacing w:after="0" w:line="195" w:lineRule="exact"/>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6"/>
                <w:szCs w:val="16"/>
                <w:color w:val="auto"/>
              </w:rPr>
            </w:pPr>
          </w:p>
        </w:tc>
      </w:tr>
      <w:tr>
        <w:trPr>
          <w:trHeight w:val="230"/>
        </w:trPr>
        <w:tc>
          <w:tcPr>
            <w:tcW w:w="67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7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GasLog Partners LP Announces Closing Of The </w:t>
      </w:r>
      <w:r>
        <w:rPr>
          <w:rFonts w:ascii="Arial" w:cs="Arial" w:eastAsia="Arial" w:hAnsi="Arial"/>
          <w:sz w:val="18"/>
          <w:szCs w:val="18"/>
          <w:b w:val="1"/>
          <w:bCs w:val="1"/>
          <w:i w:val="1"/>
          <w:iCs w:val="1"/>
          <w:color w:val="auto"/>
        </w:rPr>
        <w:t>Methane Becki Anne</w:t>
      </w:r>
      <w:r>
        <w:rPr>
          <w:rFonts w:ascii="Arial" w:cs="Arial" w:eastAsia="Arial" w:hAnsi="Arial"/>
          <w:sz w:val="18"/>
          <w:szCs w:val="18"/>
          <w:b w:val="1"/>
          <w:bCs w:val="1"/>
          <w:color w:val="auto"/>
        </w:rPr>
        <w:t xml:space="preserve"> Acquisition From GasLog Ltd.</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MONACO — November 14, 2018 — </w:t>
      </w:r>
      <w:r>
        <w:rPr>
          <w:rFonts w:ascii="Arial" w:cs="Arial" w:eastAsia="Arial" w:hAnsi="Arial"/>
          <w:sz w:val="18"/>
          <w:szCs w:val="18"/>
          <w:color w:val="auto"/>
        </w:rPr>
        <w:t>GasLog Partners LP (NYSE:GLOP) (“GasLog Partners” or the “Partnership”) and GasLog Ltd. (NYSE:GLOG)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(“GasLog”) announced today the closing of the Partnership’s acquisition from GasLog of 100% of the shares in the entity that owns and charters the </w:t>
      </w:r>
      <w:r>
        <w:rPr>
          <w:rFonts w:ascii="Arial" w:cs="Arial" w:eastAsia="Arial" w:hAnsi="Arial"/>
          <w:sz w:val="18"/>
          <w:szCs w:val="18"/>
          <w:i w:val="1"/>
          <w:iCs w:val="1"/>
          <w:color w:val="auto"/>
        </w:rPr>
        <w:t>Methane</w:t>
      </w:r>
      <w:r>
        <w:rPr>
          <w:rFonts w:ascii="Arial" w:cs="Arial" w:eastAsia="Arial" w:hAnsi="Arial"/>
          <w:sz w:val="18"/>
          <w:szCs w:val="18"/>
          <w:color w:val="auto"/>
        </w:rPr>
        <w:t xml:space="preserve"> </w:t>
      </w:r>
      <w:r>
        <w:rPr>
          <w:rFonts w:ascii="Arial" w:cs="Arial" w:eastAsia="Arial" w:hAnsi="Arial"/>
          <w:sz w:val="18"/>
          <w:szCs w:val="18"/>
          <w:i w:val="1"/>
          <w:iCs w:val="1"/>
          <w:color w:val="auto"/>
        </w:rPr>
        <w:t>Becki Anne</w:t>
      </w:r>
      <w:r>
        <w:rPr>
          <w:rFonts w:ascii="Arial" w:cs="Arial" w:eastAsia="Arial" w:hAnsi="Arial"/>
          <w:sz w:val="18"/>
          <w:szCs w:val="18"/>
          <w:color w:val="auto"/>
        </w:rPr>
        <w:t>.</w:t>
      </w:r>
    </w:p>
    <w:p>
      <w:pPr>
        <w:spacing w:after="0" w:line="1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is a 170,000 cubic meter (“cbm”) tri-fuel diesel electric liquefied natural gas (“LNG”) carrier built in 2010. The vessel is currently on a multi-year time charter with a subsidiary of Royal Dutch Shell plc (“Shell”) through March 2024. Shell has a unilateral option to extend the term of the time charter for a period of either three or five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14 LNG carriers with an average carrying capacity of approximately 157,000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000FF"/>
        </w:rPr>
        <w:t>http://www.gaslogmlp.com</w:t>
      </w:r>
      <w:r>
        <w:rPr>
          <w:rFonts w:ascii="Arial" w:cs="Arial" w:eastAsia="Arial" w:hAnsi="Arial"/>
          <w:sz w:val="16"/>
          <w:szCs w:val="16"/>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owned fleet consists of 32 LNG carriers (25 ships on the water and seven on order). GasLog also has an additional LNG carrier which was sold to a subsidiary of Mitsui Co. Ltd. and leased back under a long-term bareboat charter. GasLog’s consolidated fleet includes 14 LNG carriers in operation owned by GasLog’s subsidiary, GasLog Partners. GasLog’s principal executive offices are at Gildo Pastor Center, 7 Rue du Gabian, MC 98000, Monaco. Visit GasLog’s website at </w:t>
      </w:r>
      <w:r>
        <w:rPr>
          <w:rFonts w:ascii="Arial" w:cs="Arial" w:eastAsia="Arial" w:hAnsi="Arial"/>
          <w:sz w:val="18"/>
          <w:szCs w:val="18"/>
          <w:u w:val="single" w:color="auto"/>
          <w:color w:val="0000FF"/>
        </w:rPr>
        <w:t>http://www.gaslogltd.com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2019-12-08T10:16:54Z</dcterms:created>
  <dcterms:modified xsi:type="dcterms:W3CDTF">2019-12-08T10:16:54Z</dcterms:modified>
</cp:coreProperties>
</file>